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after="120"/>
        <w:jc w:val="center"/>
        <w:rPr>
          <w:b/>
          <w:bCs/>
          <w:spacing w:val="28"/>
          <w:sz w:val="72"/>
          <w:szCs w:val="72"/>
        </w:rPr>
      </w:pPr>
      <w:r>
        <w:rPr>
          <w:rFonts w:cs="宋体" w:hint="eastAsia"/>
          <w:b/>
          <w:bCs/>
          <w:spacing w:val="28"/>
          <w:sz w:val="72"/>
          <w:szCs w:val="72"/>
        </w:rPr>
        <w:t>河北省建设项目概算</w:t>
      </w:r>
    </w:p>
    <w:p w:rsidR="00A32067" w:rsidRDefault="00A32067">
      <w:pPr>
        <w:spacing w:after="120"/>
        <w:jc w:val="center"/>
        <w:rPr>
          <w:b/>
          <w:bCs/>
          <w:spacing w:val="28"/>
          <w:sz w:val="72"/>
          <w:szCs w:val="72"/>
        </w:rPr>
      </w:pPr>
      <w:r>
        <w:rPr>
          <w:rFonts w:cs="宋体" w:hint="eastAsia"/>
          <w:b/>
          <w:bCs/>
          <w:spacing w:val="28"/>
          <w:sz w:val="72"/>
          <w:szCs w:val="72"/>
        </w:rPr>
        <w:t>其他费用定额</w:t>
      </w:r>
    </w:p>
    <w:p w:rsidR="00A32067" w:rsidRDefault="00A32067">
      <w:pPr>
        <w:spacing w:line="360" w:lineRule="auto"/>
        <w:jc w:val="center"/>
        <w:rPr>
          <w:sz w:val="72"/>
          <w:szCs w:val="72"/>
        </w:rPr>
      </w:pPr>
      <w:r>
        <w:rPr>
          <w:rFonts w:cs="宋体" w:hint="eastAsia"/>
          <w:b/>
          <w:bCs/>
          <w:spacing w:val="28"/>
          <w:sz w:val="72"/>
          <w:szCs w:val="72"/>
        </w:rPr>
        <w:t>（征求意见稿）</w:t>
      </w: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spacing w:line="360" w:lineRule="auto"/>
        <w:rPr>
          <w:rFonts w:eastAsia="方正大标宋简体"/>
          <w:b/>
          <w:bCs/>
          <w:color w:val="FF0000"/>
          <w:sz w:val="36"/>
          <w:szCs w:val="36"/>
        </w:rPr>
      </w:pPr>
    </w:p>
    <w:p w:rsidR="00A32067" w:rsidRDefault="00A32067">
      <w:pPr>
        <w:pStyle w:val="TOC10"/>
        <w:jc w:val="center"/>
        <w:rPr>
          <w:rFonts w:ascii="Times New Roman" w:hAnsi="Times New Roman" w:cs="Times New Roman"/>
          <w:color w:val="auto"/>
          <w:sz w:val="36"/>
          <w:szCs w:val="36"/>
          <w:lang w:val="zh-CN"/>
        </w:rPr>
      </w:pPr>
      <w:r>
        <w:rPr>
          <w:rFonts w:ascii="Times New Roman" w:hAnsi="Times New Roman" w:cs="宋体" w:hint="eastAsia"/>
          <w:color w:val="auto"/>
          <w:sz w:val="36"/>
          <w:szCs w:val="36"/>
          <w:lang w:val="zh-CN"/>
        </w:rPr>
        <w:t>目录</w:t>
      </w:r>
    </w:p>
    <w:p w:rsidR="00A32067" w:rsidRDefault="00A32067">
      <w:pPr>
        <w:rPr>
          <w:lang w:val="zh-CN"/>
        </w:rPr>
      </w:pPr>
    </w:p>
    <w:p w:rsidR="00A32067" w:rsidRDefault="00A32067">
      <w:pPr>
        <w:rPr>
          <w:lang w:val="zh-CN"/>
        </w:rPr>
      </w:pPr>
    </w:p>
    <w:p w:rsidR="00A32067" w:rsidRDefault="00A32067">
      <w:pPr>
        <w:rPr>
          <w:lang w:val="zh-CN"/>
        </w:rPr>
      </w:pPr>
    </w:p>
    <w:p w:rsidR="00A32067" w:rsidRDefault="00A32067">
      <w:pPr>
        <w:pStyle w:val="TOC1"/>
        <w:tabs>
          <w:tab w:val="right" w:leader="dot" w:pos="9459"/>
        </w:tabs>
        <w:spacing w:line="360" w:lineRule="auto"/>
        <w:rPr>
          <w:sz w:val="22"/>
          <w:szCs w:val="22"/>
        </w:rPr>
      </w:pPr>
      <w:r>
        <w:rPr>
          <w:sz w:val="22"/>
          <w:szCs w:val="22"/>
        </w:rPr>
        <w:fldChar w:fldCharType="begin"/>
      </w:r>
      <w:r>
        <w:rPr>
          <w:sz w:val="22"/>
          <w:szCs w:val="22"/>
        </w:rPr>
        <w:instrText xml:space="preserve"> TOC \o "1-4" \h \z \u </w:instrText>
      </w:r>
      <w:r>
        <w:rPr>
          <w:sz w:val="22"/>
          <w:szCs w:val="22"/>
        </w:rPr>
        <w:fldChar w:fldCharType="separate"/>
      </w:r>
      <w:hyperlink w:anchor="_Toc519872243" w:history="1">
        <w:r>
          <w:rPr>
            <w:rStyle w:val="Hyperlink"/>
            <w:rFonts w:cs="宋体" w:hint="eastAsia"/>
            <w:color w:val="auto"/>
            <w:sz w:val="22"/>
            <w:szCs w:val="22"/>
            <w:u w:val="none"/>
          </w:rPr>
          <w:t>说明</w:t>
        </w:r>
        <w:r>
          <w:rPr>
            <w:sz w:val="22"/>
            <w:szCs w:val="22"/>
          </w:rPr>
          <w:tab/>
        </w:r>
        <w:r>
          <w:rPr>
            <w:sz w:val="22"/>
            <w:szCs w:val="22"/>
          </w:rPr>
          <w:fldChar w:fldCharType="begin"/>
        </w:r>
        <w:r>
          <w:rPr>
            <w:sz w:val="22"/>
            <w:szCs w:val="22"/>
          </w:rPr>
          <w:instrText xml:space="preserve"> PAGEREF _Toc519872243 \h </w:instrText>
        </w:r>
        <w:r w:rsidRPr="004A1DFB">
          <w:rPr>
            <w:sz w:val="22"/>
            <w:szCs w:val="22"/>
          </w:rPr>
        </w:r>
        <w:r>
          <w:rPr>
            <w:sz w:val="22"/>
            <w:szCs w:val="22"/>
          </w:rPr>
          <w:fldChar w:fldCharType="separate"/>
        </w:r>
        <w:r>
          <w:rPr>
            <w:noProof/>
            <w:sz w:val="22"/>
            <w:szCs w:val="22"/>
          </w:rPr>
          <w:t>1</w:t>
        </w:r>
        <w:r>
          <w:rPr>
            <w:sz w:val="22"/>
            <w:szCs w:val="22"/>
          </w:rPr>
          <w:fldChar w:fldCharType="end"/>
        </w:r>
      </w:hyperlink>
    </w:p>
    <w:p w:rsidR="00A32067" w:rsidRDefault="00A32067">
      <w:pPr>
        <w:pStyle w:val="TOC1"/>
        <w:tabs>
          <w:tab w:val="right" w:leader="dot" w:pos="9459"/>
        </w:tabs>
        <w:spacing w:line="360" w:lineRule="auto"/>
        <w:rPr>
          <w:sz w:val="22"/>
          <w:szCs w:val="22"/>
        </w:rPr>
      </w:pPr>
      <w:hyperlink w:anchor="_Toc519872244" w:history="1">
        <w:r>
          <w:rPr>
            <w:rStyle w:val="Hyperlink"/>
            <w:rFonts w:cs="宋体" w:hint="eastAsia"/>
            <w:color w:val="auto"/>
            <w:sz w:val="22"/>
            <w:szCs w:val="22"/>
            <w:u w:val="none"/>
          </w:rPr>
          <w:t>第一部分工程建设其他费用</w:t>
        </w:r>
        <w:r>
          <w:rPr>
            <w:sz w:val="22"/>
            <w:szCs w:val="22"/>
          </w:rPr>
          <w:tab/>
        </w:r>
        <w:r>
          <w:rPr>
            <w:sz w:val="22"/>
            <w:szCs w:val="22"/>
          </w:rPr>
          <w:fldChar w:fldCharType="begin"/>
        </w:r>
        <w:r>
          <w:rPr>
            <w:sz w:val="22"/>
            <w:szCs w:val="22"/>
          </w:rPr>
          <w:instrText xml:space="preserve"> PAGEREF _Toc519872244 \h </w:instrText>
        </w:r>
        <w:r w:rsidRPr="004A1DFB">
          <w:rPr>
            <w:sz w:val="22"/>
            <w:szCs w:val="22"/>
          </w:rPr>
        </w:r>
        <w:r>
          <w:rPr>
            <w:sz w:val="22"/>
            <w:szCs w:val="22"/>
          </w:rPr>
          <w:fldChar w:fldCharType="separate"/>
        </w:r>
        <w:r>
          <w:rPr>
            <w:noProof/>
            <w:sz w:val="22"/>
            <w:szCs w:val="22"/>
          </w:rPr>
          <w:t>3</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45" w:history="1">
        <w:r>
          <w:rPr>
            <w:rStyle w:val="Hyperlink"/>
            <w:rFonts w:cs="宋体" w:hint="eastAsia"/>
            <w:color w:val="auto"/>
            <w:sz w:val="22"/>
            <w:szCs w:val="22"/>
            <w:u w:val="none"/>
          </w:rPr>
          <w:t>一、与土地使用权取得有关的费用</w:t>
        </w:r>
        <w:r>
          <w:rPr>
            <w:sz w:val="22"/>
            <w:szCs w:val="22"/>
          </w:rPr>
          <w:tab/>
        </w:r>
        <w:r>
          <w:rPr>
            <w:sz w:val="22"/>
            <w:szCs w:val="22"/>
          </w:rPr>
          <w:fldChar w:fldCharType="begin"/>
        </w:r>
        <w:r>
          <w:rPr>
            <w:sz w:val="22"/>
            <w:szCs w:val="22"/>
          </w:rPr>
          <w:instrText xml:space="preserve"> PAGEREF _Toc519872245 \h </w:instrText>
        </w:r>
        <w:r w:rsidRPr="004A1DFB">
          <w:rPr>
            <w:sz w:val="22"/>
            <w:szCs w:val="22"/>
          </w:rPr>
        </w:r>
        <w:r>
          <w:rPr>
            <w:sz w:val="22"/>
            <w:szCs w:val="22"/>
          </w:rPr>
          <w:fldChar w:fldCharType="separate"/>
        </w:r>
        <w:r>
          <w:rPr>
            <w:noProof/>
            <w:sz w:val="22"/>
            <w:szCs w:val="22"/>
          </w:rPr>
          <w:t>3</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46" w:history="1">
        <w:r>
          <w:rPr>
            <w:rStyle w:val="Hyperlink"/>
            <w:rFonts w:cs="宋体" w:hint="eastAsia"/>
            <w:color w:val="auto"/>
            <w:sz w:val="22"/>
            <w:szCs w:val="22"/>
            <w:u w:val="none"/>
          </w:rPr>
          <w:t>二、与整个工程项目建设有关的费用</w:t>
        </w:r>
        <w:r>
          <w:rPr>
            <w:sz w:val="22"/>
            <w:szCs w:val="22"/>
          </w:rPr>
          <w:tab/>
        </w:r>
        <w:r>
          <w:rPr>
            <w:sz w:val="22"/>
            <w:szCs w:val="22"/>
          </w:rPr>
          <w:fldChar w:fldCharType="begin"/>
        </w:r>
        <w:r>
          <w:rPr>
            <w:sz w:val="22"/>
            <w:szCs w:val="22"/>
          </w:rPr>
          <w:instrText xml:space="preserve"> PAGEREF _Toc519872246 \h </w:instrText>
        </w:r>
        <w:r w:rsidRPr="004A1DFB">
          <w:rPr>
            <w:sz w:val="22"/>
            <w:szCs w:val="22"/>
          </w:rPr>
        </w:r>
        <w:r>
          <w:rPr>
            <w:sz w:val="22"/>
            <w:szCs w:val="22"/>
          </w:rPr>
          <w:fldChar w:fldCharType="separate"/>
        </w:r>
        <w:r>
          <w:rPr>
            <w:noProof/>
            <w:sz w:val="22"/>
            <w:szCs w:val="22"/>
          </w:rPr>
          <w:t>5</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47" w:history="1">
        <w:r>
          <w:rPr>
            <w:rStyle w:val="Hyperlink"/>
            <w:rFonts w:cs="宋体" w:hint="eastAsia"/>
            <w:color w:val="auto"/>
            <w:sz w:val="22"/>
            <w:szCs w:val="22"/>
            <w:u w:val="none"/>
          </w:rPr>
          <w:t>三、与未来生产经营有关的费用</w:t>
        </w:r>
        <w:r>
          <w:rPr>
            <w:sz w:val="22"/>
            <w:szCs w:val="22"/>
          </w:rPr>
          <w:tab/>
        </w:r>
        <w:r>
          <w:rPr>
            <w:sz w:val="22"/>
            <w:szCs w:val="22"/>
          </w:rPr>
          <w:fldChar w:fldCharType="begin"/>
        </w:r>
        <w:r>
          <w:rPr>
            <w:sz w:val="22"/>
            <w:szCs w:val="22"/>
          </w:rPr>
          <w:instrText xml:space="preserve"> PAGEREF _Toc519872247 \h </w:instrText>
        </w:r>
        <w:r w:rsidRPr="004A1DFB">
          <w:rPr>
            <w:sz w:val="22"/>
            <w:szCs w:val="22"/>
          </w:rPr>
        </w:r>
        <w:r>
          <w:rPr>
            <w:sz w:val="22"/>
            <w:szCs w:val="22"/>
          </w:rPr>
          <w:fldChar w:fldCharType="separate"/>
        </w:r>
        <w:r>
          <w:rPr>
            <w:noProof/>
            <w:sz w:val="22"/>
            <w:szCs w:val="22"/>
          </w:rPr>
          <w:t>15</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48" w:history="1">
        <w:r>
          <w:rPr>
            <w:rStyle w:val="Hyperlink"/>
            <w:rFonts w:cs="宋体" w:hint="eastAsia"/>
            <w:color w:val="auto"/>
            <w:kern w:val="0"/>
            <w:sz w:val="22"/>
            <w:szCs w:val="22"/>
            <w:u w:val="none"/>
          </w:rPr>
          <w:t>附表：河北省各地市城市基础设施配套费收费标准汇总表</w:t>
        </w:r>
        <w:r>
          <w:rPr>
            <w:sz w:val="22"/>
            <w:szCs w:val="22"/>
          </w:rPr>
          <w:tab/>
        </w:r>
        <w:r>
          <w:rPr>
            <w:sz w:val="22"/>
            <w:szCs w:val="22"/>
          </w:rPr>
          <w:fldChar w:fldCharType="begin"/>
        </w:r>
        <w:r>
          <w:rPr>
            <w:sz w:val="22"/>
            <w:szCs w:val="22"/>
          </w:rPr>
          <w:instrText xml:space="preserve"> PAGEREF _Toc519872248 \h </w:instrText>
        </w:r>
        <w:r w:rsidRPr="004A1DFB">
          <w:rPr>
            <w:sz w:val="22"/>
            <w:szCs w:val="22"/>
          </w:rPr>
        </w:r>
        <w:r>
          <w:rPr>
            <w:sz w:val="22"/>
            <w:szCs w:val="22"/>
          </w:rPr>
          <w:fldChar w:fldCharType="separate"/>
        </w:r>
        <w:r>
          <w:rPr>
            <w:noProof/>
            <w:sz w:val="22"/>
            <w:szCs w:val="22"/>
          </w:rPr>
          <w:t>16</w:t>
        </w:r>
        <w:r>
          <w:rPr>
            <w:sz w:val="22"/>
            <w:szCs w:val="22"/>
          </w:rPr>
          <w:fldChar w:fldCharType="end"/>
        </w:r>
      </w:hyperlink>
    </w:p>
    <w:p w:rsidR="00A32067" w:rsidRDefault="00A32067">
      <w:pPr>
        <w:pStyle w:val="TOC1"/>
        <w:tabs>
          <w:tab w:val="right" w:leader="dot" w:pos="9459"/>
        </w:tabs>
        <w:spacing w:line="360" w:lineRule="auto"/>
        <w:rPr>
          <w:sz w:val="22"/>
          <w:szCs w:val="22"/>
        </w:rPr>
      </w:pPr>
      <w:hyperlink w:anchor="_Toc519872249" w:history="1">
        <w:r>
          <w:rPr>
            <w:rStyle w:val="Hyperlink"/>
            <w:rFonts w:cs="宋体" w:hint="eastAsia"/>
            <w:color w:val="auto"/>
            <w:kern w:val="0"/>
            <w:sz w:val="22"/>
            <w:szCs w:val="22"/>
            <w:u w:val="none"/>
          </w:rPr>
          <w:t>第二部分附录</w:t>
        </w:r>
        <w:r>
          <w:rPr>
            <w:sz w:val="22"/>
            <w:szCs w:val="22"/>
          </w:rPr>
          <w:tab/>
        </w:r>
        <w:r>
          <w:rPr>
            <w:sz w:val="22"/>
            <w:szCs w:val="22"/>
          </w:rPr>
          <w:fldChar w:fldCharType="begin"/>
        </w:r>
        <w:r>
          <w:rPr>
            <w:sz w:val="22"/>
            <w:szCs w:val="22"/>
          </w:rPr>
          <w:instrText xml:space="preserve"> PAGEREF _Toc519872249 \h </w:instrText>
        </w:r>
        <w:r w:rsidRPr="004A1DFB">
          <w:rPr>
            <w:sz w:val="22"/>
            <w:szCs w:val="22"/>
          </w:rPr>
        </w:r>
        <w:r>
          <w:rPr>
            <w:sz w:val="22"/>
            <w:szCs w:val="22"/>
          </w:rPr>
          <w:fldChar w:fldCharType="separate"/>
        </w:r>
        <w:r>
          <w:rPr>
            <w:noProof/>
            <w:sz w:val="22"/>
            <w:szCs w:val="22"/>
          </w:rPr>
          <w:t>17</w:t>
        </w:r>
        <w:r>
          <w:rPr>
            <w:sz w:val="22"/>
            <w:szCs w:val="22"/>
          </w:rPr>
          <w:fldChar w:fldCharType="end"/>
        </w:r>
      </w:hyperlink>
    </w:p>
    <w:p w:rsidR="00A32067" w:rsidRDefault="00A32067">
      <w:pPr>
        <w:pStyle w:val="TOC1"/>
        <w:tabs>
          <w:tab w:val="right" w:leader="dot" w:pos="9459"/>
        </w:tabs>
        <w:spacing w:line="360" w:lineRule="auto"/>
        <w:rPr>
          <w:sz w:val="22"/>
          <w:szCs w:val="22"/>
        </w:rPr>
      </w:pPr>
      <w:hyperlink w:anchor="_Toc519872250" w:history="1">
        <w:r>
          <w:rPr>
            <w:rStyle w:val="Hyperlink"/>
            <w:rFonts w:cs="宋体" w:hint="eastAsia"/>
            <w:color w:val="auto"/>
            <w:sz w:val="22"/>
            <w:szCs w:val="22"/>
            <w:u w:val="none"/>
          </w:rPr>
          <w:t>附录一：</w:t>
        </w:r>
        <w:r>
          <w:rPr>
            <w:rStyle w:val="Hyperlink"/>
            <w:rFonts w:cs="宋体" w:hint="eastAsia"/>
            <w:color w:val="auto"/>
            <w:kern w:val="0"/>
            <w:sz w:val="22"/>
            <w:szCs w:val="22"/>
            <w:u w:val="none"/>
          </w:rPr>
          <w:t>建设项目概算总投资除工程费用、设备购置费和其他费用以外的费用</w:t>
        </w:r>
        <w:r>
          <w:rPr>
            <w:sz w:val="22"/>
            <w:szCs w:val="22"/>
          </w:rPr>
          <w:tab/>
        </w:r>
        <w:r>
          <w:rPr>
            <w:sz w:val="22"/>
            <w:szCs w:val="22"/>
          </w:rPr>
          <w:fldChar w:fldCharType="begin"/>
        </w:r>
        <w:r>
          <w:rPr>
            <w:sz w:val="22"/>
            <w:szCs w:val="22"/>
          </w:rPr>
          <w:instrText xml:space="preserve"> PAGEREF _Toc519872250 \h </w:instrText>
        </w:r>
        <w:r w:rsidRPr="004A1DFB">
          <w:rPr>
            <w:sz w:val="22"/>
            <w:szCs w:val="22"/>
          </w:rPr>
        </w:r>
        <w:r>
          <w:rPr>
            <w:sz w:val="22"/>
            <w:szCs w:val="22"/>
          </w:rPr>
          <w:fldChar w:fldCharType="separate"/>
        </w:r>
        <w:r>
          <w:rPr>
            <w:noProof/>
            <w:sz w:val="22"/>
            <w:szCs w:val="22"/>
          </w:rPr>
          <w:t>17</w:t>
        </w:r>
        <w:r>
          <w:rPr>
            <w:sz w:val="22"/>
            <w:szCs w:val="22"/>
          </w:rPr>
          <w:fldChar w:fldCharType="end"/>
        </w:r>
      </w:hyperlink>
    </w:p>
    <w:p w:rsidR="00A32067" w:rsidRDefault="00A32067" w:rsidP="005431C7">
      <w:pPr>
        <w:pStyle w:val="TOC2"/>
        <w:tabs>
          <w:tab w:val="left" w:pos="1260"/>
          <w:tab w:val="right" w:leader="dot" w:pos="9459"/>
        </w:tabs>
        <w:spacing w:line="360" w:lineRule="auto"/>
        <w:ind w:left="31680"/>
        <w:rPr>
          <w:sz w:val="22"/>
          <w:szCs w:val="22"/>
        </w:rPr>
      </w:pPr>
      <w:hyperlink w:anchor="_Toc519872251" w:history="1">
        <w:r>
          <w:rPr>
            <w:rStyle w:val="Hyperlink"/>
            <w:rFonts w:cs="宋体" w:hint="eastAsia"/>
            <w:color w:val="auto"/>
            <w:kern w:val="0"/>
            <w:sz w:val="22"/>
            <w:szCs w:val="22"/>
            <w:u w:val="none"/>
          </w:rPr>
          <w:t>一、预备费</w:t>
        </w:r>
        <w:r>
          <w:rPr>
            <w:sz w:val="22"/>
            <w:szCs w:val="22"/>
          </w:rPr>
          <w:tab/>
        </w:r>
        <w:r>
          <w:rPr>
            <w:sz w:val="22"/>
            <w:szCs w:val="22"/>
          </w:rPr>
          <w:fldChar w:fldCharType="begin"/>
        </w:r>
        <w:r>
          <w:rPr>
            <w:sz w:val="22"/>
            <w:szCs w:val="22"/>
          </w:rPr>
          <w:instrText xml:space="preserve"> PAGEREF _Toc519872251 \h </w:instrText>
        </w:r>
        <w:r w:rsidRPr="004A1DFB">
          <w:rPr>
            <w:sz w:val="22"/>
            <w:szCs w:val="22"/>
          </w:rPr>
        </w:r>
        <w:r>
          <w:rPr>
            <w:sz w:val="22"/>
            <w:szCs w:val="22"/>
          </w:rPr>
          <w:fldChar w:fldCharType="separate"/>
        </w:r>
        <w:r>
          <w:rPr>
            <w:noProof/>
            <w:sz w:val="22"/>
            <w:szCs w:val="22"/>
          </w:rPr>
          <w:t>17</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52" w:history="1">
        <w:r>
          <w:rPr>
            <w:rStyle w:val="Hyperlink"/>
            <w:rFonts w:cs="宋体" w:hint="eastAsia"/>
            <w:color w:val="auto"/>
            <w:kern w:val="0"/>
            <w:sz w:val="22"/>
            <w:szCs w:val="22"/>
            <w:u w:val="none"/>
          </w:rPr>
          <w:t>二、建设期利息</w:t>
        </w:r>
        <w:r>
          <w:rPr>
            <w:sz w:val="22"/>
            <w:szCs w:val="22"/>
          </w:rPr>
          <w:tab/>
        </w:r>
        <w:r>
          <w:rPr>
            <w:sz w:val="22"/>
            <w:szCs w:val="22"/>
          </w:rPr>
          <w:fldChar w:fldCharType="begin"/>
        </w:r>
        <w:r>
          <w:rPr>
            <w:sz w:val="22"/>
            <w:szCs w:val="22"/>
          </w:rPr>
          <w:instrText xml:space="preserve"> PAGEREF _Toc519872252 \h </w:instrText>
        </w:r>
        <w:r w:rsidRPr="004A1DFB">
          <w:rPr>
            <w:sz w:val="22"/>
            <w:szCs w:val="22"/>
          </w:rPr>
        </w:r>
        <w:r>
          <w:rPr>
            <w:sz w:val="22"/>
            <w:szCs w:val="22"/>
          </w:rPr>
          <w:fldChar w:fldCharType="separate"/>
        </w:r>
        <w:r>
          <w:rPr>
            <w:noProof/>
            <w:sz w:val="22"/>
            <w:szCs w:val="22"/>
          </w:rPr>
          <w:t>18</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53" w:history="1">
        <w:r>
          <w:rPr>
            <w:rStyle w:val="Hyperlink"/>
            <w:rFonts w:cs="宋体" w:hint="eastAsia"/>
            <w:color w:val="auto"/>
            <w:kern w:val="0"/>
            <w:sz w:val="22"/>
            <w:szCs w:val="22"/>
            <w:u w:val="none"/>
          </w:rPr>
          <w:t>三、流动资金</w:t>
        </w:r>
        <w:r>
          <w:rPr>
            <w:sz w:val="22"/>
            <w:szCs w:val="22"/>
          </w:rPr>
          <w:tab/>
        </w:r>
        <w:r>
          <w:rPr>
            <w:sz w:val="22"/>
            <w:szCs w:val="22"/>
          </w:rPr>
          <w:fldChar w:fldCharType="begin"/>
        </w:r>
        <w:r>
          <w:rPr>
            <w:sz w:val="22"/>
            <w:szCs w:val="22"/>
          </w:rPr>
          <w:instrText xml:space="preserve"> PAGEREF _Toc519872253 \h </w:instrText>
        </w:r>
        <w:r w:rsidRPr="004A1DFB">
          <w:rPr>
            <w:sz w:val="22"/>
            <w:szCs w:val="22"/>
          </w:rPr>
        </w:r>
        <w:r>
          <w:rPr>
            <w:sz w:val="22"/>
            <w:szCs w:val="22"/>
          </w:rPr>
          <w:fldChar w:fldCharType="separate"/>
        </w:r>
        <w:r>
          <w:rPr>
            <w:noProof/>
            <w:sz w:val="22"/>
            <w:szCs w:val="22"/>
          </w:rPr>
          <w:t>19</w:t>
        </w:r>
        <w:r>
          <w:rPr>
            <w:sz w:val="22"/>
            <w:szCs w:val="22"/>
          </w:rPr>
          <w:fldChar w:fldCharType="end"/>
        </w:r>
      </w:hyperlink>
    </w:p>
    <w:p w:rsidR="00A32067" w:rsidRDefault="00A32067">
      <w:pPr>
        <w:pStyle w:val="TOC1"/>
        <w:tabs>
          <w:tab w:val="right" w:leader="dot" w:pos="9459"/>
        </w:tabs>
        <w:spacing w:line="360" w:lineRule="auto"/>
        <w:rPr>
          <w:sz w:val="22"/>
          <w:szCs w:val="22"/>
        </w:rPr>
      </w:pPr>
      <w:hyperlink w:anchor="_Toc519872254" w:history="1">
        <w:r>
          <w:rPr>
            <w:rStyle w:val="Hyperlink"/>
            <w:rFonts w:cs="宋体" w:hint="eastAsia"/>
            <w:color w:val="auto"/>
            <w:kern w:val="0"/>
            <w:sz w:val="22"/>
            <w:szCs w:val="22"/>
            <w:u w:val="none"/>
          </w:rPr>
          <w:t>附录二：</w:t>
        </w:r>
        <w:r>
          <w:rPr>
            <w:rStyle w:val="Hyperlink"/>
            <w:rFonts w:cs="宋体" w:hint="eastAsia"/>
            <w:color w:val="auto"/>
            <w:sz w:val="22"/>
            <w:szCs w:val="22"/>
            <w:u w:val="none"/>
          </w:rPr>
          <w:t>建设项目概算费用构成表</w:t>
        </w:r>
        <w:r>
          <w:rPr>
            <w:sz w:val="22"/>
            <w:szCs w:val="22"/>
          </w:rPr>
          <w:tab/>
        </w:r>
        <w:r>
          <w:rPr>
            <w:sz w:val="22"/>
            <w:szCs w:val="22"/>
          </w:rPr>
          <w:fldChar w:fldCharType="begin"/>
        </w:r>
        <w:r>
          <w:rPr>
            <w:sz w:val="22"/>
            <w:szCs w:val="22"/>
          </w:rPr>
          <w:instrText xml:space="preserve"> PAGEREF _Toc519872254 \h </w:instrText>
        </w:r>
        <w:r w:rsidRPr="004A1DFB">
          <w:rPr>
            <w:sz w:val="22"/>
            <w:szCs w:val="22"/>
          </w:rPr>
        </w:r>
        <w:r>
          <w:rPr>
            <w:sz w:val="22"/>
            <w:szCs w:val="22"/>
          </w:rPr>
          <w:fldChar w:fldCharType="separate"/>
        </w:r>
        <w:r>
          <w:rPr>
            <w:noProof/>
            <w:sz w:val="22"/>
            <w:szCs w:val="22"/>
          </w:rPr>
          <w:t>20</w:t>
        </w:r>
        <w:r>
          <w:rPr>
            <w:sz w:val="22"/>
            <w:szCs w:val="22"/>
          </w:rPr>
          <w:fldChar w:fldCharType="end"/>
        </w:r>
      </w:hyperlink>
    </w:p>
    <w:p w:rsidR="00A32067" w:rsidRDefault="00A32067">
      <w:pPr>
        <w:pStyle w:val="TOC1"/>
        <w:tabs>
          <w:tab w:val="right" w:leader="dot" w:pos="9459"/>
        </w:tabs>
        <w:spacing w:line="360" w:lineRule="auto"/>
        <w:rPr>
          <w:sz w:val="22"/>
          <w:szCs w:val="22"/>
        </w:rPr>
      </w:pPr>
      <w:hyperlink w:anchor="_Toc519872255" w:history="1">
        <w:r>
          <w:rPr>
            <w:rStyle w:val="Hyperlink"/>
            <w:rFonts w:cs="宋体" w:hint="eastAsia"/>
            <w:color w:val="auto"/>
            <w:kern w:val="0"/>
            <w:sz w:val="22"/>
            <w:szCs w:val="22"/>
            <w:u w:val="none"/>
          </w:rPr>
          <w:t>附录三：相关法律、法规、政策文件</w:t>
        </w:r>
        <w:r>
          <w:rPr>
            <w:sz w:val="22"/>
            <w:szCs w:val="22"/>
          </w:rPr>
          <w:tab/>
        </w:r>
        <w:r>
          <w:rPr>
            <w:sz w:val="22"/>
            <w:szCs w:val="22"/>
          </w:rPr>
          <w:fldChar w:fldCharType="begin"/>
        </w:r>
        <w:r>
          <w:rPr>
            <w:sz w:val="22"/>
            <w:szCs w:val="22"/>
          </w:rPr>
          <w:instrText xml:space="preserve"> PAGEREF _Toc519872255 \h </w:instrText>
        </w:r>
        <w:r w:rsidRPr="004A1DFB">
          <w:rPr>
            <w:sz w:val="22"/>
            <w:szCs w:val="22"/>
          </w:rPr>
        </w:r>
        <w:r>
          <w:rPr>
            <w:sz w:val="22"/>
            <w:szCs w:val="22"/>
          </w:rPr>
          <w:fldChar w:fldCharType="separate"/>
        </w:r>
        <w:r>
          <w:rPr>
            <w:noProof/>
            <w:sz w:val="22"/>
            <w:szCs w:val="22"/>
          </w:rPr>
          <w:t>21</w:t>
        </w:r>
        <w:r>
          <w:rPr>
            <w:sz w:val="22"/>
            <w:szCs w:val="22"/>
          </w:rPr>
          <w:fldChar w:fldCharType="end"/>
        </w:r>
      </w:hyperlink>
    </w:p>
    <w:p w:rsidR="00A32067" w:rsidRDefault="00A32067" w:rsidP="005431C7">
      <w:pPr>
        <w:pStyle w:val="TOC2"/>
        <w:tabs>
          <w:tab w:val="left" w:pos="1260"/>
          <w:tab w:val="right" w:leader="dot" w:pos="9459"/>
        </w:tabs>
        <w:spacing w:line="360" w:lineRule="auto"/>
        <w:ind w:left="31680"/>
        <w:rPr>
          <w:sz w:val="22"/>
          <w:szCs w:val="22"/>
        </w:rPr>
      </w:pPr>
      <w:hyperlink w:anchor="_Toc519872256" w:history="1">
        <w:r>
          <w:rPr>
            <w:rStyle w:val="Hyperlink"/>
            <w:rFonts w:cs="宋体" w:hint="eastAsia"/>
            <w:color w:val="auto"/>
            <w:sz w:val="22"/>
            <w:szCs w:val="22"/>
            <w:u w:val="none"/>
          </w:rPr>
          <w:t>一、与土地使用权有关的法律、法规、政策文件</w:t>
        </w:r>
        <w:r>
          <w:rPr>
            <w:sz w:val="22"/>
            <w:szCs w:val="22"/>
          </w:rPr>
          <w:tab/>
        </w:r>
        <w:r>
          <w:rPr>
            <w:sz w:val="22"/>
            <w:szCs w:val="22"/>
          </w:rPr>
          <w:fldChar w:fldCharType="begin"/>
        </w:r>
        <w:r>
          <w:rPr>
            <w:sz w:val="22"/>
            <w:szCs w:val="22"/>
          </w:rPr>
          <w:instrText xml:space="preserve"> PAGEREF _Toc519872256 \h </w:instrText>
        </w:r>
        <w:r w:rsidRPr="004A1DFB">
          <w:rPr>
            <w:sz w:val="22"/>
            <w:szCs w:val="22"/>
          </w:rPr>
        </w:r>
        <w:r>
          <w:rPr>
            <w:sz w:val="22"/>
            <w:szCs w:val="22"/>
          </w:rPr>
          <w:fldChar w:fldCharType="separate"/>
        </w:r>
        <w:r>
          <w:rPr>
            <w:noProof/>
            <w:sz w:val="22"/>
            <w:szCs w:val="22"/>
          </w:rPr>
          <w:t>21</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w:t>
      </w:r>
      <w:hyperlink w:anchor="_Toc519872257" w:history="1">
        <w:r>
          <w:rPr>
            <w:rStyle w:val="Hyperlink"/>
            <w:rFonts w:cs="宋体" w:hint="eastAsia"/>
            <w:color w:val="auto"/>
            <w:spacing w:val="10"/>
            <w:sz w:val="22"/>
            <w:szCs w:val="22"/>
            <w:u w:val="none"/>
          </w:rPr>
          <w:t>中华人民共和国土地管理法</w:t>
        </w:r>
        <w:r>
          <w:rPr>
            <w:sz w:val="22"/>
            <w:szCs w:val="22"/>
          </w:rPr>
          <w:tab/>
        </w:r>
        <w:r>
          <w:rPr>
            <w:sz w:val="22"/>
            <w:szCs w:val="22"/>
          </w:rPr>
          <w:fldChar w:fldCharType="begin"/>
        </w:r>
        <w:r>
          <w:rPr>
            <w:sz w:val="22"/>
            <w:szCs w:val="22"/>
          </w:rPr>
          <w:instrText xml:space="preserve"> PAGEREF _Toc519872257 \h </w:instrText>
        </w:r>
        <w:r w:rsidRPr="004A1DFB">
          <w:rPr>
            <w:sz w:val="22"/>
            <w:szCs w:val="22"/>
          </w:rPr>
        </w:r>
        <w:r>
          <w:rPr>
            <w:sz w:val="22"/>
            <w:szCs w:val="22"/>
          </w:rPr>
          <w:fldChar w:fldCharType="separate"/>
        </w:r>
        <w:r>
          <w:rPr>
            <w:noProof/>
            <w:sz w:val="22"/>
            <w:szCs w:val="22"/>
          </w:rPr>
          <w:t>22</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w:t>
      </w:r>
      <w:hyperlink w:anchor="_Toc519872258" w:history="1">
        <w:r>
          <w:rPr>
            <w:rStyle w:val="Hyperlink"/>
            <w:rFonts w:cs="宋体" w:hint="eastAsia"/>
            <w:color w:val="auto"/>
            <w:sz w:val="22"/>
            <w:szCs w:val="22"/>
            <w:u w:val="none"/>
          </w:rPr>
          <w:t>中华人民共和国土地管理法实施条例</w:t>
        </w:r>
        <w:r>
          <w:rPr>
            <w:sz w:val="22"/>
            <w:szCs w:val="22"/>
          </w:rPr>
          <w:tab/>
        </w:r>
        <w:r>
          <w:rPr>
            <w:sz w:val="22"/>
            <w:szCs w:val="22"/>
          </w:rPr>
          <w:fldChar w:fldCharType="begin"/>
        </w:r>
        <w:r>
          <w:rPr>
            <w:sz w:val="22"/>
            <w:szCs w:val="22"/>
          </w:rPr>
          <w:instrText xml:space="preserve"> PAGEREF _Toc519872258 \h </w:instrText>
        </w:r>
        <w:r w:rsidRPr="004A1DFB">
          <w:rPr>
            <w:sz w:val="22"/>
            <w:szCs w:val="22"/>
          </w:rPr>
        </w:r>
        <w:r>
          <w:rPr>
            <w:sz w:val="22"/>
            <w:szCs w:val="22"/>
          </w:rPr>
          <w:fldChar w:fldCharType="separate"/>
        </w:r>
        <w:r>
          <w:rPr>
            <w:noProof/>
            <w:sz w:val="22"/>
            <w:szCs w:val="22"/>
          </w:rPr>
          <w:t>35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w:t>
      </w:r>
      <w:hyperlink w:anchor="_Toc519872259" w:history="1">
        <w:r>
          <w:rPr>
            <w:rStyle w:val="Hyperlink"/>
            <w:rFonts w:cs="宋体" w:hint="eastAsia"/>
            <w:color w:val="auto"/>
            <w:sz w:val="22"/>
            <w:szCs w:val="22"/>
            <w:u w:val="none"/>
          </w:rPr>
          <w:t>建设项目用地预审管理办法</w:t>
        </w:r>
        <w:r>
          <w:rPr>
            <w:rStyle w:val="Hyperlink"/>
            <w:color w:val="auto"/>
            <w:sz w:val="22"/>
            <w:szCs w:val="22"/>
            <w:u w:val="none"/>
          </w:rPr>
          <w:t>(</w:t>
        </w:r>
        <w:r>
          <w:rPr>
            <w:rStyle w:val="Hyperlink"/>
            <w:rFonts w:cs="宋体" w:hint="eastAsia"/>
            <w:color w:val="auto"/>
            <w:sz w:val="22"/>
            <w:szCs w:val="22"/>
            <w:u w:val="none"/>
          </w:rPr>
          <w:t>中华人民共和国国土资源部令第</w:t>
        </w:r>
        <w:r>
          <w:rPr>
            <w:rStyle w:val="Hyperlink"/>
            <w:color w:val="auto"/>
            <w:sz w:val="22"/>
            <w:szCs w:val="22"/>
            <w:u w:val="none"/>
          </w:rPr>
          <w:t>68</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_Toc519872259 \h </w:instrText>
        </w:r>
        <w:r w:rsidRPr="004A1DFB">
          <w:rPr>
            <w:sz w:val="22"/>
            <w:szCs w:val="22"/>
          </w:rPr>
        </w:r>
        <w:r>
          <w:rPr>
            <w:sz w:val="22"/>
            <w:szCs w:val="22"/>
          </w:rPr>
          <w:fldChar w:fldCharType="separate"/>
        </w:r>
        <w:r>
          <w:rPr>
            <w:noProof/>
            <w:sz w:val="22"/>
            <w:szCs w:val="22"/>
          </w:rPr>
          <w:t>46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w:t>
      </w:r>
      <w:hyperlink w:anchor="_Toc519872260" w:history="1">
        <w:r>
          <w:rPr>
            <w:rStyle w:val="Hyperlink"/>
            <w:rFonts w:cs="宋体" w:hint="eastAsia"/>
            <w:color w:val="auto"/>
            <w:sz w:val="22"/>
            <w:szCs w:val="22"/>
            <w:u w:val="none"/>
          </w:rPr>
          <w:t>国土资源部关于修改《建设用地审查报批管理办法》的决定</w:t>
        </w:r>
        <w:r>
          <w:rPr>
            <w:rStyle w:val="Hyperlink"/>
            <w:color w:val="auto"/>
            <w:sz w:val="22"/>
            <w:szCs w:val="22"/>
            <w:u w:val="none"/>
          </w:rPr>
          <w:t>(</w:t>
        </w:r>
        <w:r>
          <w:rPr>
            <w:rStyle w:val="Hyperlink"/>
            <w:rFonts w:cs="宋体" w:hint="eastAsia"/>
            <w:color w:val="auto"/>
            <w:spacing w:val="10"/>
            <w:sz w:val="22"/>
            <w:szCs w:val="22"/>
            <w:u w:val="none"/>
          </w:rPr>
          <w:t>中华人民共和国国土资源部令</w:t>
        </w:r>
        <w:r>
          <w:rPr>
            <w:rStyle w:val="Hyperlink"/>
            <w:rFonts w:cs="宋体" w:hint="eastAsia"/>
            <w:color w:val="auto"/>
            <w:sz w:val="22"/>
            <w:szCs w:val="22"/>
            <w:u w:val="none"/>
          </w:rPr>
          <w:t>第</w:t>
        </w:r>
        <w:r>
          <w:rPr>
            <w:rStyle w:val="Hyperlink"/>
            <w:color w:val="auto"/>
            <w:sz w:val="22"/>
            <w:szCs w:val="22"/>
            <w:u w:val="none"/>
          </w:rPr>
          <w:t>69</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_Toc519872260 \h </w:instrText>
        </w:r>
        <w:r w:rsidRPr="004A1DFB">
          <w:rPr>
            <w:sz w:val="22"/>
            <w:szCs w:val="22"/>
          </w:rPr>
        </w:r>
        <w:r>
          <w:rPr>
            <w:sz w:val="22"/>
            <w:szCs w:val="22"/>
          </w:rPr>
          <w:fldChar w:fldCharType="separate"/>
        </w:r>
        <w:r>
          <w:rPr>
            <w:noProof/>
            <w:sz w:val="22"/>
            <w:szCs w:val="22"/>
          </w:rPr>
          <w:t>48</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5.</w:t>
      </w:r>
      <w:hyperlink w:anchor="_Toc519872261" w:history="1">
        <w:r>
          <w:rPr>
            <w:rStyle w:val="Hyperlink"/>
            <w:rFonts w:cs="宋体" w:hint="eastAsia"/>
            <w:color w:val="auto"/>
            <w:sz w:val="22"/>
            <w:szCs w:val="22"/>
            <w:u w:val="none"/>
          </w:rPr>
          <w:t>建设用地审查报批管理办法</w:t>
        </w:r>
        <w:r>
          <w:rPr>
            <w:sz w:val="22"/>
            <w:szCs w:val="22"/>
          </w:rPr>
          <w:tab/>
        </w:r>
        <w:r>
          <w:rPr>
            <w:sz w:val="22"/>
            <w:szCs w:val="22"/>
          </w:rPr>
          <w:fldChar w:fldCharType="begin"/>
        </w:r>
        <w:r>
          <w:rPr>
            <w:sz w:val="22"/>
            <w:szCs w:val="22"/>
          </w:rPr>
          <w:instrText xml:space="preserve"> PAGEREF _Toc519872261 \h </w:instrText>
        </w:r>
        <w:r w:rsidRPr="004A1DFB">
          <w:rPr>
            <w:sz w:val="22"/>
            <w:szCs w:val="22"/>
          </w:rPr>
        </w:r>
        <w:r>
          <w:rPr>
            <w:sz w:val="22"/>
            <w:szCs w:val="22"/>
          </w:rPr>
          <w:fldChar w:fldCharType="separate"/>
        </w:r>
        <w:r>
          <w:rPr>
            <w:noProof/>
            <w:sz w:val="22"/>
            <w:szCs w:val="22"/>
          </w:rPr>
          <w:t>50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6.</w:t>
      </w:r>
      <w:hyperlink w:anchor="_Toc519872262" w:history="1">
        <w:r>
          <w:rPr>
            <w:rStyle w:val="Hyperlink"/>
            <w:rFonts w:cs="宋体" w:hint="eastAsia"/>
            <w:color w:val="auto"/>
            <w:sz w:val="22"/>
            <w:szCs w:val="22"/>
            <w:u w:val="none"/>
          </w:rPr>
          <w:t>土地利用总体规划管理办法</w:t>
        </w:r>
        <w:r>
          <w:rPr>
            <w:rStyle w:val="Hyperlink"/>
            <w:color w:val="auto"/>
            <w:sz w:val="22"/>
            <w:szCs w:val="22"/>
            <w:u w:val="none"/>
          </w:rPr>
          <w:t>(</w:t>
        </w:r>
        <w:r>
          <w:rPr>
            <w:rStyle w:val="Hyperlink"/>
            <w:rFonts w:cs="宋体" w:hint="eastAsia"/>
            <w:color w:val="auto"/>
            <w:sz w:val="22"/>
            <w:szCs w:val="22"/>
            <w:u w:val="none"/>
          </w:rPr>
          <w:t>中华人民共和国国土资源部部令第</w:t>
        </w:r>
        <w:r>
          <w:rPr>
            <w:rStyle w:val="Hyperlink"/>
            <w:color w:val="auto"/>
            <w:sz w:val="22"/>
            <w:szCs w:val="22"/>
            <w:u w:val="none"/>
          </w:rPr>
          <w:t>72</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_Toc519872262 \h </w:instrText>
        </w:r>
        <w:r w:rsidRPr="004A1DFB">
          <w:rPr>
            <w:sz w:val="22"/>
            <w:szCs w:val="22"/>
          </w:rPr>
        </w:r>
        <w:r>
          <w:rPr>
            <w:sz w:val="22"/>
            <w:szCs w:val="22"/>
          </w:rPr>
          <w:fldChar w:fldCharType="separate"/>
        </w:r>
        <w:r>
          <w:rPr>
            <w:noProof/>
            <w:sz w:val="22"/>
            <w:szCs w:val="22"/>
          </w:rPr>
          <w:t>54</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7.</w:t>
      </w:r>
      <w:hyperlink w:anchor="_Toc519872263" w:history="1">
        <w:r>
          <w:rPr>
            <w:rStyle w:val="Hyperlink"/>
            <w:rFonts w:cs="宋体" w:hint="eastAsia"/>
            <w:color w:val="auto"/>
            <w:kern w:val="0"/>
            <w:sz w:val="22"/>
            <w:szCs w:val="22"/>
            <w:u w:val="none"/>
          </w:rPr>
          <w:t>国土资源部住房和城乡建设部国家旅游局关于支持旅游业发展用地政策的意见</w:t>
        </w:r>
        <w:r>
          <w:rPr>
            <w:rStyle w:val="Hyperlink"/>
            <w:color w:val="auto"/>
            <w:kern w:val="0"/>
            <w:sz w:val="22"/>
            <w:szCs w:val="22"/>
            <w:u w:val="none"/>
          </w:rPr>
          <w:t>(</w:t>
        </w:r>
        <w:r>
          <w:rPr>
            <w:rStyle w:val="Hyperlink"/>
            <w:rFonts w:cs="宋体" w:hint="eastAsia"/>
            <w:color w:val="auto"/>
            <w:kern w:val="0"/>
            <w:sz w:val="22"/>
            <w:szCs w:val="22"/>
            <w:u w:val="none"/>
          </w:rPr>
          <w:t>国土资规〔</w:t>
        </w:r>
        <w:r>
          <w:rPr>
            <w:rStyle w:val="Hyperlink"/>
            <w:color w:val="auto"/>
            <w:kern w:val="0"/>
            <w:sz w:val="22"/>
            <w:szCs w:val="22"/>
            <w:u w:val="none"/>
          </w:rPr>
          <w:t>2015</w:t>
        </w:r>
        <w:r>
          <w:rPr>
            <w:rStyle w:val="Hyperlink"/>
            <w:rFonts w:cs="宋体" w:hint="eastAsia"/>
            <w:color w:val="auto"/>
            <w:kern w:val="0"/>
            <w:sz w:val="22"/>
            <w:szCs w:val="22"/>
            <w:u w:val="none"/>
          </w:rPr>
          <w:t>〕</w:t>
        </w:r>
        <w:r>
          <w:rPr>
            <w:rStyle w:val="Hyperlink"/>
            <w:color w:val="auto"/>
            <w:kern w:val="0"/>
            <w:sz w:val="22"/>
            <w:szCs w:val="22"/>
            <w:u w:val="none"/>
          </w:rPr>
          <w:t>10</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_Toc519872263 \h </w:instrText>
        </w:r>
        <w:r w:rsidRPr="004A1DFB">
          <w:rPr>
            <w:sz w:val="22"/>
            <w:szCs w:val="22"/>
          </w:rPr>
        </w:r>
        <w:r>
          <w:rPr>
            <w:sz w:val="22"/>
            <w:szCs w:val="22"/>
          </w:rPr>
          <w:fldChar w:fldCharType="separate"/>
        </w:r>
        <w:r>
          <w:rPr>
            <w:noProof/>
            <w:sz w:val="22"/>
            <w:szCs w:val="22"/>
          </w:rPr>
          <w:t>63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8.</w:t>
      </w:r>
      <w:hyperlink w:anchor="_Toc519872264" w:history="1">
        <w:r>
          <w:rPr>
            <w:rStyle w:val="Hyperlink"/>
            <w:rFonts w:cs="宋体" w:hint="eastAsia"/>
            <w:color w:val="auto"/>
            <w:sz w:val="22"/>
            <w:szCs w:val="22"/>
            <w:u w:val="none"/>
          </w:rPr>
          <w:t>国土资源部办公厅关于实施《城镇土地分等定级规程》和《城镇土地估价规程》有关问题的通知</w:t>
        </w:r>
        <w:r>
          <w:rPr>
            <w:rStyle w:val="Hyperlink"/>
            <w:color w:val="auto"/>
            <w:sz w:val="22"/>
            <w:szCs w:val="22"/>
            <w:u w:val="none"/>
          </w:rPr>
          <w:t>(</w:t>
        </w:r>
        <w:r>
          <w:rPr>
            <w:rStyle w:val="Hyperlink"/>
            <w:rFonts w:cs="宋体" w:hint="eastAsia"/>
            <w:color w:val="auto"/>
            <w:kern w:val="0"/>
            <w:sz w:val="22"/>
            <w:szCs w:val="22"/>
            <w:u w:val="none"/>
          </w:rPr>
          <w:t>国土资厅发〔</w:t>
        </w:r>
        <w:r>
          <w:rPr>
            <w:rStyle w:val="Hyperlink"/>
            <w:color w:val="auto"/>
            <w:kern w:val="0"/>
            <w:sz w:val="22"/>
            <w:szCs w:val="22"/>
            <w:u w:val="none"/>
          </w:rPr>
          <w:t>2015</w:t>
        </w:r>
        <w:r>
          <w:rPr>
            <w:rStyle w:val="Hyperlink"/>
            <w:rFonts w:cs="宋体" w:hint="eastAsia"/>
            <w:color w:val="auto"/>
            <w:kern w:val="0"/>
            <w:sz w:val="22"/>
            <w:szCs w:val="22"/>
            <w:u w:val="none"/>
          </w:rPr>
          <w:t>〕</w:t>
        </w:r>
        <w:r>
          <w:rPr>
            <w:rStyle w:val="Hyperlink"/>
            <w:color w:val="auto"/>
            <w:kern w:val="0"/>
            <w:sz w:val="22"/>
            <w:szCs w:val="22"/>
            <w:u w:val="none"/>
          </w:rPr>
          <w:t>12</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_Toc519872264 \h </w:instrText>
        </w:r>
        <w:r w:rsidRPr="004A1DFB">
          <w:rPr>
            <w:sz w:val="22"/>
            <w:szCs w:val="22"/>
          </w:rPr>
        </w:r>
        <w:r>
          <w:rPr>
            <w:sz w:val="22"/>
            <w:szCs w:val="22"/>
          </w:rPr>
          <w:fldChar w:fldCharType="separate"/>
        </w:r>
        <w:r>
          <w:rPr>
            <w:noProof/>
            <w:sz w:val="22"/>
            <w:szCs w:val="22"/>
          </w:rPr>
          <w:t>66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9.</w:t>
      </w:r>
      <w:hyperlink w:anchor="_Toc519872265" w:history="1">
        <w:r>
          <w:rPr>
            <w:rStyle w:val="Hyperlink"/>
            <w:rFonts w:cs="宋体" w:hint="eastAsia"/>
            <w:color w:val="auto"/>
            <w:sz w:val="22"/>
            <w:szCs w:val="22"/>
            <w:u w:val="none"/>
          </w:rPr>
          <w:t>国土资源部国家发展改革委关于深入推进农业供给侧结构性改革做好农村产业融合发展用地保障的通知</w:t>
        </w:r>
        <w:r>
          <w:rPr>
            <w:rStyle w:val="Hyperlink"/>
            <w:color w:val="auto"/>
            <w:sz w:val="22"/>
            <w:szCs w:val="22"/>
            <w:u w:val="none"/>
          </w:rPr>
          <w:t>(</w:t>
        </w:r>
        <w:r>
          <w:rPr>
            <w:rStyle w:val="Hyperlink"/>
            <w:rFonts w:cs="宋体" w:hint="eastAsia"/>
            <w:color w:val="auto"/>
            <w:kern w:val="0"/>
            <w:sz w:val="22"/>
            <w:szCs w:val="22"/>
            <w:u w:val="none"/>
          </w:rPr>
          <w:t>国土资规</w:t>
        </w:r>
        <w:r>
          <w:rPr>
            <w:rStyle w:val="Hyperlink"/>
            <w:color w:val="auto"/>
            <w:kern w:val="0"/>
            <w:sz w:val="22"/>
            <w:szCs w:val="22"/>
            <w:u w:val="none"/>
          </w:rPr>
          <w:t>[2017]12</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_Toc519872265 \h </w:instrText>
        </w:r>
        <w:r w:rsidRPr="004A1DFB">
          <w:rPr>
            <w:sz w:val="22"/>
            <w:szCs w:val="22"/>
          </w:rPr>
        </w:r>
        <w:r>
          <w:rPr>
            <w:sz w:val="22"/>
            <w:szCs w:val="22"/>
          </w:rPr>
          <w:fldChar w:fldCharType="separate"/>
        </w:r>
        <w:r>
          <w:rPr>
            <w:noProof/>
            <w:sz w:val="22"/>
            <w:szCs w:val="22"/>
          </w:rPr>
          <w:t>68</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10</w:t>
      </w:r>
      <w:hyperlink w:anchor="_Toc519872266" w:history="1">
        <w:r>
          <w:rPr>
            <w:rStyle w:val="Hyperlink"/>
            <w:rFonts w:cs="宋体" w:hint="eastAsia"/>
            <w:color w:val="auto"/>
            <w:sz w:val="22"/>
            <w:szCs w:val="22"/>
            <w:u w:val="none"/>
          </w:rPr>
          <w:t>中华人民共和国城镇国有土地使用权出让和转让暂行条例</w:t>
        </w:r>
        <w:r>
          <w:rPr>
            <w:rStyle w:val="Hyperlink"/>
            <w:color w:val="auto"/>
            <w:sz w:val="22"/>
            <w:szCs w:val="22"/>
            <w:u w:val="none"/>
          </w:rPr>
          <w:t>(</w:t>
        </w:r>
        <w:r>
          <w:rPr>
            <w:rStyle w:val="Hyperlink"/>
            <w:rFonts w:cs="宋体" w:hint="eastAsia"/>
            <w:color w:val="auto"/>
            <w:kern w:val="0"/>
            <w:sz w:val="22"/>
            <w:szCs w:val="22"/>
            <w:u w:val="none"/>
          </w:rPr>
          <w:t>中华人民共和国国务院令第</w:t>
        </w:r>
        <w:r>
          <w:rPr>
            <w:rStyle w:val="Hyperlink"/>
            <w:color w:val="auto"/>
            <w:kern w:val="0"/>
            <w:sz w:val="22"/>
            <w:szCs w:val="22"/>
            <w:u w:val="none"/>
          </w:rPr>
          <w:t>55</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_Toc519872266 \h </w:instrText>
        </w:r>
        <w:r w:rsidRPr="004A1DFB">
          <w:rPr>
            <w:sz w:val="22"/>
            <w:szCs w:val="22"/>
          </w:rPr>
        </w:r>
        <w:r>
          <w:rPr>
            <w:sz w:val="22"/>
            <w:szCs w:val="22"/>
          </w:rPr>
          <w:fldChar w:fldCharType="separate"/>
        </w:r>
        <w:r>
          <w:rPr>
            <w:noProof/>
            <w:sz w:val="22"/>
            <w:szCs w:val="22"/>
          </w:rPr>
          <w:t>70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11.</w:t>
      </w:r>
      <w:hyperlink w:anchor="_Toc519872267" w:history="1">
        <w:r>
          <w:rPr>
            <w:rStyle w:val="Hyperlink"/>
            <w:rFonts w:cs="宋体" w:hint="eastAsia"/>
            <w:color w:val="auto"/>
            <w:sz w:val="22"/>
            <w:szCs w:val="22"/>
            <w:u w:val="none"/>
          </w:rPr>
          <w:t>中华人民共和国城镇土地使用税暂行条例</w:t>
        </w:r>
        <w:r>
          <w:rPr>
            <w:rStyle w:val="Hyperlink"/>
            <w:color w:val="auto"/>
            <w:sz w:val="22"/>
            <w:szCs w:val="22"/>
            <w:u w:val="none"/>
          </w:rPr>
          <w:t>(</w:t>
        </w:r>
        <w:r>
          <w:rPr>
            <w:rStyle w:val="Hyperlink"/>
            <w:rFonts w:cs="宋体" w:hint="eastAsia"/>
            <w:color w:val="auto"/>
            <w:sz w:val="22"/>
            <w:szCs w:val="22"/>
            <w:u w:val="none"/>
          </w:rPr>
          <w:t>中华人民共和国国务院令第</w:t>
        </w:r>
        <w:r>
          <w:rPr>
            <w:rStyle w:val="Hyperlink"/>
            <w:color w:val="auto"/>
            <w:sz w:val="22"/>
            <w:szCs w:val="22"/>
            <w:u w:val="none"/>
          </w:rPr>
          <w:t>645</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_Toc519872267 \h </w:instrText>
        </w:r>
        <w:r w:rsidRPr="004A1DFB">
          <w:rPr>
            <w:sz w:val="22"/>
            <w:szCs w:val="22"/>
          </w:rPr>
        </w:r>
        <w:r>
          <w:rPr>
            <w:sz w:val="22"/>
            <w:szCs w:val="22"/>
          </w:rPr>
          <w:fldChar w:fldCharType="separate"/>
        </w:r>
        <w:r>
          <w:rPr>
            <w:noProof/>
            <w:sz w:val="22"/>
            <w:szCs w:val="22"/>
          </w:rPr>
          <w:t>75</w:t>
        </w:r>
        <w:r>
          <w:rPr>
            <w:sz w:val="22"/>
            <w:szCs w:val="22"/>
          </w:rPr>
          <w:fldChar w:fldCharType="end"/>
        </w:r>
      </w:hyperlink>
    </w:p>
    <w:p w:rsidR="00A32067" w:rsidRDefault="00A32067" w:rsidP="005431C7">
      <w:pPr>
        <w:pStyle w:val="TOC3"/>
        <w:tabs>
          <w:tab w:val="right" w:leader="dot" w:pos="9459"/>
        </w:tabs>
        <w:spacing w:line="360" w:lineRule="auto"/>
        <w:ind w:left="31680"/>
        <w:rPr>
          <w:rStyle w:val="Hyperlink"/>
          <w:color w:val="auto"/>
          <w:sz w:val="22"/>
          <w:szCs w:val="22"/>
          <w:u w:val="none"/>
        </w:rPr>
        <w:sectPr w:rsidR="00A32067">
          <w:headerReference w:type="even" r:id="rId7"/>
          <w:footerReference w:type="default" r:id="rId8"/>
          <w:pgSz w:w="11907" w:h="16840"/>
          <w:pgMar w:top="1134" w:right="1077" w:bottom="1134" w:left="1077" w:header="794" w:footer="567" w:gutter="284"/>
          <w:pgNumType w:start="1"/>
          <w:cols w:space="720"/>
          <w:titlePg/>
          <w:docGrid w:linePitch="312"/>
        </w:sectPr>
      </w:pPr>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12.</w:t>
      </w:r>
      <w:hyperlink w:anchor="_Toc519872268" w:history="1">
        <w:r>
          <w:rPr>
            <w:rStyle w:val="Hyperlink"/>
            <w:rFonts w:cs="宋体" w:hint="eastAsia"/>
            <w:color w:val="auto"/>
            <w:sz w:val="22"/>
            <w:szCs w:val="22"/>
            <w:u w:val="none"/>
          </w:rPr>
          <w:t>中华人民共和国耕地占用税暂行条例</w:t>
        </w:r>
        <w:r>
          <w:rPr>
            <w:rStyle w:val="Hyperlink"/>
            <w:color w:val="auto"/>
            <w:sz w:val="22"/>
            <w:szCs w:val="22"/>
            <w:u w:val="none"/>
          </w:rPr>
          <w:t>(</w:t>
        </w:r>
        <w:r>
          <w:rPr>
            <w:rStyle w:val="Hyperlink"/>
            <w:rFonts w:cs="宋体" w:hint="eastAsia"/>
            <w:color w:val="auto"/>
            <w:spacing w:val="10"/>
            <w:kern w:val="0"/>
            <w:sz w:val="22"/>
            <w:szCs w:val="22"/>
            <w:u w:val="none"/>
          </w:rPr>
          <w:t>中华人民共和国国务院令第</w:t>
        </w:r>
        <w:r>
          <w:rPr>
            <w:rStyle w:val="Hyperlink"/>
            <w:color w:val="auto"/>
            <w:spacing w:val="10"/>
            <w:kern w:val="0"/>
            <w:sz w:val="22"/>
            <w:szCs w:val="22"/>
            <w:u w:val="none"/>
          </w:rPr>
          <w:t>511</w:t>
        </w:r>
        <w:r>
          <w:rPr>
            <w:rStyle w:val="Hyperlink"/>
            <w:rFonts w:cs="宋体" w:hint="eastAsia"/>
            <w:color w:val="auto"/>
            <w:spacing w:val="10"/>
            <w:kern w:val="0"/>
            <w:sz w:val="22"/>
            <w:szCs w:val="22"/>
            <w:u w:val="none"/>
          </w:rPr>
          <w:t>号</w:t>
        </w:r>
        <w:r>
          <w:rPr>
            <w:rStyle w:val="Hyperlink"/>
            <w:color w:val="auto"/>
            <w:spacing w:val="10"/>
            <w:kern w:val="0"/>
            <w:sz w:val="22"/>
            <w:szCs w:val="22"/>
            <w:u w:val="none"/>
          </w:rPr>
          <w:t>)</w:t>
        </w:r>
        <w:r>
          <w:rPr>
            <w:sz w:val="22"/>
            <w:szCs w:val="22"/>
          </w:rPr>
          <w:tab/>
        </w:r>
        <w:r>
          <w:rPr>
            <w:sz w:val="22"/>
            <w:szCs w:val="22"/>
          </w:rPr>
          <w:fldChar w:fldCharType="begin"/>
        </w:r>
        <w:r>
          <w:rPr>
            <w:sz w:val="22"/>
            <w:szCs w:val="22"/>
          </w:rPr>
          <w:instrText xml:space="preserve"> PAGEREF _Toc519872268 \h </w:instrText>
        </w:r>
        <w:r w:rsidRPr="004A1DFB">
          <w:rPr>
            <w:sz w:val="22"/>
            <w:szCs w:val="22"/>
          </w:rPr>
        </w:r>
        <w:r>
          <w:rPr>
            <w:sz w:val="22"/>
            <w:szCs w:val="22"/>
          </w:rPr>
          <w:fldChar w:fldCharType="separate"/>
        </w:r>
        <w:r>
          <w:rPr>
            <w:noProof/>
            <w:sz w:val="22"/>
            <w:szCs w:val="22"/>
          </w:rPr>
          <w:t>77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13.</w:t>
      </w:r>
      <w:hyperlink w:anchor="_Toc519872269" w:history="1">
        <w:r>
          <w:rPr>
            <w:rStyle w:val="Hyperlink"/>
            <w:rFonts w:cs="宋体" w:hint="eastAsia"/>
            <w:color w:val="auto"/>
            <w:sz w:val="22"/>
            <w:szCs w:val="22"/>
            <w:u w:val="none"/>
          </w:rPr>
          <w:t>中华人民共和国耕地占用税暂行条例实施细则</w:t>
        </w:r>
        <w:r>
          <w:rPr>
            <w:sz w:val="22"/>
            <w:szCs w:val="22"/>
          </w:rPr>
          <w:tab/>
        </w:r>
        <w:r>
          <w:rPr>
            <w:sz w:val="22"/>
            <w:szCs w:val="22"/>
          </w:rPr>
          <w:fldChar w:fldCharType="begin"/>
        </w:r>
        <w:r>
          <w:rPr>
            <w:sz w:val="22"/>
            <w:szCs w:val="22"/>
          </w:rPr>
          <w:instrText xml:space="preserve"> PAGEREF _Toc519872269 \h </w:instrText>
        </w:r>
        <w:r w:rsidRPr="004A1DFB">
          <w:rPr>
            <w:sz w:val="22"/>
            <w:szCs w:val="22"/>
          </w:rPr>
        </w:r>
        <w:r>
          <w:rPr>
            <w:sz w:val="22"/>
            <w:szCs w:val="22"/>
          </w:rPr>
          <w:fldChar w:fldCharType="separate"/>
        </w:r>
        <w:r>
          <w:rPr>
            <w:noProof/>
            <w:sz w:val="22"/>
            <w:szCs w:val="22"/>
          </w:rPr>
          <w:t>79</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14.</w:t>
      </w:r>
      <w:hyperlink w:anchor="_Toc519872270" w:history="1">
        <w:r>
          <w:rPr>
            <w:rStyle w:val="Hyperlink"/>
            <w:rFonts w:cs="宋体" w:hint="eastAsia"/>
            <w:color w:val="auto"/>
            <w:sz w:val="22"/>
            <w:szCs w:val="22"/>
            <w:u w:val="none"/>
          </w:rPr>
          <w:t>河北省土地管理条例</w:t>
        </w:r>
        <w:r>
          <w:rPr>
            <w:sz w:val="22"/>
            <w:szCs w:val="22"/>
          </w:rPr>
          <w:tab/>
        </w:r>
        <w:r>
          <w:rPr>
            <w:sz w:val="22"/>
            <w:szCs w:val="22"/>
          </w:rPr>
          <w:fldChar w:fldCharType="begin"/>
        </w:r>
        <w:r>
          <w:rPr>
            <w:sz w:val="22"/>
            <w:szCs w:val="22"/>
          </w:rPr>
          <w:instrText xml:space="preserve"> PAGEREF _Toc519872270 \h </w:instrText>
        </w:r>
        <w:r w:rsidRPr="004A1DFB">
          <w:rPr>
            <w:sz w:val="22"/>
            <w:szCs w:val="22"/>
          </w:rPr>
        </w:r>
        <w:r>
          <w:rPr>
            <w:sz w:val="22"/>
            <w:szCs w:val="22"/>
          </w:rPr>
          <w:fldChar w:fldCharType="separate"/>
        </w:r>
        <w:r>
          <w:rPr>
            <w:noProof/>
            <w:sz w:val="22"/>
            <w:szCs w:val="22"/>
          </w:rPr>
          <w:t>83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15.</w:t>
      </w:r>
      <w:hyperlink w:anchor="_Toc519872271" w:history="1">
        <w:r>
          <w:rPr>
            <w:rStyle w:val="Hyperlink"/>
            <w:rFonts w:cs="宋体" w:hint="eastAsia"/>
            <w:color w:val="auto"/>
            <w:sz w:val="22"/>
            <w:szCs w:val="22"/>
            <w:u w:val="none"/>
          </w:rPr>
          <w:t>河北省城镇国有土地使用权出让和转让实施办法</w:t>
        </w:r>
        <w:r>
          <w:rPr>
            <w:sz w:val="22"/>
            <w:szCs w:val="22"/>
          </w:rPr>
          <w:tab/>
        </w:r>
        <w:r>
          <w:rPr>
            <w:sz w:val="22"/>
            <w:szCs w:val="22"/>
          </w:rPr>
          <w:fldChar w:fldCharType="begin"/>
        </w:r>
        <w:r>
          <w:rPr>
            <w:sz w:val="22"/>
            <w:szCs w:val="22"/>
          </w:rPr>
          <w:instrText xml:space="preserve"> PAGEREF _Toc519872271 \h </w:instrText>
        </w:r>
        <w:r w:rsidRPr="004A1DFB">
          <w:rPr>
            <w:sz w:val="22"/>
            <w:szCs w:val="22"/>
          </w:rPr>
        </w:r>
        <w:r>
          <w:rPr>
            <w:sz w:val="22"/>
            <w:szCs w:val="22"/>
          </w:rPr>
          <w:fldChar w:fldCharType="separate"/>
        </w:r>
        <w:r>
          <w:rPr>
            <w:noProof/>
            <w:sz w:val="22"/>
            <w:szCs w:val="22"/>
          </w:rPr>
          <w:t>92</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16.</w:t>
      </w:r>
      <w:hyperlink w:anchor="_Toc519872272" w:history="1">
        <w:r>
          <w:rPr>
            <w:rStyle w:val="Hyperlink"/>
            <w:rFonts w:cs="宋体" w:hint="eastAsia"/>
            <w:color w:val="auto"/>
            <w:sz w:val="22"/>
            <w:szCs w:val="22"/>
            <w:u w:val="none"/>
          </w:rPr>
          <w:t>财政部国土资源部中国人民银行关于调整新增建设用地土地有偿使用费政策等问题的通知</w:t>
        </w:r>
        <w:r>
          <w:rPr>
            <w:rStyle w:val="Hyperlink"/>
            <w:color w:val="auto"/>
            <w:sz w:val="22"/>
            <w:szCs w:val="22"/>
            <w:u w:val="none"/>
          </w:rPr>
          <w:t>(</w:t>
        </w:r>
        <w:r>
          <w:rPr>
            <w:rStyle w:val="Hyperlink"/>
            <w:rFonts w:cs="宋体" w:hint="eastAsia"/>
            <w:color w:val="auto"/>
            <w:sz w:val="22"/>
            <w:szCs w:val="22"/>
            <w:u w:val="none"/>
          </w:rPr>
          <w:t>财综</w:t>
        </w:r>
        <w:r>
          <w:rPr>
            <w:rStyle w:val="Hyperlink"/>
            <w:color w:val="auto"/>
            <w:sz w:val="22"/>
            <w:szCs w:val="22"/>
            <w:u w:val="none"/>
          </w:rPr>
          <w:t>[2006]48</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_Toc519872272 \h </w:instrText>
        </w:r>
        <w:r w:rsidRPr="004A1DFB">
          <w:rPr>
            <w:sz w:val="22"/>
            <w:szCs w:val="22"/>
          </w:rPr>
        </w:r>
        <w:r>
          <w:rPr>
            <w:sz w:val="22"/>
            <w:szCs w:val="22"/>
          </w:rPr>
          <w:fldChar w:fldCharType="separate"/>
        </w:r>
        <w:r>
          <w:rPr>
            <w:noProof/>
            <w:sz w:val="22"/>
            <w:szCs w:val="22"/>
          </w:rPr>
          <w:t>97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17.</w:t>
      </w:r>
      <w:hyperlink w:anchor="_Toc519872273" w:history="1">
        <w:r>
          <w:rPr>
            <w:rStyle w:val="Hyperlink"/>
            <w:rFonts w:cs="宋体" w:hint="eastAsia"/>
            <w:color w:val="auto"/>
            <w:sz w:val="22"/>
            <w:szCs w:val="22"/>
            <w:u w:val="none"/>
          </w:rPr>
          <w:t>关于发布实施《全国工业用地出让最低价标准》的通知</w:t>
        </w:r>
        <w:r>
          <w:rPr>
            <w:rStyle w:val="Hyperlink"/>
            <w:color w:val="auto"/>
            <w:sz w:val="22"/>
            <w:szCs w:val="22"/>
            <w:u w:val="none"/>
          </w:rPr>
          <w:t>(</w:t>
        </w:r>
        <w:r>
          <w:rPr>
            <w:rStyle w:val="Hyperlink"/>
            <w:rFonts w:cs="宋体" w:hint="eastAsia"/>
            <w:color w:val="auto"/>
            <w:sz w:val="22"/>
            <w:szCs w:val="22"/>
            <w:u w:val="none"/>
          </w:rPr>
          <w:t>国土资发〔</w:t>
        </w:r>
        <w:r>
          <w:rPr>
            <w:rStyle w:val="Hyperlink"/>
            <w:color w:val="auto"/>
            <w:sz w:val="22"/>
            <w:szCs w:val="22"/>
            <w:u w:val="none"/>
          </w:rPr>
          <w:t>2006</w:t>
        </w:r>
        <w:r>
          <w:rPr>
            <w:rStyle w:val="Hyperlink"/>
            <w:rFonts w:cs="宋体" w:hint="eastAsia"/>
            <w:color w:val="auto"/>
            <w:sz w:val="22"/>
            <w:szCs w:val="22"/>
            <w:u w:val="none"/>
          </w:rPr>
          <w:t>〕</w:t>
        </w:r>
        <w:r>
          <w:rPr>
            <w:rStyle w:val="Hyperlink"/>
            <w:color w:val="auto"/>
            <w:sz w:val="22"/>
            <w:szCs w:val="22"/>
            <w:u w:val="none"/>
          </w:rPr>
          <w:t>307</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_Toc519872273 \h </w:instrText>
        </w:r>
        <w:r w:rsidRPr="004A1DFB">
          <w:rPr>
            <w:sz w:val="22"/>
            <w:szCs w:val="22"/>
          </w:rPr>
        </w:r>
        <w:r>
          <w:rPr>
            <w:sz w:val="22"/>
            <w:szCs w:val="22"/>
          </w:rPr>
          <w:fldChar w:fldCharType="separate"/>
        </w:r>
        <w:r>
          <w:rPr>
            <w:noProof/>
            <w:sz w:val="22"/>
            <w:szCs w:val="22"/>
          </w:rPr>
          <w:t>102</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18.</w:t>
      </w:r>
      <w:hyperlink w:anchor="_Toc519872274" w:history="1">
        <w:r>
          <w:rPr>
            <w:rStyle w:val="Hyperlink"/>
            <w:rFonts w:cs="宋体" w:hint="eastAsia"/>
            <w:color w:val="auto"/>
            <w:sz w:val="22"/>
            <w:szCs w:val="22"/>
            <w:u w:val="none"/>
          </w:rPr>
          <w:t>河北省城镇土地使用税实施办法</w:t>
        </w:r>
        <w:r>
          <w:rPr>
            <w:rStyle w:val="Hyperlink"/>
            <w:color w:val="auto"/>
            <w:sz w:val="22"/>
            <w:szCs w:val="22"/>
            <w:u w:val="none"/>
          </w:rPr>
          <w:t>(</w:t>
        </w:r>
        <w:r>
          <w:rPr>
            <w:rStyle w:val="Hyperlink"/>
            <w:rFonts w:cs="宋体" w:hint="eastAsia"/>
            <w:color w:val="auto"/>
            <w:kern w:val="0"/>
            <w:sz w:val="22"/>
            <w:szCs w:val="22"/>
            <w:u w:val="none"/>
          </w:rPr>
          <w:t>河北省人民政府令〔</w:t>
        </w:r>
        <w:r>
          <w:rPr>
            <w:rStyle w:val="Hyperlink"/>
            <w:color w:val="auto"/>
            <w:kern w:val="0"/>
            <w:sz w:val="22"/>
            <w:szCs w:val="22"/>
            <w:u w:val="none"/>
          </w:rPr>
          <w:t>2013</w:t>
        </w:r>
        <w:r>
          <w:rPr>
            <w:rStyle w:val="Hyperlink"/>
            <w:rFonts w:cs="宋体" w:hint="eastAsia"/>
            <w:color w:val="auto"/>
            <w:kern w:val="0"/>
            <w:sz w:val="22"/>
            <w:szCs w:val="22"/>
            <w:u w:val="none"/>
          </w:rPr>
          <w:t>〕第</w:t>
        </w:r>
        <w:r>
          <w:rPr>
            <w:rStyle w:val="Hyperlink"/>
            <w:color w:val="auto"/>
            <w:kern w:val="0"/>
            <w:sz w:val="22"/>
            <w:szCs w:val="22"/>
            <w:u w:val="none"/>
          </w:rPr>
          <w:t>11</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_Toc519872274 \h </w:instrText>
        </w:r>
        <w:r w:rsidRPr="004A1DFB">
          <w:rPr>
            <w:sz w:val="22"/>
            <w:szCs w:val="22"/>
          </w:rPr>
        </w:r>
        <w:r>
          <w:rPr>
            <w:sz w:val="22"/>
            <w:szCs w:val="22"/>
          </w:rPr>
          <w:fldChar w:fldCharType="separate"/>
        </w:r>
        <w:r>
          <w:rPr>
            <w:noProof/>
            <w:sz w:val="22"/>
            <w:szCs w:val="22"/>
          </w:rPr>
          <w:t>105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19.</w:t>
      </w:r>
      <w:hyperlink w:anchor="_Toc519872275" w:history="1">
        <w:r>
          <w:rPr>
            <w:rStyle w:val="Hyperlink"/>
            <w:rFonts w:cs="宋体" w:hint="eastAsia"/>
            <w:color w:val="auto"/>
            <w:sz w:val="22"/>
            <w:szCs w:val="22"/>
            <w:u w:val="none"/>
          </w:rPr>
          <w:t>河北省耕地占用税实施办法</w:t>
        </w:r>
        <w:r>
          <w:rPr>
            <w:sz w:val="22"/>
            <w:szCs w:val="22"/>
          </w:rPr>
          <w:tab/>
        </w:r>
        <w:r>
          <w:rPr>
            <w:sz w:val="22"/>
            <w:szCs w:val="22"/>
          </w:rPr>
          <w:fldChar w:fldCharType="begin"/>
        </w:r>
        <w:r>
          <w:rPr>
            <w:sz w:val="22"/>
            <w:szCs w:val="22"/>
          </w:rPr>
          <w:instrText xml:space="preserve"> PAGEREF _Toc519872275 \h </w:instrText>
        </w:r>
        <w:r w:rsidRPr="004A1DFB">
          <w:rPr>
            <w:sz w:val="22"/>
            <w:szCs w:val="22"/>
          </w:rPr>
        </w:r>
        <w:r>
          <w:rPr>
            <w:sz w:val="22"/>
            <w:szCs w:val="22"/>
          </w:rPr>
          <w:fldChar w:fldCharType="separate"/>
        </w:r>
        <w:r>
          <w:rPr>
            <w:noProof/>
            <w:sz w:val="22"/>
            <w:szCs w:val="22"/>
          </w:rPr>
          <w:t>107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20.</w:t>
      </w:r>
      <w:hyperlink w:anchor="_Toc519872276" w:history="1">
        <w:r>
          <w:rPr>
            <w:rStyle w:val="Hyperlink"/>
            <w:rFonts w:cs="宋体" w:hint="eastAsia"/>
            <w:color w:val="auto"/>
            <w:sz w:val="22"/>
            <w:szCs w:val="22"/>
            <w:u w:val="none"/>
          </w:rPr>
          <w:t>河北省县</w:t>
        </w:r>
        <w:r>
          <w:rPr>
            <w:rStyle w:val="Hyperlink"/>
            <w:color w:val="auto"/>
            <w:sz w:val="22"/>
            <w:szCs w:val="22"/>
            <w:u w:val="none"/>
          </w:rPr>
          <w:t>(</w:t>
        </w:r>
        <w:r>
          <w:rPr>
            <w:rStyle w:val="Hyperlink"/>
            <w:rFonts w:cs="宋体" w:hint="eastAsia"/>
            <w:color w:val="auto"/>
            <w:sz w:val="22"/>
            <w:szCs w:val="22"/>
            <w:u w:val="none"/>
          </w:rPr>
          <w:t>市、区</w:t>
        </w:r>
        <w:r>
          <w:rPr>
            <w:rStyle w:val="Hyperlink"/>
            <w:color w:val="auto"/>
            <w:sz w:val="22"/>
            <w:szCs w:val="22"/>
            <w:u w:val="none"/>
          </w:rPr>
          <w:t>)</w:t>
        </w:r>
        <w:r>
          <w:rPr>
            <w:rStyle w:val="Hyperlink"/>
            <w:rFonts w:cs="宋体" w:hint="eastAsia"/>
            <w:color w:val="auto"/>
            <w:sz w:val="22"/>
            <w:szCs w:val="22"/>
            <w:u w:val="none"/>
          </w:rPr>
          <w:t>耕地占用税适用税额表</w:t>
        </w:r>
        <w:r>
          <w:rPr>
            <w:sz w:val="22"/>
            <w:szCs w:val="22"/>
          </w:rPr>
          <w:tab/>
        </w:r>
        <w:r>
          <w:rPr>
            <w:sz w:val="22"/>
            <w:szCs w:val="22"/>
          </w:rPr>
          <w:fldChar w:fldCharType="begin"/>
        </w:r>
        <w:r>
          <w:rPr>
            <w:sz w:val="22"/>
            <w:szCs w:val="22"/>
          </w:rPr>
          <w:instrText xml:space="preserve"> PAGEREF _Toc519872276 \h </w:instrText>
        </w:r>
        <w:r w:rsidRPr="004A1DFB">
          <w:rPr>
            <w:sz w:val="22"/>
            <w:szCs w:val="22"/>
          </w:rPr>
        </w:r>
        <w:r>
          <w:rPr>
            <w:sz w:val="22"/>
            <w:szCs w:val="22"/>
          </w:rPr>
          <w:fldChar w:fldCharType="separate"/>
        </w:r>
        <w:r>
          <w:rPr>
            <w:noProof/>
            <w:sz w:val="22"/>
            <w:szCs w:val="22"/>
          </w:rPr>
          <w:t>108</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21.</w:t>
      </w:r>
      <w:hyperlink w:anchor="_Toc519872277" w:history="1">
        <w:r>
          <w:rPr>
            <w:rStyle w:val="Hyperlink"/>
            <w:rFonts w:cs="宋体" w:hint="eastAsia"/>
            <w:color w:val="auto"/>
            <w:sz w:val="22"/>
            <w:szCs w:val="22"/>
            <w:u w:val="none"/>
          </w:rPr>
          <w:t>河北省契税实施办法</w:t>
        </w:r>
        <w:r>
          <w:rPr>
            <w:sz w:val="22"/>
            <w:szCs w:val="22"/>
          </w:rPr>
          <w:tab/>
        </w:r>
        <w:r>
          <w:rPr>
            <w:sz w:val="22"/>
            <w:szCs w:val="22"/>
          </w:rPr>
          <w:fldChar w:fldCharType="begin"/>
        </w:r>
        <w:r>
          <w:rPr>
            <w:sz w:val="22"/>
            <w:szCs w:val="22"/>
          </w:rPr>
          <w:instrText xml:space="preserve"> PAGEREF _Toc519872277 \h </w:instrText>
        </w:r>
        <w:r w:rsidRPr="004A1DFB">
          <w:rPr>
            <w:sz w:val="22"/>
            <w:szCs w:val="22"/>
          </w:rPr>
        </w:r>
        <w:r>
          <w:rPr>
            <w:sz w:val="22"/>
            <w:szCs w:val="22"/>
          </w:rPr>
          <w:fldChar w:fldCharType="separate"/>
        </w:r>
        <w:r>
          <w:rPr>
            <w:noProof/>
            <w:sz w:val="22"/>
            <w:szCs w:val="22"/>
          </w:rPr>
          <w:t>110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22.</w:t>
      </w:r>
      <w:hyperlink w:anchor="_Toc519872278" w:history="1">
        <w:r>
          <w:rPr>
            <w:rStyle w:val="Hyperlink"/>
            <w:rFonts w:cs="宋体" w:hint="eastAsia"/>
            <w:color w:val="auto"/>
            <w:sz w:val="22"/>
            <w:szCs w:val="22"/>
            <w:u w:val="none"/>
          </w:rPr>
          <w:t>河北省地方税务局关于征收耕地占用税契税的通知</w:t>
        </w:r>
        <w:r>
          <w:rPr>
            <w:sz w:val="22"/>
            <w:szCs w:val="22"/>
          </w:rPr>
          <w:tab/>
        </w:r>
        <w:r>
          <w:rPr>
            <w:sz w:val="22"/>
            <w:szCs w:val="22"/>
          </w:rPr>
          <w:fldChar w:fldCharType="begin"/>
        </w:r>
        <w:r>
          <w:rPr>
            <w:sz w:val="22"/>
            <w:szCs w:val="22"/>
          </w:rPr>
          <w:instrText xml:space="preserve"> PAGEREF _Toc519872278 \h </w:instrText>
        </w:r>
        <w:r w:rsidRPr="004A1DFB">
          <w:rPr>
            <w:sz w:val="22"/>
            <w:szCs w:val="22"/>
          </w:rPr>
        </w:r>
        <w:r>
          <w:rPr>
            <w:sz w:val="22"/>
            <w:szCs w:val="22"/>
          </w:rPr>
          <w:fldChar w:fldCharType="separate"/>
        </w:r>
        <w:r>
          <w:rPr>
            <w:noProof/>
            <w:sz w:val="22"/>
            <w:szCs w:val="22"/>
          </w:rPr>
          <w:t>113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23</w:t>
      </w:r>
      <w:hyperlink w:anchor="_Toc519872279" w:history="1">
        <w:r>
          <w:rPr>
            <w:rStyle w:val="Hyperlink"/>
            <w:rFonts w:cs="宋体" w:hint="eastAsia"/>
            <w:color w:val="auto"/>
            <w:sz w:val="22"/>
            <w:szCs w:val="22"/>
            <w:u w:val="none"/>
          </w:rPr>
          <w:t>关于取消、停征和免征一批行政事业性收费的通知</w:t>
        </w:r>
        <w:r>
          <w:rPr>
            <w:rStyle w:val="Hyperlink"/>
            <w:color w:val="auto"/>
            <w:sz w:val="22"/>
            <w:szCs w:val="22"/>
            <w:u w:val="none"/>
          </w:rPr>
          <w:t>(</w:t>
        </w:r>
        <w:r>
          <w:rPr>
            <w:rStyle w:val="Hyperlink"/>
            <w:rFonts w:cs="宋体" w:hint="eastAsia"/>
            <w:color w:val="auto"/>
            <w:kern w:val="0"/>
            <w:sz w:val="22"/>
            <w:szCs w:val="22"/>
            <w:u w:val="none"/>
          </w:rPr>
          <w:t>财税</w:t>
        </w:r>
        <w:r>
          <w:rPr>
            <w:rStyle w:val="Hyperlink"/>
            <w:color w:val="auto"/>
            <w:kern w:val="0"/>
            <w:sz w:val="22"/>
            <w:szCs w:val="22"/>
            <w:u w:val="none"/>
          </w:rPr>
          <w:t>[2014]101</w:t>
        </w:r>
        <w:r>
          <w:rPr>
            <w:rStyle w:val="Hyperlink"/>
            <w:rFonts w:cs="宋体" w:hint="eastAsia"/>
            <w:color w:val="auto"/>
            <w:kern w:val="0"/>
            <w:sz w:val="22"/>
            <w:szCs w:val="22"/>
            <w:u w:val="none"/>
          </w:rPr>
          <w:t>号</w:t>
        </w:r>
        <w:r>
          <w:rPr>
            <w:rStyle w:val="Hyperlink"/>
            <w:color w:val="auto"/>
            <w:kern w:val="0"/>
            <w:sz w:val="22"/>
            <w:szCs w:val="22"/>
            <w:u w:val="none"/>
          </w:rPr>
          <w:t>)</w:t>
        </w:r>
        <w:r>
          <w:rPr>
            <w:sz w:val="22"/>
            <w:szCs w:val="22"/>
          </w:rPr>
          <w:tab/>
        </w:r>
        <w:r>
          <w:rPr>
            <w:sz w:val="22"/>
            <w:szCs w:val="22"/>
          </w:rPr>
          <w:fldChar w:fldCharType="begin"/>
        </w:r>
        <w:r>
          <w:rPr>
            <w:sz w:val="22"/>
            <w:szCs w:val="22"/>
          </w:rPr>
          <w:instrText xml:space="preserve"> PAGEREF _Toc519872279 \h </w:instrText>
        </w:r>
        <w:r w:rsidRPr="004A1DFB">
          <w:rPr>
            <w:sz w:val="22"/>
            <w:szCs w:val="22"/>
          </w:rPr>
        </w:r>
        <w:r>
          <w:rPr>
            <w:sz w:val="22"/>
            <w:szCs w:val="22"/>
          </w:rPr>
          <w:fldChar w:fldCharType="separate"/>
        </w:r>
        <w:r>
          <w:rPr>
            <w:noProof/>
            <w:sz w:val="22"/>
            <w:szCs w:val="22"/>
          </w:rPr>
          <w:t>115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24.</w:t>
      </w:r>
      <w:hyperlink w:anchor="_Toc519872280" w:history="1">
        <w:r>
          <w:rPr>
            <w:rStyle w:val="Hyperlink"/>
            <w:rFonts w:cs="宋体" w:hint="eastAsia"/>
            <w:color w:val="auto"/>
            <w:sz w:val="22"/>
            <w:szCs w:val="22"/>
            <w:u w:val="none"/>
          </w:rPr>
          <w:t>河北省人民政府关于实行征地区片价的通知</w:t>
        </w:r>
        <w:r>
          <w:rPr>
            <w:rStyle w:val="Hyperlink"/>
            <w:color w:val="auto"/>
            <w:sz w:val="22"/>
            <w:szCs w:val="22"/>
            <w:u w:val="none"/>
          </w:rPr>
          <w:t>(</w:t>
        </w:r>
        <w:r>
          <w:rPr>
            <w:rStyle w:val="Hyperlink"/>
            <w:rFonts w:cs="宋体" w:hint="eastAsia"/>
            <w:color w:val="auto"/>
            <w:sz w:val="22"/>
            <w:szCs w:val="22"/>
            <w:u w:val="none"/>
          </w:rPr>
          <w:t>河北省人民政府文件冀政</w:t>
        </w:r>
        <w:r>
          <w:rPr>
            <w:rStyle w:val="Hyperlink"/>
            <w:color w:val="auto"/>
            <w:sz w:val="22"/>
            <w:szCs w:val="22"/>
            <w:u w:val="none"/>
          </w:rPr>
          <w:t>[2008]132</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_Toc519872280 \h </w:instrText>
        </w:r>
        <w:r w:rsidRPr="004A1DFB">
          <w:rPr>
            <w:sz w:val="22"/>
            <w:szCs w:val="22"/>
          </w:rPr>
        </w:r>
        <w:r>
          <w:rPr>
            <w:sz w:val="22"/>
            <w:szCs w:val="22"/>
          </w:rPr>
          <w:fldChar w:fldCharType="separate"/>
        </w:r>
        <w:r>
          <w:rPr>
            <w:noProof/>
            <w:sz w:val="22"/>
            <w:szCs w:val="22"/>
          </w:rPr>
          <w:t>119</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25.</w:t>
      </w:r>
      <w:hyperlink w:anchor="_Toc519872281" w:history="1">
        <w:r>
          <w:rPr>
            <w:rStyle w:val="Hyperlink"/>
            <w:rFonts w:cs="宋体" w:hint="eastAsia"/>
            <w:color w:val="auto"/>
            <w:sz w:val="22"/>
            <w:szCs w:val="22"/>
            <w:u w:val="none"/>
          </w:rPr>
          <w:t>河北省人民政府关于修订征地区片价的通知</w:t>
        </w:r>
        <w:r>
          <w:rPr>
            <w:rStyle w:val="Hyperlink"/>
            <w:color w:val="auto"/>
            <w:sz w:val="22"/>
            <w:szCs w:val="22"/>
            <w:u w:val="none"/>
          </w:rPr>
          <w:t>(</w:t>
        </w:r>
        <w:r>
          <w:rPr>
            <w:rStyle w:val="Hyperlink"/>
            <w:rFonts w:cs="宋体" w:hint="eastAsia"/>
            <w:color w:val="auto"/>
            <w:sz w:val="22"/>
            <w:szCs w:val="22"/>
            <w:u w:val="none"/>
          </w:rPr>
          <w:t>冀政〔</w:t>
        </w:r>
        <w:r>
          <w:rPr>
            <w:rStyle w:val="Hyperlink"/>
            <w:color w:val="auto"/>
            <w:sz w:val="22"/>
            <w:szCs w:val="22"/>
            <w:u w:val="none"/>
          </w:rPr>
          <w:t>2011</w:t>
        </w:r>
        <w:r>
          <w:rPr>
            <w:rStyle w:val="Hyperlink"/>
            <w:rFonts w:cs="宋体" w:hint="eastAsia"/>
            <w:color w:val="auto"/>
            <w:sz w:val="22"/>
            <w:szCs w:val="22"/>
            <w:u w:val="none"/>
          </w:rPr>
          <w:t>〕</w:t>
        </w:r>
        <w:r>
          <w:rPr>
            <w:rStyle w:val="Hyperlink"/>
            <w:color w:val="auto"/>
            <w:sz w:val="22"/>
            <w:szCs w:val="22"/>
            <w:u w:val="none"/>
          </w:rPr>
          <w:t>141</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_Toc519872281 \h </w:instrText>
        </w:r>
        <w:r w:rsidRPr="004A1DFB">
          <w:rPr>
            <w:sz w:val="22"/>
            <w:szCs w:val="22"/>
          </w:rPr>
        </w:r>
        <w:r>
          <w:rPr>
            <w:sz w:val="22"/>
            <w:szCs w:val="22"/>
          </w:rPr>
          <w:fldChar w:fldCharType="separate"/>
        </w:r>
        <w:r>
          <w:rPr>
            <w:noProof/>
            <w:sz w:val="22"/>
            <w:szCs w:val="22"/>
          </w:rPr>
          <w:t>120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26.</w:t>
      </w:r>
      <w:hyperlink w:anchor="_Toc519872282" w:history="1">
        <w:r>
          <w:rPr>
            <w:rStyle w:val="Hyperlink"/>
            <w:rFonts w:cs="宋体" w:hint="eastAsia"/>
            <w:color w:val="auto"/>
            <w:sz w:val="22"/>
            <w:szCs w:val="22"/>
            <w:u w:val="none"/>
          </w:rPr>
          <w:t>河北省人民政府关于修订征地区片价的通知</w:t>
        </w:r>
        <w:r>
          <w:rPr>
            <w:rStyle w:val="Hyperlink"/>
            <w:color w:val="auto"/>
            <w:sz w:val="22"/>
            <w:szCs w:val="22"/>
            <w:u w:val="none"/>
          </w:rPr>
          <w:t>(</w:t>
        </w:r>
        <w:r>
          <w:rPr>
            <w:rStyle w:val="Hyperlink"/>
            <w:rFonts w:cs="宋体" w:hint="eastAsia"/>
            <w:color w:val="auto"/>
            <w:sz w:val="22"/>
            <w:szCs w:val="22"/>
            <w:u w:val="none"/>
          </w:rPr>
          <w:t>冀政发〔</w:t>
        </w:r>
        <w:r>
          <w:rPr>
            <w:rStyle w:val="Hyperlink"/>
            <w:color w:val="auto"/>
            <w:sz w:val="22"/>
            <w:szCs w:val="22"/>
            <w:u w:val="none"/>
          </w:rPr>
          <w:t>2015</w:t>
        </w:r>
        <w:r>
          <w:rPr>
            <w:rStyle w:val="Hyperlink"/>
            <w:rFonts w:cs="宋体" w:hint="eastAsia"/>
            <w:color w:val="auto"/>
            <w:sz w:val="22"/>
            <w:szCs w:val="22"/>
            <w:u w:val="none"/>
          </w:rPr>
          <w:t>〕</w:t>
        </w:r>
        <w:r>
          <w:rPr>
            <w:rStyle w:val="Hyperlink"/>
            <w:color w:val="auto"/>
            <w:sz w:val="22"/>
            <w:szCs w:val="22"/>
            <w:u w:val="none"/>
          </w:rPr>
          <w:t>28</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_Toc519872282 \h </w:instrText>
        </w:r>
        <w:r w:rsidRPr="004A1DFB">
          <w:rPr>
            <w:sz w:val="22"/>
            <w:szCs w:val="22"/>
          </w:rPr>
        </w:r>
        <w:r>
          <w:rPr>
            <w:sz w:val="22"/>
            <w:szCs w:val="22"/>
          </w:rPr>
          <w:fldChar w:fldCharType="separate"/>
        </w:r>
        <w:r>
          <w:rPr>
            <w:noProof/>
            <w:sz w:val="22"/>
            <w:szCs w:val="22"/>
          </w:rPr>
          <w:t>120</w:t>
        </w:r>
        <w:r>
          <w:rPr>
            <w:sz w:val="22"/>
            <w:szCs w:val="22"/>
          </w:rPr>
          <w:fldChar w:fldCharType="end"/>
        </w:r>
      </w:hyperlink>
    </w:p>
    <w:p w:rsidR="00A32067" w:rsidRDefault="00A32067" w:rsidP="005431C7">
      <w:pPr>
        <w:pStyle w:val="TOC2"/>
        <w:tabs>
          <w:tab w:val="right" w:leader="dot" w:pos="9459"/>
        </w:tabs>
        <w:spacing w:line="360" w:lineRule="auto"/>
        <w:ind w:left="31680"/>
        <w:rPr>
          <w:sz w:val="22"/>
          <w:szCs w:val="22"/>
        </w:rPr>
      </w:pPr>
      <w:hyperlink w:anchor="_Toc519872283" w:history="1">
        <w:r>
          <w:rPr>
            <w:rStyle w:val="Hyperlink"/>
            <w:rFonts w:cs="宋体" w:hint="eastAsia"/>
            <w:color w:val="auto"/>
            <w:sz w:val="22"/>
            <w:szCs w:val="22"/>
            <w:u w:val="none"/>
          </w:rPr>
          <w:t>二、与整个工程项目建设有关的法律、法规、政策文件</w:t>
        </w:r>
        <w:r>
          <w:rPr>
            <w:sz w:val="22"/>
            <w:szCs w:val="22"/>
          </w:rPr>
          <w:tab/>
        </w:r>
        <w:r>
          <w:rPr>
            <w:sz w:val="22"/>
            <w:szCs w:val="22"/>
          </w:rPr>
          <w:fldChar w:fldCharType="begin"/>
        </w:r>
        <w:r>
          <w:rPr>
            <w:sz w:val="22"/>
            <w:szCs w:val="22"/>
          </w:rPr>
          <w:instrText xml:space="preserve"> PAGEREF _Toc519872283 \h </w:instrText>
        </w:r>
        <w:r w:rsidRPr="004A1DFB">
          <w:rPr>
            <w:sz w:val="22"/>
            <w:szCs w:val="22"/>
          </w:rPr>
        </w:r>
        <w:r>
          <w:rPr>
            <w:sz w:val="22"/>
            <w:szCs w:val="22"/>
          </w:rPr>
          <w:fldChar w:fldCharType="separate"/>
        </w:r>
        <w:r>
          <w:rPr>
            <w:noProof/>
            <w:sz w:val="22"/>
            <w:szCs w:val="22"/>
          </w:rPr>
          <w:t>128</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w:t>
      </w:r>
      <w:hyperlink w:anchor="_Toc519872284" w:history="1">
        <w:r>
          <w:rPr>
            <w:rStyle w:val="Hyperlink"/>
            <w:rFonts w:cs="宋体" w:hint="eastAsia"/>
            <w:color w:val="auto"/>
            <w:sz w:val="22"/>
            <w:szCs w:val="22"/>
            <w:u w:val="none"/>
          </w:rPr>
          <w:t>关于印发《基本建设项目建设成本管理规定》的通知</w:t>
        </w:r>
        <w:r>
          <w:rPr>
            <w:rStyle w:val="Hyperlink"/>
            <w:color w:val="auto"/>
            <w:sz w:val="22"/>
            <w:szCs w:val="22"/>
            <w:u w:val="none"/>
          </w:rPr>
          <w:t>(</w:t>
        </w:r>
        <w:r>
          <w:rPr>
            <w:rStyle w:val="Hyperlink"/>
            <w:rFonts w:cs="宋体" w:hint="eastAsia"/>
            <w:color w:val="auto"/>
            <w:sz w:val="22"/>
            <w:szCs w:val="22"/>
            <w:u w:val="none"/>
          </w:rPr>
          <w:t>财建</w:t>
        </w:r>
        <w:r>
          <w:rPr>
            <w:rStyle w:val="Hyperlink"/>
            <w:color w:val="auto"/>
            <w:sz w:val="22"/>
            <w:szCs w:val="22"/>
            <w:u w:val="none"/>
          </w:rPr>
          <w:t>[2016]504</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_Toc519872284 \h </w:instrText>
        </w:r>
        <w:r w:rsidRPr="004A1DFB">
          <w:rPr>
            <w:sz w:val="22"/>
            <w:szCs w:val="22"/>
          </w:rPr>
        </w:r>
        <w:r>
          <w:rPr>
            <w:sz w:val="22"/>
            <w:szCs w:val="22"/>
          </w:rPr>
          <w:fldChar w:fldCharType="separate"/>
        </w:r>
        <w:r>
          <w:rPr>
            <w:noProof/>
            <w:sz w:val="22"/>
            <w:szCs w:val="22"/>
          </w:rPr>
          <w:t>129</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w:t>
      </w:r>
      <w:hyperlink w:anchor="_Toc519872285" w:history="1">
        <w:r>
          <w:rPr>
            <w:rStyle w:val="Hyperlink"/>
            <w:rFonts w:cs="宋体" w:hint="eastAsia"/>
            <w:color w:val="auto"/>
            <w:spacing w:val="6"/>
            <w:sz w:val="22"/>
            <w:szCs w:val="22"/>
            <w:u w:val="none"/>
          </w:rPr>
          <w:t>国家发展改革委关于进一步放开建设项目专业服务价格的通知</w:t>
        </w:r>
        <w:r>
          <w:rPr>
            <w:rStyle w:val="Hyperlink"/>
            <w:color w:val="auto"/>
            <w:spacing w:val="6"/>
            <w:sz w:val="22"/>
            <w:szCs w:val="22"/>
            <w:u w:val="none"/>
          </w:rPr>
          <w:t>(</w:t>
        </w:r>
        <w:r>
          <w:rPr>
            <w:rStyle w:val="Hyperlink"/>
            <w:rFonts w:cs="宋体" w:hint="eastAsia"/>
            <w:color w:val="auto"/>
            <w:spacing w:val="6"/>
            <w:sz w:val="22"/>
            <w:szCs w:val="22"/>
            <w:u w:val="none"/>
          </w:rPr>
          <w:t>发改价格〔</w:t>
        </w:r>
        <w:r>
          <w:rPr>
            <w:rStyle w:val="Hyperlink"/>
            <w:color w:val="auto"/>
            <w:spacing w:val="6"/>
            <w:sz w:val="22"/>
            <w:szCs w:val="22"/>
            <w:u w:val="none"/>
          </w:rPr>
          <w:t>2015</w:t>
        </w:r>
        <w:r>
          <w:rPr>
            <w:rStyle w:val="Hyperlink"/>
            <w:rFonts w:cs="宋体" w:hint="eastAsia"/>
            <w:color w:val="auto"/>
            <w:spacing w:val="6"/>
            <w:sz w:val="22"/>
            <w:szCs w:val="22"/>
            <w:u w:val="none"/>
          </w:rPr>
          <w:t>〕</w:t>
        </w:r>
        <w:r>
          <w:rPr>
            <w:rStyle w:val="Hyperlink"/>
            <w:color w:val="auto"/>
            <w:spacing w:val="6"/>
            <w:sz w:val="22"/>
            <w:szCs w:val="22"/>
            <w:u w:val="none"/>
          </w:rPr>
          <w:t>29</w:t>
        </w:r>
        <w:r>
          <w:rPr>
            <w:rStyle w:val="Hyperlink"/>
            <w:color w:val="auto"/>
            <w:sz w:val="22"/>
            <w:szCs w:val="22"/>
            <w:u w:val="none"/>
          </w:rPr>
          <w:t>9</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_Toc519872285 \h </w:instrText>
        </w:r>
        <w:r w:rsidRPr="004A1DFB">
          <w:rPr>
            <w:sz w:val="22"/>
            <w:szCs w:val="22"/>
          </w:rPr>
        </w:r>
        <w:r>
          <w:rPr>
            <w:sz w:val="22"/>
            <w:szCs w:val="22"/>
          </w:rPr>
          <w:fldChar w:fldCharType="separate"/>
        </w:r>
        <w:r>
          <w:rPr>
            <w:noProof/>
            <w:sz w:val="22"/>
            <w:szCs w:val="22"/>
          </w:rPr>
          <w:t>133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w:t>
      </w:r>
      <w:hyperlink w:anchor="_Toc519872286" w:history="1">
        <w:r>
          <w:rPr>
            <w:rStyle w:val="Hyperlink"/>
            <w:rFonts w:cs="宋体" w:hint="eastAsia"/>
            <w:color w:val="auto"/>
            <w:sz w:val="22"/>
            <w:szCs w:val="22"/>
            <w:u w:val="none"/>
          </w:rPr>
          <w:t>河北省物价局、计划委员会关于转发《国家计委关于印发</w:t>
        </w:r>
        <w:r>
          <w:rPr>
            <w:rStyle w:val="Hyperlink"/>
            <w:color w:val="auto"/>
            <w:sz w:val="22"/>
            <w:szCs w:val="22"/>
            <w:u w:val="none"/>
          </w:rPr>
          <w:t>&lt;</w:t>
        </w:r>
        <w:r>
          <w:rPr>
            <w:rStyle w:val="Hyperlink"/>
            <w:rFonts w:cs="宋体" w:hint="eastAsia"/>
            <w:color w:val="auto"/>
            <w:sz w:val="22"/>
            <w:szCs w:val="22"/>
            <w:u w:val="none"/>
          </w:rPr>
          <w:t>建设项目前期工作咨询收费暂行规定</w:t>
        </w:r>
        <w:r>
          <w:rPr>
            <w:rStyle w:val="Hyperlink"/>
            <w:color w:val="auto"/>
            <w:sz w:val="22"/>
            <w:szCs w:val="22"/>
            <w:u w:val="none"/>
          </w:rPr>
          <w:t>&gt;</w:t>
        </w:r>
        <w:r>
          <w:rPr>
            <w:rStyle w:val="Hyperlink"/>
            <w:rFonts w:cs="宋体" w:hint="eastAsia"/>
            <w:color w:val="auto"/>
            <w:sz w:val="22"/>
            <w:szCs w:val="22"/>
            <w:u w:val="none"/>
          </w:rPr>
          <w:t>的通知》的通知</w:t>
        </w:r>
        <w:r>
          <w:rPr>
            <w:rStyle w:val="Hyperlink"/>
            <w:color w:val="auto"/>
            <w:sz w:val="22"/>
            <w:szCs w:val="22"/>
            <w:u w:val="none"/>
          </w:rPr>
          <w:t>(</w:t>
        </w:r>
        <w:r>
          <w:rPr>
            <w:rStyle w:val="Hyperlink"/>
            <w:rFonts w:cs="宋体" w:hint="eastAsia"/>
            <w:color w:val="auto"/>
            <w:sz w:val="22"/>
            <w:szCs w:val="22"/>
            <w:u w:val="none"/>
          </w:rPr>
          <w:t>冀价经费字</w:t>
        </w:r>
        <w:r>
          <w:rPr>
            <w:rStyle w:val="Hyperlink"/>
            <w:color w:val="auto"/>
            <w:sz w:val="22"/>
            <w:szCs w:val="22"/>
            <w:u w:val="none"/>
          </w:rPr>
          <w:t>[2000]10</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_Toc519872286 \h </w:instrText>
        </w:r>
        <w:r w:rsidRPr="004A1DFB">
          <w:rPr>
            <w:sz w:val="22"/>
            <w:szCs w:val="22"/>
          </w:rPr>
        </w:r>
        <w:r>
          <w:rPr>
            <w:sz w:val="22"/>
            <w:szCs w:val="22"/>
          </w:rPr>
          <w:fldChar w:fldCharType="separate"/>
        </w:r>
        <w:r>
          <w:rPr>
            <w:noProof/>
            <w:sz w:val="22"/>
            <w:szCs w:val="22"/>
          </w:rPr>
          <w:t>135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w:t>
      </w:r>
      <w:hyperlink w:anchor="_Toc519872287" w:history="1">
        <w:r>
          <w:rPr>
            <w:rStyle w:val="Hyperlink"/>
            <w:rFonts w:cs="宋体" w:hint="eastAsia"/>
            <w:color w:val="auto"/>
            <w:sz w:val="22"/>
            <w:szCs w:val="22"/>
            <w:u w:val="none"/>
          </w:rPr>
          <w:t>国</w:t>
        </w:r>
        <w:r>
          <w:rPr>
            <w:rStyle w:val="Hyperlink"/>
            <w:rFonts w:cs="宋体" w:hint="eastAsia"/>
            <w:color w:val="auto"/>
            <w:spacing w:val="6"/>
            <w:sz w:val="22"/>
            <w:szCs w:val="22"/>
            <w:u w:val="none"/>
          </w:rPr>
          <w:t>家计委关于印发《建设项目前期工作咨询收费暂行规定》的通知</w:t>
        </w:r>
        <w:r>
          <w:rPr>
            <w:rStyle w:val="Hyperlink"/>
            <w:color w:val="auto"/>
            <w:spacing w:val="6"/>
            <w:sz w:val="22"/>
            <w:szCs w:val="22"/>
            <w:u w:val="none"/>
          </w:rPr>
          <w:t>(</w:t>
        </w:r>
        <w:r>
          <w:rPr>
            <w:rStyle w:val="Hyperlink"/>
            <w:rFonts w:cs="宋体" w:hint="eastAsia"/>
            <w:color w:val="auto"/>
            <w:spacing w:val="6"/>
            <w:sz w:val="22"/>
            <w:szCs w:val="22"/>
            <w:u w:val="none"/>
          </w:rPr>
          <w:t>计价格</w:t>
        </w:r>
        <w:r>
          <w:rPr>
            <w:rStyle w:val="Hyperlink"/>
            <w:color w:val="auto"/>
            <w:spacing w:val="6"/>
            <w:sz w:val="22"/>
            <w:szCs w:val="22"/>
            <w:u w:val="none"/>
          </w:rPr>
          <w:t>[1999]1283</w:t>
        </w:r>
        <w:r>
          <w:rPr>
            <w:rStyle w:val="Hyperlink"/>
            <w:rFonts w:cs="宋体" w:hint="eastAsia"/>
            <w:color w:val="auto"/>
            <w:spacing w:val="6"/>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_Toc519872287 \h </w:instrText>
        </w:r>
        <w:r w:rsidRPr="004A1DFB">
          <w:rPr>
            <w:sz w:val="22"/>
            <w:szCs w:val="22"/>
          </w:rPr>
        </w:r>
        <w:r>
          <w:rPr>
            <w:sz w:val="22"/>
            <w:szCs w:val="22"/>
          </w:rPr>
          <w:fldChar w:fldCharType="separate"/>
        </w:r>
        <w:r>
          <w:rPr>
            <w:noProof/>
            <w:sz w:val="22"/>
            <w:szCs w:val="22"/>
          </w:rPr>
          <w:t>136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5.</w:t>
      </w:r>
      <w:hyperlink w:anchor="_Toc519872288" w:history="1">
        <w:r>
          <w:rPr>
            <w:rStyle w:val="Hyperlink"/>
            <w:rFonts w:cs="宋体" w:hint="eastAsia"/>
            <w:color w:val="auto"/>
            <w:sz w:val="22"/>
            <w:szCs w:val="22"/>
            <w:u w:val="none"/>
          </w:rPr>
          <w:t>河北省人民政府办公厅关于印发河北省固定资产投资项目节能审查办法的通知</w:t>
        </w:r>
        <w:r>
          <w:rPr>
            <w:rStyle w:val="Hyperlink"/>
            <w:color w:val="auto"/>
            <w:sz w:val="22"/>
            <w:szCs w:val="22"/>
            <w:u w:val="none"/>
          </w:rPr>
          <w:t>(</w:t>
        </w:r>
        <w:r>
          <w:rPr>
            <w:rStyle w:val="Hyperlink"/>
            <w:rFonts w:cs="宋体" w:hint="eastAsia"/>
            <w:color w:val="auto"/>
            <w:sz w:val="22"/>
            <w:szCs w:val="22"/>
            <w:u w:val="none"/>
          </w:rPr>
          <w:t>冀政办字〔</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37</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_Toc519872288 \h </w:instrText>
        </w:r>
        <w:r w:rsidRPr="004A1DFB">
          <w:rPr>
            <w:sz w:val="22"/>
            <w:szCs w:val="22"/>
          </w:rPr>
        </w:r>
        <w:r>
          <w:rPr>
            <w:sz w:val="22"/>
            <w:szCs w:val="22"/>
          </w:rPr>
          <w:fldChar w:fldCharType="separate"/>
        </w:r>
        <w:r>
          <w:rPr>
            <w:noProof/>
            <w:sz w:val="22"/>
            <w:szCs w:val="22"/>
          </w:rPr>
          <w:t>140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6.</w:t>
      </w:r>
      <w:hyperlink w:anchor="_Toc519872289" w:history="1">
        <w:r>
          <w:rPr>
            <w:rStyle w:val="Hyperlink"/>
            <w:rFonts w:cs="宋体" w:hint="eastAsia"/>
            <w:color w:val="auto"/>
            <w:spacing w:val="6"/>
            <w:sz w:val="22"/>
            <w:szCs w:val="22"/>
            <w:u w:val="none"/>
          </w:rPr>
          <w:t>国家计委、环境保护部关于规范环境影响咨询收费有关问题的通知</w:t>
        </w:r>
        <w:r>
          <w:rPr>
            <w:rStyle w:val="Hyperlink"/>
            <w:color w:val="auto"/>
            <w:spacing w:val="6"/>
            <w:sz w:val="22"/>
            <w:szCs w:val="22"/>
            <w:u w:val="none"/>
          </w:rPr>
          <w:t>(</w:t>
        </w:r>
        <w:r>
          <w:rPr>
            <w:rStyle w:val="Hyperlink"/>
            <w:rFonts w:cs="宋体" w:hint="eastAsia"/>
            <w:color w:val="auto"/>
            <w:spacing w:val="6"/>
            <w:sz w:val="22"/>
            <w:szCs w:val="22"/>
            <w:u w:val="none"/>
          </w:rPr>
          <w:t>计价格</w:t>
        </w:r>
        <w:r>
          <w:rPr>
            <w:rStyle w:val="Hyperlink"/>
            <w:color w:val="auto"/>
            <w:spacing w:val="6"/>
            <w:sz w:val="22"/>
            <w:szCs w:val="22"/>
            <w:u w:val="none"/>
          </w:rPr>
          <w:t>[2002]125</w:t>
        </w:r>
        <w:r>
          <w:rPr>
            <w:rStyle w:val="Hyperlink"/>
            <w:rFonts w:cs="宋体" w:hint="eastAsia"/>
            <w:color w:val="auto"/>
            <w:spacing w:val="6"/>
            <w:sz w:val="22"/>
            <w:szCs w:val="22"/>
            <w:u w:val="none"/>
          </w:rPr>
          <w:t>号</w:t>
        </w:r>
        <w:r>
          <w:rPr>
            <w:rStyle w:val="Hyperlink"/>
            <w:color w:val="auto"/>
            <w:spacing w:val="6"/>
            <w:sz w:val="22"/>
            <w:szCs w:val="22"/>
            <w:u w:val="none"/>
          </w:rPr>
          <w:t>)</w:t>
        </w:r>
        <w:r>
          <w:rPr>
            <w:sz w:val="22"/>
            <w:szCs w:val="22"/>
          </w:rPr>
          <w:tab/>
        </w:r>
        <w:r>
          <w:rPr>
            <w:sz w:val="22"/>
            <w:szCs w:val="22"/>
          </w:rPr>
          <w:fldChar w:fldCharType="begin"/>
        </w:r>
        <w:r>
          <w:rPr>
            <w:sz w:val="22"/>
            <w:szCs w:val="22"/>
          </w:rPr>
          <w:instrText xml:space="preserve"> PAGEREF _Toc519872289 \h </w:instrText>
        </w:r>
        <w:r w:rsidRPr="004A1DFB">
          <w:rPr>
            <w:sz w:val="22"/>
            <w:szCs w:val="22"/>
          </w:rPr>
        </w:r>
        <w:r>
          <w:rPr>
            <w:sz w:val="22"/>
            <w:szCs w:val="22"/>
          </w:rPr>
          <w:fldChar w:fldCharType="separate"/>
        </w:r>
        <w:r>
          <w:rPr>
            <w:noProof/>
            <w:sz w:val="22"/>
            <w:szCs w:val="22"/>
          </w:rPr>
          <w:t>143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7.</w:t>
      </w:r>
      <w:hyperlink w:anchor="_Toc519872290" w:history="1">
        <w:r>
          <w:rPr>
            <w:rStyle w:val="Hyperlink"/>
            <w:rFonts w:cs="宋体" w:hint="eastAsia"/>
            <w:color w:val="auto"/>
            <w:sz w:val="22"/>
            <w:szCs w:val="22"/>
            <w:u w:val="none"/>
          </w:rPr>
          <w:t>国务院关于修改《建设项目环境保护管理条例》的决定</w:t>
        </w:r>
        <w:r>
          <w:rPr>
            <w:rStyle w:val="Hyperlink"/>
            <w:color w:val="auto"/>
            <w:sz w:val="22"/>
            <w:szCs w:val="22"/>
            <w:u w:val="none"/>
          </w:rPr>
          <w:t>(</w:t>
        </w:r>
        <w:r>
          <w:rPr>
            <w:rStyle w:val="Hyperlink"/>
            <w:rFonts w:cs="宋体" w:hint="eastAsia"/>
            <w:color w:val="auto"/>
            <w:sz w:val="22"/>
            <w:szCs w:val="22"/>
            <w:u w:val="none"/>
          </w:rPr>
          <w:t>中华人民共和国国务院令第</w:t>
        </w:r>
        <w:r>
          <w:rPr>
            <w:rStyle w:val="Hyperlink"/>
            <w:color w:val="auto"/>
            <w:sz w:val="22"/>
            <w:szCs w:val="22"/>
            <w:u w:val="none"/>
          </w:rPr>
          <w:t>682</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_Toc519872290 \h </w:instrText>
        </w:r>
        <w:r w:rsidRPr="004A1DFB">
          <w:rPr>
            <w:sz w:val="22"/>
            <w:szCs w:val="22"/>
          </w:rPr>
        </w:r>
        <w:r>
          <w:rPr>
            <w:sz w:val="22"/>
            <w:szCs w:val="22"/>
          </w:rPr>
          <w:fldChar w:fldCharType="separate"/>
        </w:r>
        <w:r>
          <w:rPr>
            <w:noProof/>
            <w:sz w:val="22"/>
            <w:szCs w:val="22"/>
          </w:rPr>
          <w:t>146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8.</w:t>
      </w:r>
      <w:hyperlink w:anchor="_Toc519872291" w:history="1">
        <w:r>
          <w:rPr>
            <w:rStyle w:val="Hyperlink"/>
            <w:rFonts w:cs="宋体" w:hint="eastAsia"/>
            <w:color w:val="auto"/>
            <w:sz w:val="22"/>
            <w:szCs w:val="22"/>
            <w:u w:val="none"/>
          </w:rPr>
          <w:t>建设项目环境保护管理条例</w:t>
        </w:r>
        <w:r>
          <w:rPr>
            <w:sz w:val="22"/>
            <w:szCs w:val="22"/>
          </w:rPr>
          <w:tab/>
        </w:r>
        <w:r>
          <w:rPr>
            <w:sz w:val="22"/>
            <w:szCs w:val="22"/>
          </w:rPr>
          <w:fldChar w:fldCharType="begin"/>
        </w:r>
        <w:r>
          <w:rPr>
            <w:sz w:val="22"/>
            <w:szCs w:val="22"/>
          </w:rPr>
          <w:instrText xml:space="preserve"> PAGEREF _Toc519872291 \h </w:instrText>
        </w:r>
        <w:r w:rsidRPr="004A1DFB">
          <w:rPr>
            <w:sz w:val="22"/>
            <w:szCs w:val="22"/>
          </w:rPr>
        </w:r>
        <w:r>
          <w:rPr>
            <w:sz w:val="22"/>
            <w:szCs w:val="22"/>
          </w:rPr>
          <w:fldChar w:fldCharType="separate"/>
        </w:r>
        <w:r>
          <w:rPr>
            <w:noProof/>
            <w:sz w:val="22"/>
            <w:szCs w:val="22"/>
          </w:rPr>
          <w:t>150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9.</w:t>
      </w:r>
      <w:hyperlink w:anchor="_Toc519872292" w:history="1">
        <w:r>
          <w:rPr>
            <w:rStyle w:val="Hyperlink"/>
            <w:rFonts w:cs="宋体" w:hint="eastAsia"/>
            <w:color w:val="auto"/>
            <w:sz w:val="22"/>
            <w:szCs w:val="22"/>
            <w:u w:val="none"/>
          </w:rPr>
          <w:t>中华人民共和国环境保护税法</w:t>
        </w:r>
        <w:r>
          <w:rPr>
            <w:sz w:val="22"/>
            <w:szCs w:val="22"/>
          </w:rPr>
          <w:tab/>
        </w:r>
        <w:r>
          <w:rPr>
            <w:sz w:val="22"/>
            <w:szCs w:val="22"/>
          </w:rPr>
          <w:fldChar w:fldCharType="begin"/>
        </w:r>
        <w:r>
          <w:rPr>
            <w:sz w:val="22"/>
            <w:szCs w:val="22"/>
          </w:rPr>
          <w:instrText xml:space="preserve"> PAGEREF _Toc519872292 \h </w:instrText>
        </w:r>
        <w:r w:rsidRPr="004A1DFB">
          <w:rPr>
            <w:sz w:val="22"/>
            <w:szCs w:val="22"/>
          </w:rPr>
        </w:r>
        <w:r>
          <w:rPr>
            <w:sz w:val="22"/>
            <w:szCs w:val="22"/>
          </w:rPr>
          <w:fldChar w:fldCharType="separate"/>
        </w:r>
        <w:r>
          <w:rPr>
            <w:noProof/>
            <w:sz w:val="22"/>
            <w:szCs w:val="22"/>
          </w:rPr>
          <w:t>155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10.</w:t>
      </w:r>
      <w:hyperlink w:anchor="_Toc519872293" w:history="1">
        <w:r>
          <w:rPr>
            <w:rStyle w:val="Hyperlink"/>
            <w:rFonts w:cs="宋体" w:hint="eastAsia"/>
            <w:color w:val="auto"/>
            <w:sz w:val="22"/>
            <w:szCs w:val="22"/>
            <w:u w:val="none"/>
          </w:rPr>
          <w:t>建设项目</w:t>
        </w:r>
        <w:r>
          <w:rPr>
            <w:rStyle w:val="Hyperlink"/>
            <w:color w:val="auto"/>
            <w:sz w:val="22"/>
            <w:szCs w:val="22"/>
            <w:u w:val="none"/>
          </w:rPr>
          <w:t>(</w:t>
        </w:r>
        <w:r>
          <w:rPr>
            <w:rStyle w:val="Hyperlink"/>
            <w:rFonts w:cs="宋体" w:hint="eastAsia"/>
            <w:color w:val="auto"/>
            <w:sz w:val="22"/>
            <w:szCs w:val="22"/>
            <w:u w:val="none"/>
          </w:rPr>
          <w:t>工程</w:t>
        </w:r>
        <w:r>
          <w:rPr>
            <w:rStyle w:val="Hyperlink"/>
            <w:color w:val="auto"/>
            <w:sz w:val="22"/>
            <w:szCs w:val="22"/>
            <w:u w:val="none"/>
          </w:rPr>
          <w:t>)</w:t>
        </w:r>
        <w:r>
          <w:rPr>
            <w:rStyle w:val="Hyperlink"/>
            <w:rFonts w:cs="宋体" w:hint="eastAsia"/>
            <w:color w:val="auto"/>
            <w:sz w:val="22"/>
            <w:szCs w:val="22"/>
            <w:u w:val="none"/>
          </w:rPr>
          <w:t>劳动安全卫生监察规定</w:t>
        </w:r>
        <w:r>
          <w:rPr>
            <w:rStyle w:val="Hyperlink"/>
            <w:color w:val="auto"/>
            <w:sz w:val="22"/>
            <w:szCs w:val="22"/>
            <w:u w:val="none"/>
          </w:rPr>
          <w:t>(</w:t>
        </w:r>
        <w:r>
          <w:rPr>
            <w:rStyle w:val="Hyperlink"/>
            <w:rFonts w:cs="宋体" w:hint="eastAsia"/>
            <w:color w:val="auto"/>
            <w:sz w:val="22"/>
            <w:szCs w:val="22"/>
            <w:u w:val="none"/>
          </w:rPr>
          <w:t>中华人民共和国劳动部令第</w:t>
        </w:r>
        <w:r>
          <w:rPr>
            <w:rStyle w:val="Hyperlink"/>
            <w:color w:val="auto"/>
            <w:sz w:val="22"/>
            <w:szCs w:val="22"/>
            <w:u w:val="none"/>
          </w:rPr>
          <w:t>3</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_Toc519872293 \h </w:instrText>
        </w:r>
        <w:r w:rsidRPr="004A1DFB">
          <w:rPr>
            <w:sz w:val="22"/>
            <w:szCs w:val="22"/>
          </w:rPr>
        </w:r>
        <w:r>
          <w:rPr>
            <w:sz w:val="22"/>
            <w:szCs w:val="22"/>
          </w:rPr>
          <w:fldChar w:fldCharType="separate"/>
        </w:r>
        <w:r>
          <w:rPr>
            <w:noProof/>
            <w:sz w:val="22"/>
            <w:szCs w:val="22"/>
          </w:rPr>
          <w:t>160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11.</w:t>
      </w:r>
      <w:hyperlink w:anchor="_Toc519872294" w:history="1">
        <w:r>
          <w:rPr>
            <w:rStyle w:val="Hyperlink"/>
            <w:rFonts w:cs="宋体" w:hint="eastAsia"/>
            <w:color w:val="auto"/>
            <w:sz w:val="22"/>
            <w:szCs w:val="22"/>
            <w:u w:val="none"/>
          </w:rPr>
          <w:t>建设项目（工程）劳动安全卫生预评价管理办法</w:t>
        </w:r>
        <w:r>
          <w:rPr>
            <w:sz w:val="22"/>
            <w:szCs w:val="22"/>
          </w:rPr>
          <w:tab/>
        </w:r>
        <w:r>
          <w:rPr>
            <w:sz w:val="22"/>
            <w:szCs w:val="22"/>
          </w:rPr>
          <w:fldChar w:fldCharType="begin"/>
        </w:r>
        <w:r>
          <w:rPr>
            <w:sz w:val="22"/>
            <w:szCs w:val="22"/>
          </w:rPr>
          <w:instrText xml:space="preserve"> PAGEREF _Toc519872294 \h </w:instrText>
        </w:r>
        <w:r w:rsidRPr="004A1DFB">
          <w:rPr>
            <w:sz w:val="22"/>
            <w:szCs w:val="22"/>
          </w:rPr>
        </w:r>
        <w:r>
          <w:rPr>
            <w:sz w:val="22"/>
            <w:szCs w:val="22"/>
          </w:rPr>
          <w:fldChar w:fldCharType="separate"/>
        </w:r>
        <w:r>
          <w:rPr>
            <w:noProof/>
            <w:sz w:val="22"/>
            <w:szCs w:val="22"/>
          </w:rPr>
          <w:t>164</w:t>
        </w:r>
        <w:r>
          <w:rPr>
            <w:sz w:val="22"/>
            <w:szCs w:val="22"/>
          </w:rPr>
          <w:fldChar w:fldCharType="end"/>
        </w:r>
      </w:hyperlink>
    </w:p>
    <w:p w:rsidR="00A32067" w:rsidRDefault="00A32067" w:rsidP="005431C7">
      <w:pPr>
        <w:pStyle w:val="TOC3"/>
        <w:tabs>
          <w:tab w:val="right" w:leader="dot" w:pos="9459"/>
        </w:tabs>
        <w:spacing w:line="360" w:lineRule="auto"/>
        <w:ind w:left="31680"/>
        <w:rPr>
          <w:rStyle w:val="Hyperlink"/>
          <w:color w:val="auto"/>
          <w:sz w:val="22"/>
          <w:szCs w:val="22"/>
          <w:u w:val="none"/>
        </w:rPr>
        <w:sectPr w:rsidR="00A32067">
          <w:headerReference w:type="even" r:id="rId9"/>
          <w:headerReference w:type="default" r:id="rId10"/>
          <w:footerReference w:type="even" r:id="rId11"/>
          <w:footerReference w:type="default" r:id="rId12"/>
          <w:pgSz w:w="11907" w:h="16840"/>
          <w:pgMar w:top="1134" w:right="1077" w:bottom="1134" w:left="1077" w:header="794" w:footer="567" w:gutter="284"/>
          <w:pgNumType w:start="2"/>
          <w:cols w:space="720"/>
          <w:docGrid w:linePitch="312"/>
        </w:sectPr>
      </w:pPr>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12.</w:t>
      </w:r>
      <w:hyperlink w:anchor="_Toc519872295" w:history="1">
        <w:r>
          <w:rPr>
            <w:rStyle w:val="Hyperlink"/>
            <w:rFonts w:cs="宋体" w:hint="eastAsia"/>
            <w:color w:val="auto"/>
            <w:spacing w:val="10"/>
            <w:sz w:val="22"/>
            <w:szCs w:val="22"/>
            <w:u w:val="none"/>
          </w:rPr>
          <w:t>中华人民共和国劳动合同法</w:t>
        </w:r>
        <w:r>
          <w:rPr>
            <w:sz w:val="22"/>
            <w:szCs w:val="22"/>
          </w:rPr>
          <w:tab/>
        </w:r>
        <w:r>
          <w:rPr>
            <w:sz w:val="22"/>
            <w:szCs w:val="22"/>
          </w:rPr>
          <w:fldChar w:fldCharType="begin"/>
        </w:r>
        <w:r>
          <w:rPr>
            <w:sz w:val="22"/>
            <w:szCs w:val="22"/>
          </w:rPr>
          <w:instrText xml:space="preserve"> PAGEREF _Toc519872295 \h </w:instrText>
        </w:r>
        <w:r w:rsidRPr="004A1DFB">
          <w:rPr>
            <w:sz w:val="22"/>
            <w:szCs w:val="22"/>
          </w:rPr>
        </w:r>
        <w:r>
          <w:rPr>
            <w:sz w:val="22"/>
            <w:szCs w:val="22"/>
          </w:rPr>
          <w:fldChar w:fldCharType="separate"/>
        </w:r>
        <w:r>
          <w:rPr>
            <w:noProof/>
            <w:sz w:val="22"/>
            <w:szCs w:val="22"/>
          </w:rPr>
          <w:t>166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13.</w:t>
      </w:r>
      <w:hyperlink w:anchor="_Toc519872296" w:history="1">
        <w:r>
          <w:rPr>
            <w:rStyle w:val="Hyperlink"/>
            <w:rFonts w:cs="宋体" w:hint="eastAsia"/>
            <w:color w:val="auto"/>
            <w:spacing w:val="10"/>
            <w:sz w:val="22"/>
            <w:szCs w:val="22"/>
            <w:u w:val="none"/>
          </w:rPr>
          <w:t>中华人民共和国安全生产法中华人民共和国主席令</w:t>
        </w:r>
        <w:r>
          <w:rPr>
            <w:rStyle w:val="Hyperlink"/>
            <w:rFonts w:cs="宋体" w:hint="eastAsia"/>
            <w:color w:val="auto"/>
            <w:sz w:val="22"/>
            <w:szCs w:val="22"/>
            <w:u w:val="none"/>
          </w:rPr>
          <w:t>第十三号</w:t>
        </w:r>
        <w:r>
          <w:rPr>
            <w:sz w:val="22"/>
            <w:szCs w:val="22"/>
          </w:rPr>
          <w:tab/>
        </w:r>
        <w:r>
          <w:rPr>
            <w:sz w:val="22"/>
            <w:szCs w:val="22"/>
          </w:rPr>
          <w:fldChar w:fldCharType="begin"/>
        </w:r>
        <w:r>
          <w:rPr>
            <w:sz w:val="22"/>
            <w:szCs w:val="22"/>
          </w:rPr>
          <w:instrText xml:space="preserve"> PAGEREF _Toc519872296 \h </w:instrText>
        </w:r>
        <w:r w:rsidRPr="004A1DFB">
          <w:rPr>
            <w:sz w:val="22"/>
            <w:szCs w:val="22"/>
          </w:rPr>
        </w:r>
        <w:r>
          <w:rPr>
            <w:sz w:val="22"/>
            <w:szCs w:val="22"/>
          </w:rPr>
          <w:fldChar w:fldCharType="separate"/>
        </w:r>
        <w:r>
          <w:rPr>
            <w:noProof/>
            <w:sz w:val="22"/>
            <w:szCs w:val="22"/>
          </w:rPr>
          <w:t>180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14.</w:t>
      </w:r>
      <w:hyperlink w:anchor="_Toc519872297" w:history="1">
        <w:r>
          <w:rPr>
            <w:rStyle w:val="Hyperlink"/>
            <w:rFonts w:cs="宋体" w:hint="eastAsia"/>
            <w:color w:val="auto"/>
            <w:spacing w:val="10"/>
            <w:kern w:val="0"/>
            <w:sz w:val="22"/>
            <w:szCs w:val="22"/>
            <w:u w:val="none"/>
          </w:rPr>
          <w:t>关于建筑设计服务成本要素信息统计分析情况的通报</w:t>
        </w:r>
        <w:r>
          <w:rPr>
            <w:rStyle w:val="Hyperlink"/>
            <w:color w:val="auto"/>
            <w:spacing w:val="10"/>
            <w:kern w:val="0"/>
            <w:sz w:val="22"/>
            <w:szCs w:val="22"/>
            <w:u w:val="none"/>
          </w:rPr>
          <w:t>(</w:t>
        </w:r>
        <w:r>
          <w:rPr>
            <w:rStyle w:val="Hyperlink"/>
            <w:rFonts w:cs="宋体" w:hint="eastAsia"/>
            <w:color w:val="auto"/>
            <w:sz w:val="22"/>
            <w:szCs w:val="22"/>
            <w:u w:val="none"/>
          </w:rPr>
          <w:t>中设协字</w:t>
        </w:r>
        <w:r>
          <w:rPr>
            <w:rStyle w:val="Hyperlink"/>
            <w:color w:val="auto"/>
            <w:sz w:val="22"/>
            <w:szCs w:val="22"/>
            <w:u w:val="none"/>
          </w:rPr>
          <w:t>[2016] 89</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_Toc519872297 \h </w:instrText>
        </w:r>
        <w:r w:rsidRPr="004A1DFB">
          <w:rPr>
            <w:sz w:val="22"/>
            <w:szCs w:val="22"/>
          </w:rPr>
        </w:r>
        <w:r>
          <w:rPr>
            <w:sz w:val="22"/>
            <w:szCs w:val="22"/>
          </w:rPr>
          <w:fldChar w:fldCharType="separate"/>
        </w:r>
        <w:r>
          <w:rPr>
            <w:noProof/>
            <w:sz w:val="22"/>
            <w:szCs w:val="22"/>
          </w:rPr>
          <w:t>195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15.</w:t>
      </w:r>
      <w:hyperlink w:anchor="_Toc519872298" w:history="1">
        <w:r>
          <w:rPr>
            <w:rStyle w:val="Hyperlink"/>
            <w:rFonts w:cs="宋体" w:hint="eastAsia"/>
            <w:color w:val="auto"/>
            <w:spacing w:val="10"/>
            <w:kern w:val="0"/>
            <w:sz w:val="22"/>
            <w:szCs w:val="22"/>
            <w:u w:val="none"/>
          </w:rPr>
          <w:t>国家发展改革委关于降低部分建设项目收费标准规范收费行为等有关问题的通知</w:t>
        </w:r>
        <w:r>
          <w:rPr>
            <w:rStyle w:val="Hyperlink"/>
            <w:color w:val="auto"/>
            <w:spacing w:val="10"/>
            <w:kern w:val="0"/>
            <w:sz w:val="22"/>
            <w:szCs w:val="22"/>
            <w:u w:val="none"/>
          </w:rPr>
          <w:t>(</w:t>
        </w:r>
        <w:r>
          <w:rPr>
            <w:rStyle w:val="Hyperlink"/>
            <w:rFonts w:cs="宋体" w:hint="eastAsia"/>
            <w:color w:val="auto"/>
            <w:sz w:val="22"/>
            <w:szCs w:val="22"/>
            <w:u w:val="none"/>
          </w:rPr>
          <w:t>发改价格</w:t>
        </w:r>
        <w:r>
          <w:rPr>
            <w:rStyle w:val="Hyperlink"/>
            <w:color w:val="auto"/>
            <w:sz w:val="22"/>
            <w:szCs w:val="22"/>
            <w:u w:val="none"/>
          </w:rPr>
          <w:t>[2011]534</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_Toc519872298 \h </w:instrText>
        </w:r>
        <w:r w:rsidRPr="004A1DFB">
          <w:rPr>
            <w:sz w:val="22"/>
            <w:szCs w:val="22"/>
          </w:rPr>
        </w:r>
        <w:r>
          <w:rPr>
            <w:sz w:val="22"/>
            <w:szCs w:val="22"/>
          </w:rPr>
          <w:fldChar w:fldCharType="separate"/>
        </w:r>
        <w:r>
          <w:rPr>
            <w:noProof/>
            <w:sz w:val="22"/>
            <w:szCs w:val="22"/>
          </w:rPr>
          <w:t>199</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16.</w:t>
      </w:r>
      <w:hyperlink w:anchor="_Toc519872299" w:history="1">
        <w:r>
          <w:rPr>
            <w:rStyle w:val="Hyperlink"/>
            <w:rFonts w:cs="宋体" w:hint="eastAsia"/>
            <w:color w:val="auto"/>
            <w:spacing w:val="10"/>
            <w:kern w:val="0"/>
            <w:sz w:val="22"/>
            <w:szCs w:val="22"/>
            <w:u w:val="none"/>
          </w:rPr>
          <w:t>河北省建设厅关于改变建设工程材料检测委托方有关事项的通知</w:t>
        </w:r>
        <w:r>
          <w:rPr>
            <w:rStyle w:val="Hyperlink"/>
            <w:color w:val="auto"/>
            <w:spacing w:val="10"/>
            <w:kern w:val="0"/>
            <w:sz w:val="22"/>
            <w:szCs w:val="22"/>
            <w:u w:val="none"/>
          </w:rPr>
          <w:t>(</w:t>
        </w:r>
        <w:r>
          <w:rPr>
            <w:rStyle w:val="Hyperlink"/>
            <w:rFonts w:cs="宋体" w:hint="eastAsia"/>
            <w:color w:val="auto"/>
            <w:sz w:val="22"/>
            <w:szCs w:val="22"/>
            <w:u w:val="none"/>
          </w:rPr>
          <w:t>冀建质</w:t>
        </w:r>
        <w:r>
          <w:rPr>
            <w:rStyle w:val="Hyperlink"/>
            <w:color w:val="auto"/>
            <w:sz w:val="22"/>
            <w:szCs w:val="22"/>
            <w:u w:val="none"/>
          </w:rPr>
          <w:t>[2005]273</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_Toc519872299 \h </w:instrText>
        </w:r>
        <w:r w:rsidRPr="004A1DFB">
          <w:rPr>
            <w:sz w:val="22"/>
            <w:szCs w:val="22"/>
          </w:rPr>
        </w:r>
        <w:r>
          <w:rPr>
            <w:sz w:val="22"/>
            <w:szCs w:val="22"/>
          </w:rPr>
          <w:fldChar w:fldCharType="separate"/>
        </w:r>
        <w:r>
          <w:rPr>
            <w:noProof/>
            <w:sz w:val="22"/>
            <w:szCs w:val="22"/>
          </w:rPr>
          <w:t>201</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17.</w:t>
      </w:r>
      <w:hyperlink w:anchor="_Toc519872300" w:history="1">
        <w:r>
          <w:rPr>
            <w:rStyle w:val="Hyperlink"/>
            <w:rFonts w:cs="宋体" w:hint="eastAsia"/>
            <w:color w:val="auto"/>
            <w:spacing w:val="10"/>
            <w:kern w:val="0"/>
            <w:sz w:val="22"/>
            <w:szCs w:val="22"/>
            <w:u w:val="none"/>
          </w:rPr>
          <w:t>关于转发省物价局调整《河北省工程质量材料检验收费标准》的通知</w:t>
        </w:r>
        <w:r>
          <w:rPr>
            <w:rStyle w:val="Hyperlink"/>
            <w:color w:val="auto"/>
            <w:spacing w:val="10"/>
            <w:kern w:val="0"/>
            <w:sz w:val="22"/>
            <w:szCs w:val="22"/>
            <w:u w:val="none"/>
          </w:rPr>
          <w:t>(</w:t>
        </w:r>
        <w:r>
          <w:rPr>
            <w:rStyle w:val="Hyperlink"/>
            <w:rFonts w:cs="宋体" w:hint="eastAsia"/>
            <w:color w:val="auto"/>
            <w:sz w:val="22"/>
            <w:szCs w:val="22"/>
            <w:u w:val="none"/>
          </w:rPr>
          <w:t>冀建建</w:t>
        </w:r>
        <w:r>
          <w:rPr>
            <w:rStyle w:val="Hyperlink"/>
            <w:color w:val="auto"/>
            <w:sz w:val="22"/>
            <w:szCs w:val="22"/>
            <w:u w:val="none"/>
          </w:rPr>
          <w:t>[2002]106</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_Toc519872300 \h </w:instrText>
        </w:r>
        <w:r w:rsidRPr="004A1DFB">
          <w:rPr>
            <w:sz w:val="22"/>
            <w:szCs w:val="22"/>
          </w:rPr>
        </w:r>
        <w:r>
          <w:rPr>
            <w:sz w:val="22"/>
            <w:szCs w:val="22"/>
          </w:rPr>
          <w:fldChar w:fldCharType="separate"/>
        </w:r>
        <w:r>
          <w:rPr>
            <w:noProof/>
            <w:sz w:val="22"/>
            <w:szCs w:val="22"/>
          </w:rPr>
          <w:t>203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18.</w:t>
      </w:r>
      <w:hyperlink w:anchor="_Toc519872301" w:history="1">
        <w:r>
          <w:rPr>
            <w:rStyle w:val="Hyperlink"/>
            <w:rFonts w:cs="宋体" w:hint="eastAsia"/>
            <w:color w:val="auto"/>
            <w:spacing w:val="-2"/>
            <w:sz w:val="22"/>
            <w:szCs w:val="22"/>
            <w:u w:val="none"/>
          </w:rPr>
          <w:t>省</w:t>
        </w:r>
        <w:r>
          <w:rPr>
            <w:rStyle w:val="Hyperlink"/>
            <w:rFonts w:cs="宋体" w:hint="eastAsia"/>
            <w:color w:val="auto"/>
            <w:spacing w:val="-2"/>
            <w:kern w:val="0"/>
            <w:sz w:val="22"/>
            <w:szCs w:val="22"/>
            <w:u w:val="none"/>
          </w:rPr>
          <w:t>物价局关于调整工程质量、材料检验收费标准的通知</w:t>
        </w:r>
        <w:r>
          <w:rPr>
            <w:rStyle w:val="Hyperlink"/>
            <w:color w:val="auto"/>
            <w:spacing w:val="-2"/>
            <w:kern w:val="0"/>
            <w:sz w:val="22"/>
            <w:szCs w:val="22"/>
            <w:u w:val="none"/>
          </w:rPr>
          <w:t>(</w:t>
        </w:r>
        <w:r>
          <w:rPr>
            <w:rStyle w:val="Hyperlink"/>
            <w:rFonts w:cs="宋体" w:hint="eastAsia"/>
            <w:color w:val="auto"/>
            <w:spacing w:val="-2"/>
            <w:sz w:val="22"/>
            <w:szCs w:val="22"/>
            <w:u w:val="none"/>
          </w:rPr>
          <w:t>冀价经费字</w:t>
        </w:r>
        <w:r>
          <w:rPr>
            <w:rStyle w:val="Hyperlink"/>
            <w:color w:val="auto"/>
            <w:spacing w:val="-2"/>
            <w:sz w:val="22"/>
            <w:szCs w:val="22"/>
            <w:u w:val="none"/>
          </w:rPr>
          <w:t>[2002]6</w:t>
        </w:r>
        <w:r>
          <w:rPr>
            <w:rStyle w:val="Hyperlink"/>
            <w:rFonts w:cs="宋体" w:hint="eastAsia"/>
            <w:color w:val="auto"/>
            <w:spacing w:val="-2"/>
            <w:sz w:val="22"/>
            <w:szCs w:val="22"/>
            <w:u w:val="none"/>
          </w:rPr>
          <w:t>号</w:t>
        </w:r>
        <w:r>
          <w:rPr>
            <w:rStyle w:val="Hyperlink"/>
            <w:color w:val="auto"/>
            <w:spacing w:val="-2"/>
            <w:sz w:val="22"/>
            <w:szCs w:val="22"/>
            <w:u w:val="none"/>
          </w:rPr>
          <w:t>)</w:t>
        </w:r>
        <w:r>
          <w:rPr>
            <w:spacing w:val="-2"/>
            <w:sz w:val="22"/>
            <w:szCs w:val="22"/>
          </w:rPr>
          <w:tab/>
        </w:r>
        <w:r>
          <w:rPr>
            <w:sz w:val="22"/>
            <w:szCs w:val="22"/>
          </w:rPr>
          <w:fldChar w:fldCharType="begin"/>
        </w:r>
        <w:r>
          <w:rPr>
            <w:sz w:val="22"/>
            <w:szCs w:val="22"/>
          </w:rPr>
          <w:instrText xml:space="preserve"> PAGEREF _Toc519872301 \h </w:instrText>
        </w:r>
        <w:r w:rsidRPr="004A1DFB">
          <w:rPr>
            <w:sz w:val="22"/>
            <w:szCs w:val="22"/>
          </w:rPr>
        </w:r>
        <w:r>
          <w:rPr>
            <w:sz w:val="22"/>
            <w:szCs w:val="22"/>
          </w:rPr>
          <w:fldChar w:fldCharType="separate"/>
        </w:r>
        <w:r>
          <w:rPr>
            <w:noProof/>
            <w:sz w:val="22"/>
            <w:szCs w:val="22"/>
          </w:rPr>
          <w:t>204</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19.</w:t>
      </w:r>
      <w:hyperlink w:anchor="_Toc519872302" w:history="1">
        <w:r>
          <w:rPr>
            <w:rStyle w:val="Hyperlink"/>
            <w:rFonts w:cs="宋体" w:hint="eastAsia"/>
            <w:color w:val="auto"/>
            <w:sz w:val="22"/>
            <w:szCs w:val="22"/>
            <w:u w:val="none"/>
          </w:rPr>
          <w:t>关</w:t>
        </w:r>
        <w:r>
          <w:rPr>
            <w:rStyle w:val="Hyperlink"/>
            <w:rFonts w:cs="宋体" w:hint="eastAsia"/>
            <w:color w:val="auto"/>
            <w:spacing w:val="6"/>
            <w:sz w:val="22"/>
            <w:szCs w:val="22"/>
            <w:u w:val="none"/>
          </w:rPr>
          <w:t>于印发《河北省工程造价咨询服务收费管理暂行办法》的通知</w:t>
        </w:r>
        <w:r>
          <w:rPr>
            <w:rStyle w:val="Hyperlink"/>
            <w:color w:val="auto"/>
            <w:spacing w:val="6"/>
            <w:sz w:val="22"/>
            <w:szCs w:val="22"/>
            <w:u w:val="none"/>
          </w:rPr>
          <w:t>(</w:t>
        </w:r>
        <w:r>
          <w:rPr>
            <w:rStyle w:val="Hyperlink"/>
            <w:rFonts w:cs="宋体" w:hint="eastAsia"/>
            <w:color w:val="auto"/>
            <w:spacing w:val="6"/>
            <w:sz w:val="22"/>
            <w:szCs w:val="22"/>
            <w:u w:val="none"/>
          </w:rPr>
          <w:t>冀建市研［</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2</w:t>
        </w:r>
        <w:r>
          <w:rPr>
            <w:rStyle w:val="Hyperlink"/>
            <w:rFonts w:cs="宋体" w:hint="eastAsia"/>
            <w:color w:val="auto"/>
            <w:spacing w:val="6"/>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_Toc519872302 \h </w:instrText>
        </w:r>
        <w:r w:rsidRPr="004A1DFB">
          <w:rPr>
            <w:sz w:val="22"/>
            <w:szCs w:val="22"/>
          </w:rPr>
        </w:r>
        <w:r>
          <w:rPr>
            <w:sz w:val="22"/>
            <w:szCs w:val="22"/>
          </w:rPr>
          <w:fldChar w:fldCharType="separate"/>
        </w:r>
        <w:r>
          <w:rPr>
            <w:noProof/>
            <w:sz w:val="22"/>
            <w:szCs w:val="22"/>
          </w:rPr>
          <w:t>263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20.</w:t>
      </w:r>
      <w:hyperlink w:anchor="_Toc519872303" w:history="1">
        <w:r>
          <w:rPr>
            <w:rStyle w:val="Hyperlink"/>
            <w:rFonts w:cs="宋体" w:hint="eastAsia"/>
            <w:color w:val="auto"/>
            <w:spacing w:val="6"/>
            <w:sz w:val="22"/>
            <w:szCs w:val="22"/>
            <w:u w:val="none"/>
          </w:rPr>
          <w:t>国家计委关于印发《招标代理服务收费管理暂行办法》的通知</w:t>
        </w:r>
        <w:r>
          <w:rPr>
            <w:rStyle w:val="Hyperlink"/>
            <w:color w:val="auto"/>
            <w:spacing w:val="6"/>
            <w:sz w:val="22"/>
            <w:szCs w:val="22"/>
            <w:u w:val="none"/>
          </w:rPr>
          <w:t>(</w:t>
        </w:r>
        <w:r>
          <w:rPr>
            <w:rStyle w:val="Hyperlink"/>
            <w:rFonts w:cs="宋体" w:hint="eastAsia"/>
            <w:color w:val="auto"/>
            <w:spacing w:val="6"/>
            <w:sz w:val="22"/>
            <w:szCs w:val="22"/>
            <w:u w:val="none"/>
          </w:rPr>
          <w:t>计价格</w:t>
        </w:r>
        <w:r>
          <w:rPr>
            <w:rStyle w:val="Hyperlink"/>
            <w:color w:val="auto"/>
            <w:spacing w:val="6"/>
            <w:sz w:val="22"/>
            <w:szCs w:val="22"/>
            <w:u w:val="none"/>
          </w:rPr>
          <w:t>[2002]1980</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_Toc519872303 \h </w:instrText>
        </w:r>
        <w:r w:rsidRPr="004A1DFB">
          <w:rPr>
            <w:sz w:val="22"/>
            <w:szCs w:val="22"/>
          </w:rPr>
        </w:r>
        <w:r>
          <w:rPr>
            <w:sz w:val="22"/>
            <w:szCs w:val="22"/>
          </w:rPr>
          <w:fldChar w:fldCharType="separate"/>
        </w:r>
        <w:r>
          <w:rPr>
            <w:noProof/>
            <w:sz w:val="22"/>
            <w:szCs w:val="22"/>
          </w:rPr>
          <w:t>270</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21.</w:t>
      </w:r>
      <w:hyperlink w:anchor="_Toc519872304" w:history="1">
        <w:r>
          <w:rPr>
            <w:rStyle w:val="Hyperlink"/>
            <w:rFonts w:cs="宋体" w:hint="eastAsia"/>
            <w:color w:val="auto"/>
            <w:sz w:val="22"/>
            <w:szCs w:val="22"/>
            <w:u w:val="none"/>
          </w:rPr>
          <w:t>国家发展改革委办公厅关于招标代理服务收费有关问题的通知</w:t>
        </w:r>
        <w:r>
          <w:rPr>
            <w:rStyle w:val="Hyperlink"/>
            <w:color w:val="auto"/>
            <w:sz w:val="22"/>
            <w:szCs w:val="22"/>
            <w:u w:val="none"/>
          </w:rPr>
          <w:t>(</w:t>
        </w:r>
        <w:r>
          <w:rPr>
            <w:rStyle w:val="Hyperlink"/>
            <w:rFonts w:cs="宋体" w:hint="eastAsia"/>
            <w:color w:val="auto"/>
            <w:sz w:val="22"/>
            <w:szCs w:val="22"/>
            <w:u w:val="none"/>
          </w:rPr>
          <w:t>发改办价格［</w:t>
        </w:r>
        <w:r>
          <w:rPr>
            <w:rStyle w:val="Hyperlink"/>
            <w:color w:val="auto"/>
            <w:sz w:val="22"/>
            <w:szCs w:val="22"/>
            <w:u w:val="none"/>
          </w:rPr>
          <w:t>2003</w:t>
        </w:r>
        <w:r>
          <w:rPr>
            <w:rStyle w:val="Hyperlink"/>
            <w:rFonts w:cs="宋体" w:hint="eastAsia"/>
            <w:color w:val="auto"/>
            <w:sz w:val="22"/>
            <w:szCs w:val="22"/>
            <w:u w:val="none"/>
          </w:rPr>
          <w:t>］</w:t>
        </w:r>
        <w:r>
          <w:rPr>
            <w:rStyle w:val="Hyperlink"/>
            <w:color w:val="auto"/>
            <w:sz w:val="22"/>
            <w:szCs w:val="22"/>
            <w:u w:val="none"/>
          </w:rPr>
          <w:t>857</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_Toc519872304 \h </w:instrText>
        </w:r>
        <w:r w:rsidRPr="004A1DFB">
          <w:rPr>
            <w:sz w:val="22"/>
            <w:szCs w:val="22"/>
          </w:rPr>
        </w:r>
        <w:r>
          <w:rPr>
            <w:sz w:val="22"/>
            <w:szCs w:val="22"/>
          </w:rPr>
          <w:fldChar w:fldCharType="separate"/>
        </w:r>
        <w:r>
          <w:rPr>
            <w:noProof/>
            <w:sz w:val="22"/>
            <w:szCs w:val="22"/>
          </w:rPr>
          <w:t>274</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22.</w:t>
      </w:r>
      <w:hyperlink w:anchor="_Toc519872305" w:history="1">
        <w:r>
          <w:rPr>
            <w:rStyle w:val="Hyperlink"/>
            <w:rFonts w:cs="宋体" w:hint="eastAsia"/>
            <w:color w:val="auto"/>
            <w:sz w:val="22"/>
            <w:szCs w:val="22"/>
            <w:u w:val="none"/>
          </w:rPr>
          <w:t>国家发展改革委、建设部关于印发《建设工程监理与相关服务收费管理规定》的通知</w:t>
        </w:r>
        <w:r>
          <w:rPr>
            <w:rStyle w:val="Hyperlink"/>
            <w:color w:val="auto"/>
            <w:sz w:val="22"/>
            <w:szCs w:val="22"/>
            <w:u w:val="none"/>
          </w:rPr>
          <w:t>(</w:t>
        </w:r>
        <w:r>
          <w:rPr>
            <w:rStyle w:val="Hyperlink"/>
            <w:rFonts w:cs="宋体" w:hint="eastAsia"/>
            <w:color w:val="auto"/>
            <w:sz w:val="22"/>
            <w:szCs w:val="22"/>
            <w:u w:val="none"/>
          </w:rPr>
          <w:t>发改价格［</w:t>
        </w:r>
        <w:r>
          <w:rPr>
            <w:rStyle w:val="Hyperlink"/>
            <w:color w:val="auto"/>
            <w:sz w:val="22"/>
            <w:szCs w:val="22"/>
            <w:u w:val="none"/>
          </w:rPr>
          <w:t>2007</w:t>
        </w:r>
        <w:r>
          <w:rPr>
            <w:rStyle w:val="Hyperlink"/>
            <w:rFonts w:cs="宋体" w:hint="eastAsia"/>
            <w:color w:val="auto"/>
            <w:sz w:val="22"/>
            <w:szCs w:val="22"/>
            <w:u w:val="none"/>
          </w:rPr>
          <w:t>］</w:t>
        </w:r>
        <w:r>
          <w:rPr>
            <w:rStyle w:val="Hyperlink"/>
            <w:color w:val="auto"/>
            <w:sz w:val="22"/>
            <w:szCs w:val="22"/>
            <w:u w:val="none"/>
          </w:rPr>
          <w:t>670</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_Toc519872305 \h </w:instrText>
        </w:r>
        <w:r w:rsidRPr="004A1DFB">
          <w:rPr>
            <w:sz w:val="22"/>
            <w:szCs w:val="22"/>
          </w:rPr>
        </w:r>
        <w:r>
          <w:rPr>
            <w:sz w:val="22"/>
            <w:szCs w:val="22"/>
          </w:rPr>
          <w:fldChar w:fldCharType="separate"/>
        </w:r>
        <w:r>
          <w:rPr>
            <w:noProof/>
            <w:sz w:val="22"/>
            <w:szCs w:val="22"/>
          </w:rPr>
          <w:t>275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23.</w:t>
      </w:r>
      <w:hyperlink w:anchor="_Toc519872306" w:history="1">
        <w:r>
          <w:rPr>
            <w:rStyle w:val="Hyperlink"/>
            <w:rFonts w:cs="宋体" w:hint="eastAsia"/>
            <w:color w:val="auto"/>
            <w:sz w:val="22"/>
            <w:szCs w:val="22"/>
            <w:u w:val="none"/>
          </w:rPr>
          <w:t>关于发布《河北省劳动安全卫生监察系统行政事业性收费项目及标准（试行）》的通知</w:t>
        </w:r>
        <w:r>
          <w:rPr>
            <w:rStyle w:val="Hyperlink"/>
            <w:color w:val="auto"/>
            <w:sz w:val="22"/>
            <w:szCs w:val="22"/>
            <w:u w:val="none"/>
          </w:rPr>
          <w:t>(</w:t>
        </w:r>
        <w:r>
          <w:rPr>
            <w:rStyle w:val="Hyperlink"/>
            <w:rFonts w:cs="宋体" w:hint="eastAsia"/>
            <w:color w:val="auto"/>
            <w:sz w:val="22"/>
            <w:szCs w:val="22"/>
            <w:u w:val="none"/>
          </w:rPr>
          <w:t>冀价涉费【</w:t>
        </w:r>
        <w:r>
          <w:rPr>
            <w:rStyle w:val="Hyperlink"/>
            <w:color w:val="auto"/>
            <w:sz w:val="22"/>
            <w:szCs w:val="22"/>
            <w:u w:val="none"/>
          </w:rPr>
          <w:t>1992</w:t>
        </w:r>
        <w:r>
          <w:rPr>
            <w:rStyle w:val="Hyperlink"/>
            <w:rFonts w:cs="宋体" w:hint="eastAsia"/>
            <w:color w:val="auto"/>
            <w:sz w:val="22"/>
            <w:szCs w:val="22"/>
            <w:u w:val="none"/>
          </w:rPr>
          <w:t>】</w:t>
        </w:r>
        <w:r>
          <w:rPr>
            <w:rStyle w:val="Hyperlink"/>
            <w:color w:val="auto"/>
            <w:sz w:val="22"/>
            <w:szCs w:val="22"/>
            <w:u w:val="none"/>
          </w:rPr>
          <w:t>248</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_Toc519872306 \h </w:instrText>
        </w:r>
        <w:r w:rsidRPr="004A1DFB">
          <w:rPr>
            <w:sz w:val="22"/>
            <w:szCs w:val="22"/>
          </w:rPr>
        </w:r>
        <w:r>
          <w:rPr>
            <w:sz w:val="22"/>
            <w:szCs w:val="22"/>
          </w:rPr>
          <w:fldChar w:fldCharType="separate"/>
        </w:r>
        <w:r>
          <w:rPr>
            <w:noProof/>
            <w:sz w:val="22"/>
            <w:szCs w:val="22"/>
          </w:rPr>
          <w:t>286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24.</w:t>
      </w:r>
      <w:hyperlink w:anchor="_Toc519872307" w:history="1">
        <w:r>
          <w:rPr>
            <w:rStyle w:val="Hyperlink"/>
            <w:rFonts w:cs="宋体" w:hint="eastAsia"/>
            <w:color w:val="auto"/>
            <w:sz w:val="22"/>
            <w:szCs w:val="22"/>
            <w:u w:val="none"/>
          </w:rPr>
          <w:t>河北省</w:t>
        </w:r>
        <w:r>
          <w:rPr>
            <w:rStyle w:val="Hyperlink"/>
            <w:rFonts w:cs="宋体" w:hint="eastAsia"/>
            <w:color w:val="auto"/>
            <w:spacing w:val="6"/>
            <w:sz w:val="22"/>
            <w:szCs w:val="22"/>
            <w:u w:val="none"/>
          </w:rPr>
          <w:t>财政厅关于征收城市基础设施配套费几个具体事项的通知</w:t>
        </w:r>
        <w:r>
          <w:rPr>
            <w:rStyle w:val="Hyperlink"/>
            <w:color w:val="auto"/>
            <w:spacing w:val="6"/>
            <w:sz w:val="22"/>
            <w:szCs w:val="22"/>
            <w:u w:val="none"/>
          </w:rPr>
          <w:t>(</w:t>
        </w:r>
        <w:r>
          <w:rPr>
            <w:rStyle w:val="Hyperlink"/>
            <w:rFonts w:cs="宋体" w:hint="eastAsia"/>
            <w:color w:val="auto"/>
            <w:spacing w:val="6"/>
            <w:sz w:val="22"/>
            <w:szCs w:val="22"/>
            <w:u w:val="none"/>
          </w:rPr>
          <w:t>冀财税〔</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38</w:t>
        </w:r>
        <w:r>
          <w:rPr>
            <w:rStyle w:val="Hyperlink"/>
            <w:rFonts w:cs="宋体" w:hint="eastAsia"/>
            <w:color w:val="auto"/>
            <w:spacing w:val="6"/>
            <w:sz w:val="22"/>
            <w:szCs w:val="22"/>
            <w:u w:val="none"/>
          </w:rPr>
          <w:t>号</w:t>
        </w:r>
        <w:r>
          <w:rPr>
            <w:rStyle w:val="Hyperlink"/>
            <w:color w:val="auto"/>
            <w:spacing w:val="6"/>
            <w:sz w:val="22"/>
            <w:szCs w:val="22"/>
            <w:u w:val="none"/>
          </w:rPr>
          <w:t>)</w:t>
        </w:r>
        <w:r>
          <w:rPr>
            <w:sz w:val="22"/>
            <w:szCs w:val="22"/>
          </w:rPr>
          <w:tab/>
        </w:r>
        <w:r>
          <w:rPr>
            <w:sz w:val="22"/>
            <w:szCs w:val="22"/>
          </w:rPr>
          <w:fldChar w:fldCharType="begin"/>
        </w:r>
        <w:r>
          <w:rPr>
            <w:sz w:val="22"/>
            <w:szCs w:val="22"/>
          </w:rPr>
          <w:instrText xml:space="preserve"> PAGEREF _Toc519872307 \h </w:instrText>
        </w:r>
        <w:r w:rsidRPr="004A1DFB">
          <w:rPr>
            <w:sz w:val="22"/>
            <w:szCs w:val="22"/>
          </w:rPr>
        </w:r>
        <w:r>
          <w:rPr>
            <w:sz w:val="22"/>
            <w:szCs w:val="22"/>
          </w:rPr>
          <w:fldChar w:fldCharType="separate"/>
        </w:r>
        <w:r>
          <w:rPr>
            <w:noProof/>
            <w:sz w:val="22"/>
            <w:szCs w:val="22"/>
          </w:rPr>
          <w:t>293</w:t>
        </w:r>
        <w:r>
          <w:rPr>
            <w:sz w:val="22"/>
            <w:szCs w:val="22"/>
          </w:rPr>
          <w:fldChar w:fldCharType="end"/>
        </w:r>
      </w:hyperlink>
    </w:p>
    <w:p w:rsidR="00A32067" w:rsidRDefault="00A32067" w:rsidP="005431C7">
      <w:pPr>
        <w:pStyle w:val="TOC3"/>
        <w:tabs>
          <w:tab w:val="right" w:leader="dot" w:pos="9459"/>
        </w:tabs>
        <w:spacing w:line="360" w:lineRule="auto"/>
        <w:ind w:left="31680"/>
        <w:rPr>
          <w:spacing w:val="-2"/>
          <w:sz w:val="22"/>
          <w:szCs w:val="22"/>
        </w:rPr>
      </w:pPr>
      <w:r>
        <w:rPr>
          <w:rStyle w:val="Hyperlink"/>
          <w:color w:val="auto"/>
          <w:sz w:val="22"/>
          <w:szCs w:val="22"/>
          <w:u w:val="none"/>
        </w:rPr>
        <w:t>25.</w:t>
      </w:r>
      <w:hyperlink w:anchor="_Toc519872308" w:history="1">
        <w:r>
          <w:rPr>
            <w:rStyle w:val="Hyperlink"/>
            <w:rFonts w:cs="宋体" w:hint="eastAsia"/>
            <w:color w:val="auto"/>
            <w:spacing w:val="-2"/>
            <w:sz w:val="22"/>
            <w:szCs w:val="22"/>
            <w:u w:val="none"/>
          </w:rPr>
          <w:t>石家庄市财政局关于调整城市基础设施配套费收费标准的通知</w:t>
        </w:r>
        <w:r>
          <w:rPr>
            <w:rStyle w:val="Hyperlink"/>
            <w:color w:val="auto"/>
            <w:spacing w:val="-2"/>
            <w:sz w:val="22"/>
            <w:szCs w:val="22"/>
            <w:u w:val="none"/>
          </w:rPr>
          <w:t>(</w:t>
        </w:r>
        <w:r>
          <w:rPr>
            <w:rStyle w:val="Hyperlink"/>
            <w:rFonts w:cs="宋体" w:hint="eastAsia"/>
            <w:color w:val="auto"/>
            <w:spacing w:val="-2"/>
            <w:sz w:val="22"/>
            <w:szCs w:val="22"/>
            <w:u w:val="none"/>
          </w:rPr>
          <w:t>石财税〔</w:t>
        </w:r>
        <w:r>
          <w:rPr>
            <w:rStyle w:val="Hyperlink"/>
            <w:color w:val="auto"/>
            <w:spacing w:val="-2"/>
            <w:sz w:val="22"/>
            <w:szCs w:val="22"/>
            <w:u w:val="none"/>
          </w:rPr>
          <w:t>2017</w:t>
        </w:r>
        <w:r>
          <w:rPr>
            <w:rStyle w:val="Hyperlink"/>
            <w:rFonts w:cs="宋体" w:hint="eastAsia"/>
            <w:color w:val="auto"/>
            <w:spacing w:val="-2"/>
            <w:sz w:val="22"/>
            <w:szCs w:val="22"/>
            <w:u w:val="none"/>
          </w:rPr>
          <w:t>〕</w:t>
        </w:r>
        <w:r>
          <w:rPr>
            <w:rStyle w:val="Hyperlink"/>
            <w:color w:val="auto"/>
            <w:spacing w:val="-2"/>
            <w:sz w:val="22"/>
            <w:szCs w:val="22"/>
            <w:u w:val="none"/>
          </w:rPr>
          <w:t>4</w:t>
        </w:r>
        <w:r>
          <w:rPr>
            <w:rStyle w:val="Hyperlink"/>
            <w:rFonts w:cs="宋体" w:hint="eastAsia"/>
            <w:color w:val="auto"/>
            <w:spacing w:val="-2"/>
            <w:sz w:val="22"/>
            <w:szCs w:val="22"/>
            <w:u w:val="none"/>
          </w:rPr>
          <w:t>号</w:t>
        </w:r>
        <w:r>
          <w:rPr>
            <w:rStyle w:val="Hyperlink"/>
            <w:color w:val="auto"/>
            <w:spacing w:val="-2"/>
            <w:sz w:val="22"/>
            <w:szCs w:val="22"/>
            <w:u w:val="none"/>
          </w:rPr>
          <w:t>)</w:t>
        </w:r>
        <w:r>
          <w:rPr>
            <w:spacing w:val="-2"/>
            <w:sz w:val="22"/>
            <w:szCs w:val="22"/>
          </w:rPr>
          <w:tab/>
        </w:r>
        <w:r>
          <w:rPr>
            <w:spacing w:val="-2"/>
            <w:sz w:val="22"/>
            <w:szCs w:val="22"/>
          </w:rPr>
          <w:fldChar w:fldCharType="begin"/>
        </w:r>
        <w:r>
          <w:rPr>
            <w:spacing w:val="-2"/>
            <w:sz w:val="22"/>
            <w:szCs w:val="22"/>
          </w:rPr>
          <w:instrText xml:space="preserve"> PAGEREF _Toc519872308 \h </w:instrText>
        </w:r>
        <w:r w:rsidRPr="004A1DFB">
          <w:rPr>
            <w:spacing w:val="-2"/>
            <w:sz w:val="22"/>
            <w:szCs w:val="22"/>
          </w:rPr>
        </w:r>
        <w:r>
          <w:rPr>
            <w:spacing w:val="-2"/>
            <w:sz w:val="22"/>
            <w:szCs w:val="22"/>
          </w:rPr>
          <w:fldChar w:fldCharType="separate"/>
        </w:r>
        <w:r>
          <w:rPr>
            <w:noProof/>
            <w:spacing w:val="-2"/>
            <w:sz w:val="22"/>
            <w:szCs w:val="22"/>
          </w:rPr>
          <w:t>294</w:t>
        </w:r>
        <w:r>
          <w:rPr>
            <w:spacing w:val="-2"/>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26.</w:t>
      </w:r>
      <w:hyperlink w:anchor="_Toc519872309" w:history="1">
        <w:r>
          <w:rPr>
            <w:rStyle w:val="Hyperlink"/>
            <w:rFonts w:cs="宋体" w:hint="eastAsia"/>
            <w:color w:val="auto"/>
            <w:spacing w:val="-6"/>
            <w:sz w:val="22"/>
            <w:szCs w:val="22"/>
            <w:u w:val="none"/>
          </w:rPr>
          <w:t>河北省财政厅关于唐山市城市基础设施配套费收费标准的批复</w:t>
        </w:r>
        <w:r>
          <w:rPr>
            <w:rStyle w:val="Hyperlink"/>
            <w:color w:val="auto"/>
            <w:spacing w:val="-6"/>
            <w:sz w:val="22"/>
            <w:szCs w:val="22"/>
            <w:u w:val="none"/>
          </w:rPr>
          <w:t>(</w:t>
        </w:r>
        <w:r>
          <w:rPr>
            <w:rStyle w:val="Hyperlink"/>
            <w:rFonts w:cs="宋体" w:hint="eastAsia"/>
            <w:color w:val="auto"/>
            <w:spacing w:val="-6"/>
            <w:sz w:val="22"/>
            <w:szCs w:val="22"/>
            <w:u w:val="none"/>
          </w:rPr>
          <w:t>冀财税〔</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16</w:t>
        </w:r>
        <w:r>
          <w:rPr>
            <w:rStyle w:val="Hyperlink"/>
            <w:rFonts w:cs="宋体" w:hint="eastAsia"/>
            <w:color w:val="auto"/>
            <w:spacing w:val="-6"/>
            <w:sz w:val="22"/>
            <w:szCs w:val="22"/>
            <w:u w:val="none"/>
          </w:rPr>
          <w:t>号</w:t>
        </w:r>
        <w:r>
          <w:rPr>
            <w:rStyle w:val="Hyperlink"/>
            <w:color w:val="auto"/>
            <w:spacing w:val="-6"/>
            <w:sz w:val="22"/>
            <w:szCs w:val="22"/>
            <w:u w:val="none"/>
          </w:rPr>
          <w:t>)</w:t>
        </w:r>
        <w:r>
          <w:rPr>
            <w:sz w:val="22"/>
            <w:szCs w:val="22"/>
          </w:rPr>
          <w:tab/>
        </w:r>
        <w:r>
          <w:rPr>
            <w:sz w:val="22"/>
            <w:szCs w:val="22"/>
          </w:rPr>
          <w:fldChar w:fldCharType="begin"/>
        </w:r>
        <w:r>
          <w:rPr>
            <w:sz w:val="22"/>
            <w:szCs w:val="22"/>
          </w:rPr>
          <w:instrText xml:space="preserve"> PAGEREF _Toc519872309 \h </w:instrText>
        </w:r>
        <w:r w:rsidRPr="004A1DFB">
          <w:rPr>
            <w:sz w:val="22"/>
            <w:szCs w:val="22"/>
          </w:rPr>
        </w:r>
        <w:r>
          <w:rPr>
            <w:sz w:val="22"/>
            <w:szCs w:val="22"/>
          </w:rPr>
          <w:fldChar w:fldCharType="separate"/>
        </w:r>
        <w:r>
          <w:rPr>
            <w:noProof/>
            <w:sz w:val="22"/>
            <w:szCs w:val="22"/>
          </w:rPr>
          <w:t>296</w:t>
        </w:r>
        <w:r>
          <w:rPr>
            <w:sz w:val="22"/>
            <w:szCs w:val="22"/>
          </w:rPr>
          <w:fldChar w:fldCharType="end"/>
        </w:r>
      </w:hyperlink>
    </w:p>
    <w:p w:rsidR="00A32067" w:rsidRDefault="00A32067" w:rsidP="005431C7">
      <w:pPr>
        <w:pStyle w:val="TOC3"/>
        <w:tabs>
          <w:tab w:val="right" w:leader="dot" w:pos="9459"/>
        </w:tabs>
        <w:spacing w:line="360" w:lineRule="auto"/>
        <w:ind w:left="31680"/>
        <w:rPr>
          <w:spacing w:val="-6"/>
          <w:sz w:val="22"/>
          <w:szCs w:val="22"/>
        </w:rPr>
      </w:pPr>
      <w:r>
        <w:rPr>
          <w:rStyle w:val="Hyperlink"/>
          <w:color w:val="auto"/>
          <w:sz w:val="22"/>
          <w:szCs w:val="22"/>
          <w:u w:val="none"/>
        </w:rPr>
        <w:t>27.</w:t>
      </w:r>
      <w:hyperlink w:anchor="_Toc519872310" w:history="1">
        <w:r>
          <w:rPr>
            <w:rStyle w:val="Hyperlink"/>
            <w:rFonts w:cs="宋体" w:hint="eastAsia"/>
            <w:color w:val="auto"/>
            <w:spacing w:val="-6"/>
            <w:sz w:val="22"/>
            <w:szCs w:val="22"/>
            <w:u w:val="none"/>
          </w:rPr>
          <w:t>河北省财政厅关于邯郸市城市基础设施配套费收费标准的批复冀财税（</w:t>
        </w:r>
        <w:r>
          <w:rPr>
            <w:rStyle w:val="Hyperlink"/>
            <w:color w:val="auto"/>
            <w:spacing w:val="-6"/>
            <w:sz w:val="22"/>
            <w:szCs w:val="22"/>
            <w:u w:val="none"/>
          </w:rPr>
          <w:t xml:space="preserve"> 2017</w:t>
        </w:r>
        <w:r>
          <w:rPr>
            <w:rStyle w:val="Hyperlink"/>
            <w:rFonts w:cs="宋体" w:hint="eastAsia"/>
            <w:color w:val="auto"/>
            <w:spacing w:val="-6"/>
            <w:sz w:val="22"/>
            <w:szCs w:val="22"/>
            <w:u w:val="none"/>
          </w:rPr>
          <w:t>）</w:t>
        </w:r>
        <w:r>
          <w:rPr>
            <w:rStyle w:val="Hyperlink"/>
            <w:color w:val="auto"/>
            <w:spacing w:val="-6"/>
            <w:sz w:val="22"/>
            <w:szCs w:val="22"/>
            <w:u w:val="none"/>
          </w:rPr>
          <w:t>22</w:t>
        </w:r>
        <w:r>
          <w:rPr>
            <w:rStyle w:val="Hyperlink"/>
            <w:rFonts w:cs="宋体" w:hint="eastAsia"/>
            <w:color w:val="auto"/>
            <w:spacing w:val="-6"/>
            <w:sz w:val="22"/>
            <w:szCs w:val="22"/>
            <w:u w:val="none"/>
          </w:rPr>
          <w:t>号</w:t>
        </w:r>
        <w:r>
          <w:rPr>
            <w:spacing w:val="-6"/>
            <w:sz w:val="22"/>
            <w:szCs w:val="22"/>
          </w:rPr>
          <w:tab/>
        </w:r>
        <w:r>
          <w:rPr>
            <w:spacing w:val="-6"/>
            <w:sz w:val="22"/>
            <w:szCs w:val="22"/>
          </w:rPr>
          <w:fldChar w:fldCharType="begin"/>
        </w:r>
        <w:r>
          <w:rPr>
            <w:spacing w:val="-6"/>
            <w:sz w:val="22"/>
            <w:szCs w:val="22"/>
          </w:rPr>
          <w:instrText xml:space="preserve"> PAGEREF _Toc519872310 \h </w:instrText>
        </w:r>
        <w:r w:rsidRPr="004A1DFB">
          <w:rPr>
            <w:spacing w:val="-6"/>
            <w:sz w:val="22"/>
            <w:szCs w:val="22"/>
          </w:rPr>
        </w:r>
        <w:r>
          <w:rPr>
            <w:spacing w:val="-6"/>
            <w:sz w:val="22"/>
            <w:szCs w:val="22"/>
          </w:rPr>
          <w:fldChar w:fldCharType="separate"/>
        </w:r>
        <w:r>
          <w:rPr>
            <w:noProof/>
            <w:spacing w:val="-6"/>
            <w:sz w:val="22"/>
            <w:szCs w:val="22"/>
          </w:rPr>
          <w:t>298</w:t>
        </w:r>
        <w:r>
          <w:rPr>
            <w:spacing w:val="-6"/>
            <w:sz w:val="22"/>
            <w:szCs w:val="22"/>
          </w:rPr>
          <w:fldChar w:fldCharType="end"/>
        </w:r>
      </w:hyperlink>
    </w:p>
    <w:p w:rsidR="00A32067" w:rsidRDefault="00A32067" w:rsidP="005431C7">
      <w:pPr>
        <w:pStyle w:val="TOC3"/>
        <w:tabs>
          <w:tab w:val="right" w:leader="dot" w:pos="9459"/>
        </w:tabs>
        <w:spacing w:line="360" w:lineRule="auto"/>
        <w:ind w:left="31680"/>
        <w:rPr>
          <w:spacing w:val="6"/>
          <w:sz w:val="22"/>
          <w:szCs w:val="22"/>
        </w:rPr>
      </w:pPr>
      <w:r>
        <w:rPr>
          <w:rStyle w:val="Hyperlink"/>
          <w:color w:val="auto"/>
          <w:sz w:val="22"/>
          <w:szCs w:val="22"/>
          <w:u w:val="none"/>
        </w:rPr>
        <w:t>28.</w:t>
      </w:r>
      <w:hyperlink w:anchor="_Toc519872311" w:history="1">
        <w:r>
          <w:rPr>
            <w:rStyle w:val="Hyperlink"/>
            <w:rFonts w:cs="宋体" w:hint="eastAsia"/>
            <w:color w:val="auto"/>
            <w:spacing w:val="6"/>
            <w:sz w:val="22"/>
            <w:szCs w:val="22"/>
            <w:u w:val="none"/>
          </w:rPr>
          <w:t>河北省财政厅关于张家口市城市基础设施配套费收费标准的批复</w:t>
        </w:r>
        <w:r>
          <w:rPr>
            <w:rStyle w:val="Hyperlink"/>
            <w:color w:val="auto"/>
            <w:spacing w:val="6"/>
            <w:sz w:val="22"/>
            <w:szCs w:val="22"/>
            <w:u w:val="none"/>
          </w:rPr>
          <w:t>(</w:t>
        </w:r>
        <w:r>
          <w:rPr>
            <w:rStyle w:val="Hyperlink"/>
            <w:rFonts w:cs="宋体" w:hint="eastAsia"/>
            <w:color w:val="auto"/>
            <w:spacing w:val="6"/>
            <w:sz w:val="22"/>
            <w:szCs w:val="22"/>
            <w:u w:val="none"/>
          </w:rPr>
          <w:t>冀财税〔</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25</w:t>
        </w:r>
        <w:r>
          <w:rPr>
            <w:rStyle w:val="Hyperlink"/>
            <w:rFonts w:cs="宋体" w:hint="eastAsia"/>
            <w:color w:val="auto"/>
            <w:spacing w:val="6"/>
            <w:sz w:val="22"/>
            <w:szCs w:val="22"/>
            <w:u w:val="none"/>
          </w:rPr>
          <w:t>号</w:t>
        </w:r>
        <w:r>
          <w:rPr>
            <w:rStyle w:val="Hyperlink"/>
            <w:color w:val="auto"/>
            <w:spacing w:val="6"/>
            <w:sz w:val="22"/>
            <w:szCs w:val="22"/>
            <w:u w:val="none"/>
          </w:rPr>
          <w:t>)</w:t>
        </w:r>
        <w:r>
          <w:rPr>
            <w:spacing w:val="6"/>
            <w:sz w:val="22"/>
            <w:szCs w:val="22"/>
          </w:rPr>
          <w:tab/>
        </w:r>
        <w:r>
          <w:rPr>
            <w:spacing w:val="6"/>
            <w:sz w:val="22"/>
            <w:szCs w:val="22"/>
          </w:rPr>
          <w:fldChar w:fldCharType="begin"/>
        </w:r>
        <w:r>
          <w:rPr>
            <w:spacing w:val="6"/>
            <w:sz w:val="22"/>
            <w:szCs w:val="22"/>
          </w:rPr>
          <w:instrText xml:space="preserve"> PAGEREF _Toc519872311 \h </w:instrText>
        </w:r>
        <w:r w:rsidRPr="004A1DFB">
          <w:rPr>
            <w:spacing w:val="6"/>
            <w:sz w:val="22"/>
            <w:szCs w:val="22"/>
          </w:rPr>
        </w:r>
        <w:r>
          <w:rPr>
            <w:spacing w:val="6"/>
            <w:sz w:val="22"/>
            <w:szCs w:val="22"/>
          </w:rPr>
          <w:fldChar w:fldCharType="separate"/>
        </w:r>
        <w:r>
          <w:rPr>
            <w:noProof/>
            <w:spacing w:val="6"/>
            <w:sz w:val="22"/>
            <w:szCs w:val="22"/>
          </w:rPr>
          <w:t>300</w:t>
        </w:r>
        <w:r>
          <w:rPr>
            <w:spacing w:val="6"/>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29.</w:t>
      </w:r>
      <w:hyperlink w:anchor="_Toc519872312" w:history="1">
        <w:r>
          <w:rPr>
            <w:rStyle w:val="Hyperlink"/>
            <w:rFonts w:cs="宋体" w:hint="eastAsia"/>
            <w:color w:val="auto"/>
            <w:sz w:val="22"/>
            <w:szCs w:val="22"/>
            <w:u w:val="none"/>
          </w:rPr>
          <w:t>河北省财政厅关于保定市城市基础设施配套费标准的通知</w:t>
        </w:r>
        <w:r>
          <w:rPr>
            <w:rStyle w:val="Hyperlink"/>
            <w:color w:val="auto"/>
            <w:sz w:val="22"/>
            <w:szCs w:val="22"/>
            <w:u w:val="none"/>
          </w:rPr>
          <w:t>(</w:t>
        </w:r>
        <w:r>
          <w:rPr>
            <w:rStyle w:val="Hyperlink"/>
            <w:rFonts w:cs="宋体" w:hint="eastAsia"/>
            <w:color w:val="auto"/>
            <w:sz w:val="22"/>
            <w:szCs w:val="22"/>
            <w:u w:val="none"/>
          </w:rPr>
          <w:t>冀财税〔</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21</w:t>
        </w:r>
        <w:r>
          <w:rPr>
            <w:rStyle w:val="Hyperlink"/>
            <w:rFonts w:cs="宋体" w:hint="eastAsia"/>
            <w:color w:val="auto"/>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_Toc519872312 \h </w:instrText>
        </w:r>
        <w:r w:rsidRPr="004A1DFB">
          <w:rPr>
            <w:sz w:val="22"/>
            <w:szCs w:val="22"/>
          </w:rPr>
        </w:r>
        <w:r>
          <w:rPr>
            <w:sz w:val="22"/>
            <w:szCs w:val="22"/>
          </w:rPr>
          <w:fldChar w:fldCharType="separate"/>
        </w:r>
        <w:r>
          <w:rPr>
            <w:noProof/>
            <w:sz w:val="22"/>
            <w:szCs w:val="22"/>
          </w:rPr>
          <w:t>301</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30.</w:t>
      </w:r>
      <w:hyperlink w:anchor="_Toc519872313" w:history="1">
        <w:r>
          <w:rPr>
            <w:rStyle w:val="Hyperlink"/>
            <w:rFonts w:cs="宋体" w:hint="eastAsia"/>
            <w:color w:val="auto"/>
            <w:spacing w:val="-6"/>
            <w:sz w:val="22"/>
            <w:szCs w:val="22"/>
            <w:u w:val="none"/>
          </w:rPr>
          <w:t>河北省财政厅关于沧州市城市基础设施配套费收费标准的批复</w:t>
        </w:r>
        <w:r>
          <w:rPr>
            <w:rStyle w:val="Hyperlink"/>
            <w:color w:val="auto"/>
            <w:spacing w:val="-6"/>
            <w:sz w:val="22"/>
            <w:szCs w:val="22"/>
            <w:u w:val="none"/>
          </w:rPr>
          <w:t>(</w:t>
        </w:r>
        <w:r>
          <w:rPr>
            <w:rStyle w:val="Hyperlink"/>
            <w:rFonts w:cs="宋体" w:hint="eastAsia"/>
            <w:color w:val="auto"/>
            <w:spacing w:val="-6"/>
            <w:sz w:val="22"/>
            <w:szCs w:val="22"/>
            <w:u w:val="none"/>
          </w:rPr>
          <w:t>冀财税〔</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20</w:t>
        </w:r>
        <w:r>
          <w:rPr>
            <w:rStyle w:val="Hyperlink"/>
            <w:rFonts w:cs="宋体" w:hint="eastAsia"/>
            <w:color w:val="auto"/>
            <w:spacing w:val="-6"/>
            <w:sz w:val="22"/>
            <w:szCs w:val="22"/>
            <w:u w:val="none"/>
          </w:rPr>
          <w:t>号</w:t>
        </w:r>
        <w:r>
          <w:rPr>
            <w:rStyle w:val="Hyperlink"/>
            <w:color w:val="auto"/>
            <w:sz w:val="22"/>
            <w:szCs w:val="22"/>
            <w:u w:val="none"/>
          </w:rPr>
          <w:t>)</w:t>
        </w:r>
        <w:r>
          <w:rPr>
            <w:sz w:val="22"/>
            <w:szCs w:val="22"/>
          </w:rPr>
          <w:tab/>
        </w:r>
        <w:r>
          <w:rPr>
            <w:sz w:val="22"/>
            <w:szCs w:val="22"/>
          </w:rPr>
          <w:fldChar w:fldCharType="begin"/>
        </w:r>
        <w:r>
          <w:rPr>
            <w:sz w:val="22"/>
            <w:szCs w:val="22"/>
          </w:rPr>
          <w:instrText xml:space="preserve"> PAGEREF _Toc519872313 \h </w:instrText>
        </w:r>
        <w:r w:rsidRPr="004A1DFB">
          <w:rPr>
            <w:sz w:val="22"/>
            <w:szCs w:val="22"/>
          </w:rPr>
        </w:r>
        <w:r>
          <w:rPr>
            <w:sz w:val="22"/>
            <w:szCs w:val="22"/>
          </w:rPr>
          <w:fldChar w:fldCharType="separate"/>
        </w:r>
        <w:r>
          <w:rPr>
            <w:noProof/>
            <w:sz w:val="22"/>
            <w:szCs w:val="22"/>
          </w:rPr>
          <w:t>303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31.</w:t>
      </w:r>
      <w:hyperlink w:anchor="_Toc519872314" w:history="1">
        <w:r>
          <w:rPr>
            <w:rStyle w:val="Hyperlink"/>
            <w:rFonts w:cs="宋体" w:hint="eastAsia"/>
            <w:color w:val="auto"/>
            <w:spacing w:val="-4"/>
            <w:sz w:val="22"/>
            <w:szCs w:val="22"/>
            <w:u w:val="none"/>
          </w:rPr>
          <w:t>秦皇岛市财政局关于调整城市基础设施配套费收费标准的通知</w:t>
        </w:r>
        <w:r>
          <w:rPr>
            <w:rStyle w:val="Hyperlink"/>
            <w:color w:val="auto"/>
            <w:spacing w:val="-4"/>
            <w:sz w:val="22"/>
            <w:szCs w:val="22"/>
            <w:u w:val="none"/>
          </w:rPr>
          <w:t>(</w:t>
        </w:r>
        <w:r>
          <w:rPr>
            <w:rStyle w:val="Hyperlink"/>
            <w:rFonts w:cs="宋体" w:hint="eastAsia"/>
            <w:color w:val="auto"/>
            <w:spacing w:val="-4"/>
            <w:sz w:val="22"/>
            <w:szCs w:val="22"/>
            <w:u w:val="none"/>
          </w:rPr>
          <w:t>秦财税〔</w:t>
        </w:r>
        <w:r>
          <w:rPr>
            <w:rStyle w:val="Hyperlink"/>
            <w:color w:val="auto"/>
            <w:spacing w:val="-4"/>
            <w:sz w:val="22"/>
            <w:szCs w:val="22"/>
            <w:u w:val="none"/>
          </w:rPr>
          <w:t>2017</w:t>
        </w:r>
        <w:r>
          <w:rPr>
            <w:rStyle w:val="Hyperlink"/>
            <w:rFonts w:cs="宋体" w:hint="eastAsia"/>
            <w:color w:val="auto"/>
            <w:spacing w:val="-4"/>
            <w:sz w:val="22"/>
            <w:szCs w:val="22"/>
            <w:u w:val="none"/>
          </w:rPr>
          <w:t>〕</w:t>
        </w:r>
        <w:r>
          <w:rPr>
            <w:rStyle w:val="Hyperlink"/>
            <w:color w:val="auto"/>
            <w:spacing w:val="-4"/>
            <w:sz w:val="22"/>
            <w:szCs w:val="22"/>
            <w:u w:val="none"/>
          </w:rPr>
          <w:t>3</w:t>
        </w:r>
        <w:r>
          <w:rPr>
            <w:rStyle w:val="Hyperlink"/>
            <w:rFonts w:cs="宋体" w:hint="eastAsia"/>
            <w:color w:val="auto"/>
            <w:spacing w:val="-4"/>
            <w:sz w:val="22"/>
            <w:szCs w:val="22"/>
            <w:u w:val="none"/>
          </w:rPr>
          <w:t>号</w:t>
        </w:r>
        <w:r>
          <w:rPr>
            <w:rStyle w:val="Hyperlink"/>
            <w:color w:val="auto"/>
            <w:spacing w:val="-4"/>
            <w:sz w:val="22"/>
            <w:szCs w:val="22"/>
            <w:u w:val="none"/>
          </w:rPr>
          <w:t>)</w:t>
        </w:r>
        <w:r>
          <w:rPr>
            <w:spacing w:val="-4"/>
            <w:sz w:val="22"/>
            <w:szCs w:val="22"/>
          </w:rPr>
          <w:tab/>
        </w:r>
        <w:r>
          <w:rPr>
            <w:sz w:val="22"/>
            <w:szCs w:val="22"/>
          </w:rPr>
          <w:fldChar w:fldCharType="begin"/>
        </w:r>
        <w:r>
          <w:rPr>
            <w:sz w:val="22"/>
            <w:szCs w:val="22"/>
          </w:rPr>
          <w:instrText xml:space="preserve"> PAGEREF _Toc519872314 \h </w:instrText>
        </w:r>
        <w:r w:rsidRPr="004A1DFB">
          <w:rPr>
            <w:sz w:val="22"/>
            <w:szCs w:val="22"/>
          </w:rPr>
        </w:r>
        <w:r>
          <w:rPr>
            <w:sz w:val="22"/>
            <w:szCs w:val="22"/>
          </w:rPr>
          <w:fldChar w:fldCharType="separate"/>
        </w:r>
        <w:r>
          <w:rPr>
            <w:noProof/>
            <w:sz w:val="22"/>
            <w:szCs w:val="22"/>
          </w:rPr>
          <w:t>305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32.</w:t>
      </w:r>
      <w:hyperlink w:anchor="_Toc519872315" w:history="1">
        <w:r>
          <w:rPr>
            <w:rStyle w:val="Hyperlink"/>
            <w:rFonts w:cs="宋体" w:hint="eastAsia"/>
            <w:color w:val="auto"/>
            <w:spacing w:val="-8"/>
            <w:sz w:val="22"/>
            <w:szCs w:val="22"/>
            <w:u w:val="none"/>
          </w:rPr>
          <w:t>河北省财政厅关于邢台市城市基础设施配套费收费标准的批复（冀财税〔</w:t>
        </w:r>
        <w:r>
          <w:rPr>
            <w:rStyle w:val="Hyperlink"/>
            <w:color w:val="auto"/>
            <w:spacing w:val="-8"/>
            <w:sz w:val="22"/>
            <w:szCs w:val="22"/>
            <w:u w:val="none"/>
          </w:rPr>
          <w:t>2017</w:t>
        </w:r>
        <w:r>
          <w:rPr>
            <w:rStyle w:val="Hyperlink"/>
            <w:rFonts w:cs="宋体" w:hint="eastAsia"/>
            <w:color w:val="auto"/>
            <w:spacing w:val="-8"/>
            <w:sz w:val="22"/>
            <w:szCs w:val="22"/>
            <w:u w:val="none"/>
          </w:rPr>
          <w:t>〕</w:t>
        </w:r>
        <w:r>
          <w:rPr>
            <w:rStyle w:val="Hyperlink"/>
            <w:color w:val="auto"/>
            <w:spacing w:val="-8"/>
            <w:sz w:val="22"/>
            <w:szCs w:val="22"/>
            <w:u w:val="none"/>
          </w:rPr>
          <w:t>18</w:t>
        </w:r>
        <w:r>
          <w:rPr>
            <w:rStyle w:val="Hyperlink"/>
            <w:rFonts w:cs="宋体" w:hint="eastAsia"/>
            <w:color w:val="auto"/>
            <w:spacing w:val="-8"/>
            <w:sz w:val="22"/>
            <w:szCs w:val="22"/>
            <w:u w:val="none"/>
          </w:rPr>
          <w:t>号）</w:t>
        </w:r>
        <w:r>
          <w:rPr>
            <w:sz w:val="22"/>
            <w:szCs w:val="22"/>
          </w:rPr>
          <w:tab/>
        </w:r>
        <w:r>
          <w:rPr>
            <w:sz w:val="22"/>
            <w:szCs w:val="22"/>
          </w:rPr>
          <w:fldChar w:fldCharType="begin"/>
        </w:r>
        <w:r>
          <w:rPr>
            <w:sz w:val="22"/>
            <w:szCs w:val="22"/>
          </w:rPr>
          <w:instrText xml:space="preserve"> PAGEREF _Toc519872315 \h </w:instrText>
        </w:r>
        <w:r w:rsidRPr="004A1DFB">
          <w:rPr>
            <w:sz w:val="22"/>
            <w:szCs w:val="22"/>
          </w:rPr>
        </w:r>
        <w:r>
          <w:rPr>
            <w:sz w:val="22"/>
            <w:szCs w:val="22"/>
          </w:rPr>
          <w:fldChar w:fldCharType="separate"/>
        </w:r>
        <w:r>
          <w:rPr>
            <w:noProof/>
            <w:sz w:val="22"/>
            <w:szCs w:val="22"/>
          </w:rPr>
          <w:t>307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33.</w:t>
      </w:r>
      <w:hyperlink w:anchor="_Toc519872316" w:history="1">
        <w:r>
          <w:rPr>
            <w:rStyle w:val="Hyperlink"/>
            <w:rFonts w:cs="宋体" w:hint="eastAsia"/>
            <w:color w:val="auto"/>
            <w:spacing w:val="-8"/>
            <w:sz w:val="22"/>
            <w:szCs w:val="22"/>
            <w:u w:val="none"/>
          </w:rPr>
          <w:t>河北省财政厅关于廊坊市城市基础设施配套费收费标准的批复（冀财税〔</w:t>
        </w:r>
        <w:r>
          <w:rPr>
            <w:rStyle w:val="Hyperlink"/>
            <w:color w:val="auto"/>
            <w:spacing w:val="-8"/>
            <w:sz w:val="22"/>
            <w:szCs w:val="22"/>
            <w:u w:val="none"/>
          </w:rPr>
          <w:t>2017</w:t>
        </w:r>
        <w:r>
          <w:rPr>
            <w:rStyle w:val="Hyperlink"/>
            <w:rFonts w:cs="宋体" w:hint="eastAsia"/>
            <w:color w:val="auto"/>
            <w:spacing w:val="-8"/>
            <w:sz w:val="22"/>
            <w:szCs w:val="22"/>
            <w:u w:val="none"/>
          </w:rPr>
          <w:t>〕</w:t>
        </w:r>
        <w:r>
          <w:rPr>
            <w:rStyle w:val="Hyperlink"/>
            <w:color w:val="auto"/>
            <w:spacing w:val="-8"/>
            <w:sz w:val="22"/>
            <w:szCs w:val="22"/>
            <w:u w:val="none"/>
          </w:rPr>
          <w:t>24</w:t>
        </w:r>
        <w:r>
          <w:rPr>
            <w:rStyle w:val="Hyperlink"/>
            <w:rFonts w:cs="宋体" w:hint="eastAsia"/>
            <w:color w:val="auto"/>
            <w:spacing w:val="-8"/>
            <w:sz w:val="22"/>
            <w:szCs w:val="22"/>
            <w:u w:val="none"/>
          </w:rPr>
          <w:t>号）</w:t>
        </w:r>
        <w:r>
          <w:rPr>
            <w:sz w:val="22"/>
            <w:szCs w:val="22"/>
          </w:rPr>
          <w:tab/>
        </w:r>
        <w:r>
          <w:rPr>
            <w:sz w:val="22"/>
            <w:szCs w:val="22"/>
          </w:rPr>
          <w:fldChar w:fldCharType="begin"/>
        </w:r>
        <w:r>
          <w:rPr>
            <w:sz w:val="22"/>
            <w:szCs w:val="22"/>
          </w:rPr>
          <w:instrText xml:space="preserve"> PAGEREF _Toc519872316 \h </w:instrText>
        </w:r>
        <w:r w:rsidRPr="004A1DFB">
          <w:rPr>
            <w:sz w:val="22"/>
            <w:szCs w:val="22"/>
          </w:rPr>
        </w:r>
        <w:r>
          <w:rPr>
            <w:sz w:val="22"/>
            <w:szCs w:val="22"/>
          </w:rPr>
          <w:fldChar w:fldCharType="separate"/>
        </w:r>
        <w:r>
          <w:rPr>
            <w:noProof/>
            <w:sz w:val="22"/>
            <w:szCs w:val="22"/>
          </w:rPr>
          <w:t>309</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34.</w:t>
      </w:r>
      <w:hyperlink w:anchor="_Toc519872317" w:history="1">
        <w:r>
          <w:rPr>
            <w:rStyle w:val="Hyperlink"/>
            <w:rFonts w:cs="宋体" w:hint="eastAsia"/>
            <w:color w:val="auto"/>
            <w:sz w:val="22"/>
            <w:szCs w:val="22"/>
            <w:u w:val="none"/>
          </w:rPr>
          <w:t>承德市财政局关于明确城市基础设施配套费征收标准等有关事项的通知（承财城建〔</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20</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_Toc519872317 \h </w:instrText>
        </w:r>
        <w:r w:rsidRPr="004A1DFB">
          <w:rPr>
            <w:sz w:val="22"/>
            <w:szCs w:val="22"/>
          </w:rPr>
        </w:r>
        <w:r>
          <w:rPr>
            <w:sz w:val="22"/>
            <w:szCs w:val="22"/>
          </w:rPr>
          <w:fldChar w:fldCharType="separate"/>
        </w:r>
        <w:r>
          <w:rPr>
            <w:noProof/>
            <w:sz w:val="22"/>
            <w:szCs w:val="22"/>
          </w:rPr>
          <w:t>311</w:t>
        </w:r>
        <w:r>
          <w:rPr>
            <w:sz w:val="22"/>
            <w:szCs w:val="22"/>
          </w:rPr>
          <w:fldChar w:fldCharType="end"/>
        </w:r>
      </w:hyperlink>
    </w:p>
    <w:p w:rsidR="00A32067" w:rsidRDefault="00A32067" w:rsidP="005431C7">
      <w:pPr>
        <w:pStyle w:val="TOC3"/>
        <w:tabs>
          <w:tab w:val="right" w:leader="dot" w:pos="9459"/>
        </w:tabs>
        <w:spacing w:line="360" w:lineRule="auto"/>
        <w:ind w:left="31680"/>
        <w:rPr>
          <w:rStyle w:val="Hyperlink"/>
          <w:color w:val="auto"/>
          <w:sz w:val="22"/>
          <w:szCs w:val="22"/>
          <w:u w:val="none"/>
        </w:rPr>
        <w:sectPr w:rsidR="00A32067">
          <w:headerReference w:type="even" r:id="rId13"/>
          <w:headerReference w:type="default" r:id="rId14"/>
          <w:footerReference w:type="even" r:id="rId15"/>
          <w:footerReference w:type="default" r:id="rId16"/>
          <w:pgSz w:w="11907" w:h="16840"/>
          <w:pgMar w:top="1134" w:right="1077" w:bottom="1134" w:left="1077" w:header="794" w:footer="567" w:gutter="284"/>
          <w:pgNumType w:start="3"/>
          <w:cols w:space="720"/>
          <w:docGrid w:linePitch="312"/>
        </w:sectPr>
      </w:pPr>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35.</w:t>
      </w:r>
      <w:hyperlink w:anchor="_Toc519872318" w:history="1">
        <w:r>
          <w:rPr>
            <w:rStyle w:val="Hyperlink"/>
            <w:rFonts w:cs="宋体" w:hint="eastAsia"/>
            <w:color w:val="auto"/>
            <w:sz w:val="22"/>
            <w:szCs w:val="22"/>
            <w:u w:val="none"/>
          </w:rPr>
          <w:t>衡水市财政局关于城市基础设施配套费收费标准的批复（衡财综〔</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13</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_Toc519872318 \h </w:instrText>
        </w:r>
        <w:r w:rsidRPr="004A1DFB">
          <w:rPr>
            <w:sz w:val="22"/>
            <w:szCs w:val="22"/>
          </w:rPr>
        </w:r>
        <w:r>
          <w:rPr>
            <w:sz w:val="22"/>
            <w:szCs w:val="22"/>
          </w:rPr>
          <w:fldChar w:fldCharType="separate"/>
        </w:r>
        <w:r>
          <w:rPr>
            <w:noProof/>
            <w:sz w:val="22"/>
            <w:szCs w:val="22"/>
          </w:rPr>
          <w:t>313</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36.</w:t>
      </w:r>
      <w:hyperlink w:anchor="_Toc519872319" w:history="1">
        <w:r>
          <w:rPr>
            <w:rStyle w:val="Hyperlink"/>
            <w:rFonts w:cs="宋体" w:hint="eastAsia"/>
            <w:color w:val="auto"/>
            <w:sz w:val="22"/>
            <w:szCs w:val="22"/>
            <w:u w:val="none"/>
          </w:rPr>
          <w:t>定州市人民政府关于调整城市基础设施配套费的通知（定政发〔</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32</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_Toc519872319 \h </w:instrText>
        </w:r>
        <w:r w:rsidRPr="004A1DFB">
          <w:rPr>
            <w:sz w:val="22"/>
            <w:szCs w:val="22"/>
          </w:rPr>
        </w:r>
        <w:r>
          <w:rPr>
            <w:sz w:val="22"/>
            <w:szCs w:val="22"/>
          </w:rPr>
          <w:fldChar w:fldCharType="separate"/>
        </w:r>
        <w:r>
          <w:rPr>
            <w:noProof/>
            <w:sz w:val="22"/>
            <w:szCs w:val="22"/>
          </w:rPr>
          <w:t>314</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37.</w:t>
      </w:r>
      <w:hyperlink w:anchor="_Toc519872320" w:history="1">
        <w:r>
          <w:rPr>
            <w:rStyle w:val="Hyperlink"/>
            <w:rFonts w:cs="宋体" w:hint="eastAsia"/>
            <w:color w:val="auto"/>
            <w:spacing w:val="-6"/>
            <w:sz w:val="22"/>
            <w:szCs w:val="22"/>
            <w:u w:val="none"/>
          </w:rPr>
          <w:t>辛集市人民政府关于调整城建基础设施配套费收费标准的通知（辛政字〔</w:t>
        </w:r>
        <w:r>
          <w:rPr>
            <w:rStyle w:val="Hyperlink"/>
            <w:color w:val="auto"/>
            <w:spacing w:val="-6"/>
            <w:sz w:val="22"/>
            <w:szCs w:val="22"/>
            <w:u w:val="none"/>
          </w:rPr>
          <w:t>2017</w:t>
        </w:r>
        <w:r>
          <w:rPr>
            <w:rStyle w:val="Hyperlink"/>
            <w:rFonts w:cs="宋体" w:hint="eastAsia"/>
            <w:color w:val="auto"/>
            <w:spacing w:val="-6"/>
            <w:sz w:val="22"/>
            <w:szCs w:val="22"/>
            <w:u w:val="none"/>
          </w:rPr>
          <w:t>〕</w:t>
        </w:r>
        <w:r>
          <w:rPr>
            <w:rStyle w:val="Hyperlink"/>
            <w:color w:val="auto"/>
            <w:spacing w:val="-6"/>
            <w:sz w:val="22"/>
            <w:szCs w:val="22"/>
            <w:u w:val="none"/>
          </w:rPr>
          <w:t>4</w:t>
        </w:r>
        <w:r>
          <w:rPr>
            <w:rStyle w:val="Hyperlink"/>
            <w:rFonts w:cs="宋体" w:hint="eastAsia"/>
            <w:color w:val="auto"/>
            <w:spacing w:val="-6"/>
            <w:sz w:val="22"/>
            <w:szCs w:val="22"/>
            <w:u w:val="none"/>
          </w:rPr>
          <w:t>号）</w:t>
        </w:r>
        <w:r>
          <w:rPr>
            <w:sz w:val="22"/>
            <w:szCs w:val="22"/>
          </w:rPr>
          <w:tab/>
        </w:r>
        <w:r>
          <w:rPr>
            <w:sz w:val="22"/>
            <w:szCs w:val="22"/>
          </w:rPr>
          <w:fldChar w:fldCharType="begin"/>
        </w:r>
        <w:r>
          <w:rPr>
            <w:sz w:val="22"/>
            <w:szCs w:val="22"/>
          </w:rPr>
          <w:instrText xml:space="preserve"> PAGEREF _Toc519872320 \h </w:instrText>
        </w:r>
        <w:r w:rsidRPr="004A1DFB">
          <w:rPr>
            <w:sz w:val="22"/>
            <w:szCs w:val="22"/>
          </w:rPr>
        </w:r>
        <w:r>
          <w:rPr>
            <w:sz w:val="22"/>
            <w:szCs w:val="22"/>
          </w:rPr>
          <w:fldChar w:fldCharType="separate"/>
        </w:r>
        <w:r>
          <w:rPr>
            <w:noProof/>
            <w:sz w:val="22"/>
            <w:szCs w:val="22"/>
          </w:rPr>
          <w:t>316</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38.</w:t>
      </w:r>
      <w:hyperlink w:anchor="_Toc519872321" w:history="1">
        <w:r>
          <w:rPr>
            <w:rStyle w:val="Hyperlink"/>
            <w:rFonts w:cs="宋体" w:hint="eastAsia"/>
            <w:color w:val="auto"/>
            <w:sz w:val="22"/>
            <w:szCs w:val="22"/>
            <w:u w:val="none"/>
          </w:rPr>
          <w:t>河北省人民防空办公室转发省物价局、省财政厅《关于降低我省防空地下室易地建设费收费标准的通知》的通知（冀人防办</w:t>
        </w:r>
        <w:r>
          <w:rPr>
            <w:rStyle w:val="Hyperlink"/>
            <w:color w:val="auto"/>
            <w:sz w:val="22"/>
            <w:szCs w:val="22"/>
            <w:u w:val="none"/>
          </w:rPr>
          <w:t>[2018]1</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_Toc519872321 \h </w:instrText>
        </w:r>
        <w:r w:rsidRPr="004A1DFB">
          <w:rPr>
            <w:sz w:val="22"/>
            <w:szCs w:val="22"/>
          </w:rPr>
        </w:r>
        <w:r>
          <w:rPr>
            <w:sz w:val="22"/>
            <w:szCs w:val="22"/>
          </w:rPr>
          <w:fldChar w:fldCharType="separate"/>
        </w:r>
        <w:r>
          <w:rPr>
            <w:noProof/>
            <w:sz w:val="22"/>
            <w:szCs w:val="22"/>
          </w:rPr>
          <w:t>317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39.</w:t>
      </w:r>
      <w:hyperlink w:anchor="_Toc519872322" w:history="1">
        <w:r>
          <w:rPr>
            <w:rStyle w:val="Hyperlink"/>
            <w:rFonts w:cs="宋体" w:hint="eastAsia"/>
            <w:color w:val="auto"/>
            <w:spacing w:val="24"/>
            <w:sz w:val="22"/>
            <w:szCs w:val="22"/>
            <w:u w:val="none"/>
          </w:rPr>
          <w:t>关于降低我省防空地下室易地建设费收费标准的通知（</w:t>
        </w:r>
        <w:r>
          <w:rPr>
            <w:rStyle w:val="Hyperlink"/>
            <w:rFonts w:cs="宋体" w:hint="eastAsia"/>
            <w:color w:val="auto"/>
            <w:sz w:val="22"/>
            <w:szCs w:val="22"/>
            <w:u w:val="none"/>
          </w:rPr>
          <w:t>冀价行费〔</w:t>
        </w:r>
        <w:r>
          <w:rPr>
            <w:rStyle w:val="Hyperlink"/>
            <w:color w:val="auto"/>
            <w:sz w:val="22"/>
            <w:szCs w:val="22"/>
            <w:u w:val="none"/>
          </w:rPr>
          <w:t>2017</w:t>
        </w:r>
        <w:r>
          <w:rPr>
            <w:rStyle w:val="Hyperlink"/>
            <w:rFonts w:cs="宋体" w:hint="eastAsia"/>
            <w:color w:val="auto"/>
            <w:sz w:val="22"/>
            <w:szCs w:val="22"/>
            <w:u w:val="none"/>
          </w:rPr>
          <w:t>〕</w:t>
        </w:r>
        <w:r>
          <w:rPr>
            <w:rStyle w:val="Hyperlink"/>
            <w:color w:val="auto"/>
            <w:sz w:val="22"/>
            <w:szCs w:val="22"/>
            <w:u w:val="none"/>
          </w:rPr>
          <w:t>203</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_Toc519872322 \h </w:instrText>
        </w:r>
        <w:r w:rsidRPr="004A1DFB">
          <w:rPr>
            <w:sz w:val="22"/>
            <w:szCs w:val="22"/>
          </w:rPr>
        </w:r>
        <w:r>
          <w:rPr>
            <w:sz w:val="22"/>
            <w:szCs w:val="22"/>
          </w:rPr>
          <w:fldChar w:fldCharType="separate"/>
        </w:r>
        <w:r>
          <w:rPr>
            <w:noProof/>
            <w:sz w:val="22"/>
            <w:szCs w:val="22"/>
          </w:rPr>
          <w:t>318</w:t>
        </w:r>
        <w:r>
          <w:rPr>
            <w:sz w:val="22"/>
            <w:szCs w:val="22"/>
          </w:rPr>
          <w:fldChar w:fldCharType="end"/>
        </w:r>
      </w:hyperlink>
    </w:p>
    <w:p w:rsidR="00A32067" w:rsidRDefault="00A32067" w:rsidP="005431C7">
      <w:pPr>
        <w:spacing w:line="360" w:lineRule="auto"/>
        <w:ind w:leftChars="400" w:left="31680"/>
        <w:jc w:val="left"/>
        <w:outlineLvl w:val="2"/>
        <w:rPr>
          <w:rStyle w:val="Hyperlink"/>
          <w:color w:val="auto"/>
          <w:spacing w:val="24"/>
          <w:sz w:val="22"/>
          <w:szCs w:val="22"/>
        </w:rPr>
      </w:pPr>
      <w:r>
        <w:t>40.</w:t>
      </w:r>
      <w:r>
        <w:rPr>
          <w:rStyle w:val="Hyperlink"/>
          <w:rFonts w:cs="宋体" w:hint="eastAsia"/>
          <w:color w:val="auto"/>
          <w:sz w:val="22"/>
          <w:szCs w:val="22"/>
          <w:u w:val="none"/>
        </w:rPr>
        <w:t>关于印发《河北省会计师事务所服务收费管理办法》的通知</w:t>
      </w:r>
      <w:r>
        <w:rPr>
          <w:rStyle w:val="Hyperlink"/>
          <w:color w:val="auto"/>
          <w:sz w:val="22"/>
          <w:szCs w:val="22"/>
          <w:u w:val="none"/>
        </w:rPr>
        <w:t>(</w:t>
      </w:r>
      <w:r>
        <w:rPr>
          <w:rStyle w:val="Hyperlink"/>
          <w:rFonts w:cs="宋体" w:hint="eastAsia"/>
          <w:color w:val="auto"/>
          <w:sz w:val="22"/>
          <w:szCs w:val="22"/>
          <w:u w:val="none"/>
        </w:rPr>
        <w:t>冀价经费〔</w:t>
      </w:r>
      <w:r>
        <w:rPr>
          <w:rStyle w:val="Hyperlink"/>
          <w:color w:val="auto"/>
          <w:sz w:val="22"/>
          <w:szCs w:val="22"/>
          <w:u w:val="none"/>
        </w:rPr>
        <w:t>2012</w:t>
      </w:r>
      <w:r>
        <w:rPr>
          <w:rStyle w:val="Hyperlink"/>
          <w:rFonts w:cs="宋体" w:hint="eastAsia"/>
          <w:color w:val="auto"/>
          <w:sz w:val="22"/>
          <w:szCs w:val="22"/>
          <w:u w:val="none"/>
        </w:rPr>
        <w:t>〕</w:t>
      </w:r>
      <w:r>
        <w:rPr>
          <w:rStyle w:val="Hyperlink"/>
          <w:color w:val="auto"/>
          <w:sz w:val="22"/>
          <w:szCs w:val="22"/>
          <w:u w:val="none"/>
        </w:rPr>
        <w:t>18</w:t>
      </w:r>
      <w:r>
        <w:rPr>
          <w:rStyle w:val="Hyperlink"/>
          <w:rFonts w:cs="宋体" w:hint="eastAsia"/>
          <w:color w:val="auto"/>
          <w:sz w:val="22"/>
          <w:szCs w:val="22"/>
          <w:u w:val="none"/>
        </w:rPr>
        <w:t>号</w:t>
      </w:r>
      <w:r>
        <w:rPr>
          <w:rStyle w:val="Hyperlink"/>
          <w:color w:val="auto"/>
          <w:sz w:val="22"/>
          <w:szCs w:val="22"/>
          <w:u w:val="none"/>
        </w:rPr>
        <w:t xml:space="preserve"> )..........................................</w:t>
      </w:r>
      <w:r>
        <w:rPr>
          <w:sz w:val="22"/>
          <w:szCs w:val="22"/>
        </w:rPr>
        <w:t>.........................</w:t>
      </w:r>
      <w:r>
        <w:rPr>
          <w:rStyle w:val="Hyperlink"/>
          <w:color w:val="auto"/>
          <w:sz w:val="22"/>
          <w:szCs w:val="22"/>
          <w:u w:val="none"/>
        </w:rPr>
        <w:t xml:space="preserve"> ....</w:t>
      </w:r>
      <w:r>
        <w:rPr>
          <w:sz w:val="22"/>
          <w:szCs w:val="22"/>
        </w:rPr>
        <w:t>..............</w:t>
      </w:r>
      <w:r>
        <w:rPr>
          <w:rStyle w:val="Hyperlink"/>
          <w:color w:val="auto"/>
          <w:sz w:val="22"/>
          <w:szCs w:val="22"/>
          <w:u w:val="none"/>
        </w:rPr>
        <w:t xml:space="preserve"> ..</w:t>
      </w:r>
      <w:r>
        <w:rPr>
          <w:sz w:val="22"/>
          <w:szCs w:val="22"/>
        </w:rPr>
        <w:t xml:space="preserve">..................................................... </w:t>
      </w:r>
      <w:r>
        <w:rPr>
          <w:sz w:val="22"/>
          <w:szCs w:val="22"/>
        </w:rPr>
        <w:fldChar w:fldCharType="begin"/>
      </w:r>
      <w:r>
        <w:rPr>
          <w:sz w:val="22"/>
          <w:szCs w:val="22"/>
        </w:rPr>
        <w:instrText xml:space="preserve"> PAGEREF _Toc519872322 \h </w:instrText>
      </w:r>
      <w:r w:rsidRPr="004A1DFB">
        <w:rPr>
          <w:sz w:val="22"/>
          <w:szCs w:val="22"/>
        </w:rPr>
      </w:r>
      <w:r>
        <w:rPr>
          <w:sz w:val="22"/>
          <w:szCs w:val="22"/>
        </w:rPr>
        <w:fldChar w:fldCharType="separate"/>
      </w:r>
      <w:r>
        <w:rPr>
          <w:sz w:val="22"/>
          <w:szCs w:val="22"/>
        </w:rPr>
        <w:t>319</w:t>
      </w:r>
      <w:r>
        <w:rPr>
          <w:sz w:val="22"/>
          <w:szCs w:val="22"/>
        </w:rPr>
        <w:fldChar w:fldCharType="end"/>
      </w:r>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41.</w:t>
      </w:r>
      <w:hyperlink w:anchor="_Toc519872323" w:history="1">
        <w:r>
          <w:rPr>
            <w:rStyle w:val="Hyperlink"/>
            <w:rFonts w:cs="宋体" w:hint="eastAsia"/>
            <w:color w:val="auto"/>
            <w:sz w:val="22"/>
            <w:szCs w:val="22"/>
            <w:u w:val="none"/>
          </w:rPr>
          <w:t>石家庄市人民政府关于印发石家庄市新改扩建居民住宅项目配建教育设施建设资金缴纳标准和管理使用办法的通知（石政发〔</w:t>
        </w:r>
        <w:r>
          <w:rPr>
            <w:rStyle w:val="Hyperlink"/>
            <w:color w:val="auto"/>
            <w:sz w:val="22"/>
            <w:szCs w:val="22"/>
            <w:u w:val="none"/>
          </w:rPr>
          <w:t>2016</w:t>
        </w:r>
        <w:r>
          <w:rPr>
            <w:rStyle w:val="Hyperlink"/>
            <w:rFonts w:cs="宋体" w:hint="eastAsia"/>
            <w:color w:val="auto"/>
            <w:sz w:val="22"/>
            <w:szCs w:val="22"/>
            <w:u w:val="none"/>
          </w:rPr>
          <w:t>〕</w:t>
        </w:r>
        <w:r>
          <w:rPr>
            <w:rStyle w:val="Hyperlink"/>
            <w:color w:val="auto"/>
            <w:sz w:val="22"/>
            <w:szCs w:val="22"/>
            <w:u w:val="none"/>
          </w:rPr>
          <w:t>65</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_Toc519872323 \h </w:instrText>
        </w:r>
        <w:r w:rsidRPr="004A1DFB">
          <w:rPr>
            <w:sz w:val="22"/>
            <w:szCs w:val="22"/>
          </w:rPr>
        </w:r>
        <w:r>
          <w:rPr>
            <w:sz w:val="22"/>
            <w:szCs w:val="22"/>
          </w:rPr>
          <w:fldChar w:fldCharType="separate"/>
        </w:r>
        <w:r>
          <w:rPr>
            <w:noProof/>
            <w:sz w:val="22"/>
            <w:szCs w:val="22"/>
          </w:rPr>
          <w:t>32</w:t>
        </w:r>
        <w:r>
          <w:rPr>
            <w:sz w:val="22"/>
            <w:szCs w:val="22"/>
          </w:rPr>
          <w:fldChar w:fldCharType="end"/>
        </w:r>
      </w:hyperlink>
      <w:r>
        <w:rPr>
          <w:sz w:val="22"/>
          <w:szCs w:val="22"/>
        </w:rPr>
        <w:t>4</w:t>
      </w:r>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42.</w:t>
      </w:r>
      <w:hyperlink w:anchor="_Toc519872324" w:history="1">
        <w:r>
          <w:rPr>
            <w:rStyle w:val="Hyperlink"/>
            <w:rFonts w:cs="宋体" w:hint="eastAsia"/>
            <w:color w:val="auto"/>
            <w:sz w:val="22"/>
            <w:szCs w:val="22"/>
            <w:u w:val="none"/>
          </w:rPr>
          <w:t>石家庄市新改扩建居民住宅项目配建教育设施建设资金缴纳标准和管理使用办法</w:t>
        </w:r>
        <w:r>
          <w:rPr>
            <w:sz w:val="22"/>
            <w:szCs w:val="22"/>
          </w:rPr>
          <w:tab/>
        </w:r>
        <w:r>
          <w:rPr>
            <w:sz w:val="22"/>
            <w:szCs w:val="22"/>
          </w:rPr>
          <w:fldChar w:fldCharType="begin"/>
        </w:r>
        <w:r>
          <w:rPr>
            <w:sz w:val="22"/>
            <w:szCs w:val="22"/>
          </w:rPr>
          <w:instrText xml:space="preserve"> PAGEREF _Toc519872324 \h </w:instrText>
        </w:r>
        <w:r w:rsidRPr="004A1DFB">
          <w:rPr>
            <w:sz w:val="22"/>
            <w:szCs w:val="22"/>
          </w:rPr>
        </w:r>
        <w:r>
          <w:rPr>
            <w:sz w:val="22"/>
            <w:szCs w:val="22"/>
          </w:rPr>
          <w:fldChar w:fldCharType="separate"/>
        </w:r>
        <w:r>
          <w:rPr>
            <w:noProof/>
            <w:sz w:val="22"/>
            <w:szCs w:val="22"/>
          </w:rPr>
          <w:t>325</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43.</w:t>
      </w:r>
      <w:hyperlink w:anchor="_Toc519872325" w:history="1">
        <w:r>
          <w:rPr>
            <w:rStyle w:val="Hyperlink"/>
            <w:rFonts w:cs="宋体" w:hint="eastAsia"/>
            <w:color w:val="auto"/>
            <w:spacing w:val="10"/>
            <w:sz w:val="22"/>
            <w:szCs w:val="22"/>
            <w:u w:val="none"/>
          </w:rPr>
          <w:t>河北省建筑工程造价管理办法（</w:t>
        </w:r>
        <w:r>
          <w:rPr>
            <w:rStyle w:val="Hyperlink"/>
            <w:rFonts w:cs="宋体" w:hint="eastAsia"/>
            <w:color w:val="auto"/>
            <w:sz w:val="22"/>
            <w:szCs w:val="22"/>
            <w:u w:val="none"/>
          </w:rPr>
          <w:t>政府令〔</w:t>
        </w:r>
        <w:r>
          <w:rPr>
            <w:rStyle w:val="Hyperlink"/>
            <w:color w:val="auto"/>
            <w:sz w:val="22"/>
            <w:szCs w:val="22"/>
            <w:u w:val="none"/>
          </w:rPr>
          <w:t>2014</w:t>
        </w:r>
        <w:r>
          <w:rPr>
            <w:rStyle w:val="Hyperlink"/>
            <w:rFonts w:cs="宋体" w:hint="eastAsia"/>
            <w:color w:val="auto"/>
            <w:sz w:val="22"/>
            <w:szCs w:val="22"/>
            <w:u w:val="none"/>
          </w:rPr>
          <w:t>〕</w:t>
        </w:r>
        <w:r>
          <w:rPr>
            <w:rStyle w:val="Hyperlink"/>
            <w:color w:val="auto"/>
            <w:sz w:val="22"/>
            <w:szCs w:val="22"/>
            <w:u w:val="none"/>
          </w:rPr>
          <w:t>8</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_Toc519872325 \h </w:instrText>
        </w:r>
        <w:r w:rsidRPr="004A1DFB">
          <w:rPr>
            <w:sz w:val="22"/>
            <w:szCs w:val="22"/>
          </w:rPr>
        </w:r>
        <w:r>
          <w:rPr>
            <w:sz w:val="22"/>
            <w:szCs w:val="22"/>
          </w:rPr>
          <w:fldChar w:fldCharType="separate"/>
        </w:r>
        <w:r>
          <w:rPr>
            <w:noProof/>
            <w:sz w:val="22"/>
            <w:szCs w:val="22"/>
          </w:rPr>
          <w:t>327</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44.</w:t>
      </w:r>
      <w:hyperlink w:anchor="_Toc519872326" w:history="1">
        <w:r>
          <w:rPr>
            <w:rStyle w:val="Hyperlink"/>
            <w:rFonts w:cs="宋体" w:hint="eastAsia"/>
            <w:color w:val="auto"/>
            <w:spacing w:val="10"/>
            <w:sz w:val="22"/>
            <w:szCs w:val="22"/>
            <w:u w:val="none"/>
          </w:rPr>
          <w:t>河北省省级预算内投资项目概算管理暂行办法</w:t>
        </w:r>
        <w:r>
          <w:rPr>
            <w:sz w:val="22"/>
            <w:szCs w:val="22"/>
          </w:rPr>
          <w:tab/>
        </w:r>
        <w:r>
          <w:rPr>
            <w:sz w:val="22"/>
            <w:szCs w:val="22"/>
          </w:rPr>
          <w:fldChar w:fldCharType="begin"/>
        </w:r>
        <w:r>
          <w:rPr>
            <w:sz w:val="22"/>
            <w:szCs w:val="22"/>
          </w:rPr>
          <w:instrText xml:space="preserve"> PAGEREF _Toc519872326 \h </w:instrText>
        </w:r>
        <w:r w:rsidRPr="004A1DFB">
          <w:rPr>
            <w:sz w:val="22"/>
            <w:szCs w:val="22"/>
          </w:rPr>
        </w:r>
        <w:r>
          <w:rPr>
            <w:sz w:val="22"/>
            <w:szCs w:val="22"/>
          </w:rPr>
          <w:fldChar w:fldCharType="separate"/>
        </w:r>
        <w:r>
          <w:rPr>
            <w:noProof/>
            <w:sz w:val="22"/>
            <w:szCs w:val="22"/>
          </w:rPr>
          <w:t>334</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45.</w:t>
      </w:r>
      <w:hyperlink w:anchor="_Toc519872327" w:history="1">
        <w:r>
          <w:rPr>
            <w:rStyle w:val="Hyperlink"/>
            <w:rFonts w:cs="宋体" w:hint="eastAsia"/>
            <w:color w:val="auto"/>
            <w:sz w:val="22"/>
            <w:szCs w:val="22"/>
            <w:u w:val="none"/>
          </w:rPr>
          <w:t>国家计委中国人民建设银行印发《关于改进工程建设概预算定额管理工作的若干规定》等三个文件的通知（</w:t>
        </w:r>
        <w:r>
          <w:rPr>
            <w:rStyle w:val="Hyperlink"/>
            <w:color w:val="auto"/>
            <w:sz w:val="22"/>
            <w:szCs w:val="22"/>
            <w:u w:val="none"/>
          </w:rPr>
          <w:t>1985</w:t>
        </w:r>
        <w:r>
          <w:rPr>
            <w:rStyle w:val="Hyperlink"/>
            <w:rFonts w:cs="宋体" w:hint="eastAsia"/>
            <w:color w:val="auto"/>
            <w:sz w:val="22"/>
            <w:szCs w:val="22"/>
            <w:u w:val="none"/>
          </w:rPr>
          <w:t>年</w:t>
        </w:r>
        <w:r>
          <w:rPr>
            <w:rStyle w:val="Hyperlink"/>
            <w:color w:val="auto"/>
            <w:sz w:val="22"/>
            <w:szCs w:val="22"/>
            <w:u w:val="none"/>
          </w:rPr>
          <w:t>3</w:t>
        </w:r>
        <w:r>
          <w:rPr>
            <w:rStyle w:val="Hyperlink"/>
            <w:rFonts w:cs="宋体" w:hint="eastAsia"/>
            <w:color w:val="auto"/>
            <w:sz w:val="22"/>
            <w:szCs w:val="22"/>
            <w:u w:val="none"/>
          </w:rPr>
          <w:t>月</w:t>
        </w:r>
        <w:r>
          <w:rPr>
            <w:rStyle w:val="Hyperlink"/>
            <w:color w:val="auto"/>
            <w:sz w:val="22"/>
            <w:szCs w:val="22"/>
            <w:u w:val="none"/>
          </w:rPr>
          <w:t>5</w:t>
        </w:r>
        <w:r>
          <w:rPr>
            <w:rStyle w:val="Hyperlink"/>
            <w:rFonts w:cs="宋体" w:hint="eastAsia"/>
            <w:color w:val="auto"/>
            <w:sz w:val="22"/>
            <w:szCs w:val="22"/>
            <w:u w:val="none"/>
          </w:rPr>
          <w:t>日计标（</w:t>
        </w:r>
        <w:r>
          <w:rPr>
            <w:rStyle w:val="Hyperlink"/>
            <w:color w:val="auto"/>
            <w:sz w:val="22"/>
            <w:szCs w:val="22"/>
            <w:u w:val="none"/>
          </w:rPr>
          <w:t>85</w:t>
        </w:r>
        <w:r>
          <w:rPr>
            <w:rStyle w:val="Hyperlink"/>
            <w:rFonts w:cs="宋体" w:hint="eastAsia"/>
            <w:color w:val="auto"/>
            <w:sz w:val="22"/>
            <w:szCs w:val="22"/>
            <w:u w:val="none"/>
          </w:rPr>
          <w:t>）</w:t>
        </w:r>
        <w:r>
          <w:rPr>
            <w:rStyle w:val="Hyperlink"/>
            <w:color w:val="auto"/>
            <w:sz w:val="22"/>
            <w:szCs w:val="22"/>
            <w:u w:val="none"/>
          </w:rPr>
          <w:t>352</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_Toc519872327 \h </w:instrText>
        </w:r>
        <w:r w:rsidRPr="004A1DFB">
          <w:rPr>
            <w:sz w:val="22"/>
            <w:szCs w:val="22"/>
          </w:rPr>
        </w:r>
        <w:r>
          <w:rPr>
            <w:sz w:val="22"/>
            <w:szCs w:val="22"/>
          </w:rPr>
          <w:fldChar w:fldCharType="separate"/>
        </w:r>
        <w:r>
          <w:rPr>
            <w:noProof/>
            <w:sz w:val="22"/>
            <w:szCs w:val="22"/>
          </w:rPr>
          <w:t>338</w:t>
        </w:r>
        <w:r>
          <w:rPr>
            <w:sz w:val="22"/>
            <w:szCs w:val="22"/>
          </w:rPr>
          <w:fldChar w:fldCharType="end"/>
        </w:r>
      </w:hyperlink>
    </w:p>
    <w:p w:rsidR="00A32067" w:rsidRDefault="00A32067" w:rsidP="005431C7">
      <w:pPr>
        <w:pStyle w:val="TOC3"/>
        <w:tabs>
          <w:tab w:val="right" w:leader="dot" w:pos="9459"/>
        </w:tabs>
        <w:spacing w:line="360" w:lineRule="auto"/>
        <w:ind w:left="31680"/>
        <w:rPr>
          <w:sz w:val="22"/>
          <w:szCs w:val="22"/>
        </w:rPr>
      </w:pPr>
      <w:r>
        <w:rPr>
          <w:rStyle w:val="Hyperlink"/>
          <w:color w:val="auto"/>
          <w:sz w:val="22"/>
          <w:szCs w:val="22"/>
          <w:u w:val="none"/>
        </w:rPr>
        <w:t>46.</w:t>
      </w:r>
      <w:hyperlink w:anchor="_Toc519872328" w:history="1">
        <w:r>
          <w:rPr>
            <w:rStyle w:val="Hyperlink"/>
            <w:rFonts w:cs="宋体" w:hint="eastAsia"/>
            <w:color w:val="auto"/>
            <w:sz w:val="22"/>
            <w:szCs w:val="22"/>
            <w:u w:val="none"/>
          </w:rPr>
          <w:t>关于印发《河北省建设项目概算编制暂行办法》的通知（冀建监</w:t>
        </w:r>
        <w:r>
          <w:rPr>
            <w:rStyle w:val="Hyperlink"/>
            <w:color w:val="auto"/>
            <w:sz w:val="22"/>
            <w:szCs w:val="22"/>
            <w:u w:val="none"/>
          </w:rPr>
          <w:t>[1997]516</w:t>
        </w:r>
        <w:r>
          <w:rPr>
            <w:rStyle w:val="Hyperlink"/>
            <w:rFonts w:cs="宋体" w:hint="eastAsia"/>
            <w:color w:val="auto"/>
            <w:sz w:val="22"/>
            <w:szCs w:val="22"/>
            <w:u w:val="none"/>
          </w:rPr>
          <w:t>号）</w:t>
        </w:r>
        <w:r>
          <w:rPr>
            <w:sz w:val="22"/>
            <w:szCs w:val="22"/>
          </w:rPr>
          <w:tab/>
        </w:r>
        <w:r>
          <w:rPr>
            <w:sz w:val="22"/>
            <w:szCs w:val="22"/>
          </w:rPr>
          <w:fldChar w:fldCharType="begin"/>
        </w:r>
        <w:r>
          <w:rPr>
            <w:sz w:val="22"/>
            <w:szCs w:val="22"/>
          </w:rPr>
          <w:instrText xml:space="preserve"> PAGEREF _Toc519872328 \h </w:instrText>
        </w:r>
        <w:r w:rsidRPr="004A1DFB">
          <w:rPr>
            <w:sz w:val="22"/>
            <w:szCs w:val="22"/>
          </w:rPr>
        </w:r>
        <w:r>
          <w:rPr>
            <w:sz w:val="22"/>
            <w:szCs w:val="22"/>
          </w:rPr>
          <w:fldChar w:fldCharType="separate"/>
        </w:r>
        <w:r>
          <w:rPr>
            <w:noProof/>
            <w:sz w:val="22"/>
            <w:szCs w:val="22"/>
          </w:rPr>
          <w:t>350</w:t>
        </w:r>
        <w:r>
          <w:rPr>
            <w:sz w:val="22"/>
            <w:szCs w:val="22"/>
          </w:rPr>
          <w:fldChar w:fldCharType="end"/>
        </w:r>
      </w:hyperlink>
    </w:p>
    <w:p w:rsidR="00A32067" w:rsidRDefault="00A32067">
      <w:pPr>
        <w:spacing w:line="360" w:lineRule="auto"/>
        <w:rPr>
          <w:sz w:val="22"/>
          <w:szCs w:val="22"/>
        </w:rPr>
      </w:pPr>
      <w:r>
        <w:rPr>
          <w:sz w:val="22"/>
          <w:szCs w:val="22"/>
        </w:rPr>
        <w:fldChar w:fldCharType="end"/>
      </w:r>
    </w:p>
    <w:p w:rsidR="00A32067" w:rsidRDefault="00A32067">
      <w:pPr>
        <w:widowControl/>
        <w:jc w:val="center"/>
        <w:outlineLvl w:val="0"/>
        <w:rPr>
          <w:b/>
          <w:bCs/>
          <w:color w:val="000000"/>
          <w:sz w:val="36"/>
          <w:szCs w:val="36"/>
        </w:rPr>
        <w:sectPr w:rsidR="00A32067">
          <w:headerReference w:type="even" r:id="rId17"/>
          <w:headerReference w:type="default" r:id="rId18"/>
          <w:footerReference w:type="even" r:id="rId19"/>
          <w:footerReference w:type="default" r:id="rId20"/>
          <w:pgSz w:w="11907" w:h="16840"/>
          <w:pgMar w:top="1134" w:right="1077" w:bottom="1134" w:left="1077" w:header="794" w:footer="567" w:gutter="284"/>
          <w:pgNumType w:start="1"/>
          <w:cols w:space="720"/>
          <w:titlePg/>
          <w:docGrid w:linePitch="312"/>
        </w:sectPr>
      </w:pPr>
    </w:p>
    <w:p w:rsidR="00A32067" w:rsidRDefault="00A32067">
      <w:pPr>
        <w:widowControl/>
        <w:jc w:val="center"/>
        <w:outlineLvl w:val="0"/>
        <w:rPr>
          <w:b/>
          <w:bCs/>
          <w:color w:val="000000"/>
          <w:sz w:val="36"/>
          <w:szCs w:val="36"/>
        </w:rPr>
      </w:pPr>
      <w:bookmarkStart w:id="0" w:name="_Toc519872243"/>
    </w:p>
    <w:p w:rsidR="00A32067" w:rsidRDefault="00A32067">
      <w:pPr>
        <w:widowControl/>
        <w:jc w:val="center"/>
        <w:outlineLvl w:val="0"/>
        <w:rPr>
          <w:b/>
          <w:bCs/>
          <w:color w:val="000000"/>
          <w:sz w:val="36"/>
          <w:szCs w:val="36"/>
        </w:rPr>
      </w:pPr>
      <w:r>
        <w:rPr>
          <w:rFonts w:cs="宋体" w:hint="eastAsia"/>
          <w:b/>
          <w:bCs/>
          <w:color w:val="000000"/>
          <w:sz w:val="36"/>
          <w:szCs w:val="36"/>
        </w:rPr>
        <w:t>说明</w:t>
      </w:r>
      <w:bookmarkEnd w:id="0"/>
    </w:p>
    <w:p w:rsidR="00A32067" w:rsidRDefault="00A32067">
      <w:pPr>
        <w:widowControl/>
        <w:jc w:val="center"/>
        <w:rPr>
          <w:b/>
          <w:bCs/>
          <w:color w:val="000000"/>
          <w:sz w:val="36"/>
          <w:szCs w:val="36"/>
        </w:rPr>
      </w:pPr>
    </w:p>
    <w:p w:rsidR="00A32067" w:rsidRDefault="00A32067" w:rsidP="005431C7">
      <w:pPr>
        <w:spacing w:line="360" w:lineRule="auto"/>
        <w:ind w:firstLineChars="200" w:firstLine="31680"/>
        <w:jc w:val="left"/>
        <w:rPr>
          <w:color w:val="000000"/>
          <w:sz w:val="22"/>
          <w:szCs w:val="22"/>
        </w:rPr>
      </w:pPr>
      <w:r>
        <w:rPr>
          <w:rFonts w:cs="宋体" w:hint="eastAsia"/>
          <w:color w:val="000000"/>
          <w:sz w:val="22"/>
          <w:szCs w:val="22"/>
        </w:rPr>
        <w:t>一、河北省建设项目概算其它费用定额（以下简称本定额）是依据国家、本省及有关主管部门发布的条例、办法、规定等文件编制的，部分费用为调查测算而来。</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二、本定额仅作为本省范围内一般工业与民用建筑项目编制设计总概算或单项工程综合概算的依据。一般工业与民用建筑项目包括：我省建设行政主管部门审批开工建设的建设项目，和专业工程建设项目中的通用单项工程项目。本定额不作为实际收缴费用的依据。执行中某项费用被取消或在本项目中不发生的不应计列。</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本定额中涉及的国家和我省有关建设项目收费文件，均有明确的适用范围，定额没有针对国家部门对专业工程确定的专项收费文件进行收集整理，专业工程编制工程项目其他费时，按照国家相关部门的有关规定计算。本定额颁发后政府及相关部门</w:t>
      </w:r>
      <w:r>
        <w:rPr>
          <w:rFonts w:cs="宋体" w:hint="eastAsia"/>
          <w:sz w:val="22"/>
          <w:szCs w:val="22"/>
        </w:rPr>
        <w:t>新出台的收费文件按新文件规定计列。</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三、工程建设其它费用，系指建设项目从筹建到竣工验收交付使用全过程建设需要所支付的，并列入建设项目总概算或单项工程综合概算的，除建筑安装工程费用、设备购置费、预备费、建设期利息和流动资金以外的费用。</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工程建设其它费用主要包括：</w:t>
      </w:r>
    </w:p>
    <w:p w:rsidR="00A32067" w:rsidRDefault="00A32067" w:rsidP="005431C7">
      <w:pPr>
        <w:pStyle w:val="ListParagraph"/>
        <w:spacing w:line="360" w:lineRule="auto"/>
        <w:ind w:leftChars="271" w:left="31680" w:firstLineChars="50" w:firstLine="31680"/>
        <w:rPr>
          <w:sz w:val="22"/>
          <w:szCs w:val="22"/>
        </w:rPr>
      </w:pPr>
      <w:r>
        <w:rPr>
          <w:sz w:val="22"/>
          <w:szCs w:val="22"/>
        </w:rPr>
        <w:t>1.</w:t>
      </w:r>
      <w:r>
        <w:rPr>
          <w:rFonts w:cs="宋体" w:hint="eastAsia"/>
          <w:sz w:val="22"/>
          <w:szCs w:val="22"/>
        </w:rPr>
        <w:t>与土地使用权取得有关的费用</w:t>
      </w:r>
    </w:p>
    <w:p w:rsidR="00A32067" w:rsidRDefault="00A32067" w:rsidP="005431C7">
      <w:pPr>
        <w:spacing w:line="360" w:lineRule="auto"/>
        <w:ind w:firstLineChars="350" w:firstLine="31680"/>
        <w:rPr>
          <w:sz w:val="22"/>
          <w:szCs w:val="22"/>
        </w:rPr>
      </w:pPr>
      <w:r>
        <w:rPr>
          <w:rFonts w:cs="宋体" w:hint="eastAsia"/>
          <w:sz w:val="22"/>
          <w:szCs w:val="22"/>
        </w:rPr>
        <w:t>建设用地费</w:t>
      </w:r>
    </w:p>
    <w:p w:rsidR="00A32067" w:rsidRDefault="00A32067">
      <w:pPr>
        <w:spacing w:line="360" w:lineRule="auto"/>
        <w:rPr>
          <w:sz w:val="22"/>
          <w:szCs w:val="22"/>
        </w:rPr>
      </w:pPr>
      <w:r>
        <w:rPr>
          <w:sz w:val="22"/>
          <w:szCs w:val="22"/>
        </w:rPr>
        <w:t xml:space="preserve">  2.</w:t>
      </w:r>
      <w:r>
        <w:rPr>
          <w:rFonts w:cs="宋体" w:hint="eastAsia"/>
          <w:sz w:val="22"/>
          <w:szCs w:val="22"/>
        </w:rPr>
        <w:t>与整个工程项目建设有关的费用</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项目建设管理费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建设项目场地准备及建设单位临时设施费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建设项目前期工作咨询费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环境影响评价费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劳动安全卫生评价费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勘察设计费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施工图纸审查费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研究试验费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工程造价咨询费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招标代理费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工程建设监理费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特殊设备安全监督检验费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城市基础设施配套费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防空地下室易地建设费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工程保险费</w:t>
      </w:r>
    </w:p>
    <w:p w:rsidR="00A32067" w:rsidRDefault="00A32067">
      <w:pPr>
        <w:pStyle w:val="ListParagraph"/>
        <w:spacing w:line="360" w:lineRule="auto"/>
        <w:ind w:left="780" w:firstLineChars="0" w:firstLine="0"/>
        <w:rPr>
          <w:color w:val="000000"/>
          <w:kern w:val="0"/>
          <w:sz w:val="22"/>
          <w:szCs w:val="22"/>
        </w:rPr>
      </w:pP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专利及专有技术使用费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引进技术和引进设备其他费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项目竣工财务决算编制费</w:t>
      </w:r>
    </w:p>
    <w:p w:rsidR="00A32067" w:rsidRDefault="00A32067">
      <w:pPr>
        <w:pStyle w:val="ListParagraph"/>
        <w:spacing w:line="360" w:lineRule="auto"/>
        <w:ind w:left="780" w:firstLineChars="0" w:firstLine="0"/>
        <w:rPr>
          <w:sz w:val="22"/>
          <w:szCs w:val="22"/>
        </w:rPr>
      </w:pPr>
      <w:r>
        <w:rPr>
          <w:rFonts w:cs="宋体" w:hint="eastAsia"/>
          <w:color w:val="000000"/>
          <w:kern w:val="0"/>
          <w:sz w:val="22"/>
          <w:szCs w:val="22"/>
        </w:rPr>
        <w:t>与项目相关的其他费用</w:t>
      </w:r>
    </w:p>
    <w:p w:rsidR="00A32067" w:rsidRDefault="00A32067" w:rsidP="005431C7">
      <w:pPr>
        <w:spacing w:line="360" w:lineRule="auto"/>
        <w:ind w:firstLineChars="350" w:firstLine="31680"/>
        <w:rPr>
          <w:sz w:val="22"/>
          <w:szCs w:val="22"/>
        </w:rPr>
      </w:pPr>
      <w:r>
        <w:rPr>
          <w:sz w:val="22"/>
          <w:szCs w:val="22"/>
        </w:rPr>
        <w:t>3.</w:t>
      </w:r>
      <w:r>
        <w:rPr>
          <w:rFonts w:cs="宋体" w:hint="eastAsia"/>
          <w:sz w:val="22"/>
          <w:szCs w:val="22"/>
        </w:rPr>
        <w:t>经营有关的费用</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生产准备费</w:t>
      </w:r>
    </w:p>
    <w:p w:rsidR="00A32067" w:rsidRDefault="00A32067">
      <w:pPr>
        <w:pStyle w:val="ListParagraph"/>
        <w:spacing w:line="360" w:lineRule="auto"/>
        <w:ind w:left="780" w:firstLineChars="0" w:firstLine="0"/>
        <w:rPr>
          <w:color w:val="000000"/>
          <w:kern w:val="0"/>
          <w:sz w:val="22"/>
          <w:szCs w:val="22"/>
        </w:rPr>
      </w:pPr>
      <w:r>
        <w:rPr>
          <w:rFonts w:cs="宋体" w:hint="eastAsia"/>
          <w:color w:val="000000"/>
          <w:kern w:val="0"/>
          <w:sz w:val="22"/>
          <w:szCs w:val="22"/>
        </w:rPr>
        <w:t>联合试运转费</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四、本定额附录三中所列</w:t>
      </w:r>
      <w:r>
        <w:rPr>
          <w:color w:val="000000"/>
          <w:sz w:val="22"/>
          <w:szCs w:val="22"/>
        </w:rPr>
        <w:t>“</w:t>
      </w:r>
      <w:r>
        <w:rPr>
          <w:rFonts w:cs="宋体" w:hint="eastAsia"/>
          <w:color w:val="000000"/>
          <w:sz w:val="22"/>
          <w:szCs w:val="22"/>
        </w:rPr>
        <w:t>相关法律、法规、政策文件</w:t>
      </w:r>
      <w:r>
        <w:rPr>
          <w:color w:val="000000"/>
          <w:sz w:val="22"/>
          <w:szCs w:val="22"/>
        </w:rPr>
        <w:t>”</w:t>
      </w:r>
      <w:r>
        <w:rPr>
          <w:rFonts w:cs="宋体" w:hint="eastAsia"/>
          <w:color w:val="000000"/>
          <w:sz w:val="22"/>
          <w:szCs w:val="22"/>
        </w:rPr>
        <w:t>系建设工程各项费用规定的原文，供使用时查阅；文件与有关部门发布新规定不一致时，应按新规定执行。附录三中的所有文件均由原发文单位解释，未注明依据文件的由省工程建设造价管理总站解释。</w:t>
      </w:r>
    </w:p>
    <w:p w:rsidR="00A32067" w:rsidRDefault="00A32067" w:rsidP="005431C7">
      <w:pPr>
        <w:spacing w:line="360" w:lineRule="auto"/>
        <w:ind w:firstLineChars="200" w:firstLine="31680"/>
        <w:rPr>
          <w:sz w:val="22"/>
          <w:szCs w:val="22"/>
        </w:rPr>
      </w:pPr>
      <w:r>
        <w:rPr>
          <w:rFonts w:cs="宋体" w:hint="eastAsia"/>
          <w:sz w:val="22"/>
          <w:szCs w:val="22"/>
        </w:rPr>
        <w:t>五、为方便使用，本定额附录了</w:t>
      </w:r>
      <w:r>
        <w:rPr>
          <w:sz w:val="22"/>
          <w:szCs w:val="22"/>
        </w:rPr>
        <w:t>“</w:t>
      </w:r>
      <w:r>
        <w:rPr>
          <w:rFonts w:cs="宋体" w:hint="eastAsia"/>
          <w:sz w:val="22"/>
          <w:szCs w:val="22"/>
        </w:rPr>
        <w:t>预备费、建设期利息及流动资金的内容及计算方法</w:t>
      </w:r>
      <w:r>
        <w:rPr>
          <w:sz w:val="22"/>
          <w:szCs w:val="22"/>
        </w:rPr>
        <w:t>”</w:t>
      </w:r>
      <w:r>
        <w:rPr>
          <w:rFonts w:cs="宋体" w:hint="eastAsia"/>
          <w:sz w:val="22"/>
          <w:szCs w:val="22"/>
        </w:rPr>
        <w:t>及</w:t>
      </w:r>
      <w:r>
        <w:rPr>
          <w:sz w:val="22"/>
          <w:szCs w:val="22"/>
        </w:rPr>
        <w:t>“</w:t>
      </w:r>
      <w:r>
        <w:rPr>
          <w:rFonts w:cs="宋体" w:hint="eastAsia"/>
          <w:sz w:val="22"/>
          <w:szCs w:val="22"/>
        </w:rPr>
        <w:t>建设项目概算费用构成表</w:t>
      </w:r>
      <w:r>
        <w:rPr>
          <w:sz w:val="22"/>
          <w:szCs w:val="22"/>
        </w:rPr>
        <w:t>”</w:t>
      </w:r>
      <w:r>
        <w:rPr>
          <w:rFonts w:cs="宋体" w:hint="eastAsia"/>
          <w:sz w:val="22"/>
          <w:szCs w:val="22"/>
        </w:rPr>
        <w:t>。</w:t>
      </w:r>
    </w:p>
    <w:p w:rsidR="00A32067" w:rsidRDefault="00A32067" w:rsidP="005431C7">
      <w:pPr>
        <w:spacing w:line="360" w:lineRule="auto"/>
        <w:ind w:firstLineChars="200" w:firstLine="31680"/>
        <w:rPr>
          <w:sz w:val="22"/>
          <w:szCs w:val="22"/>
        </w:rPr>
      </w:pPr>
    </w:p>
    <w:p w:rsidR="00A32067" w:rsidRDefault="00A32067" w:rsidP="0002085C">
      <w:pPr>
        <w:widowControl/>
        <w:shd w:val="clear" w:color="auto" w:fill="FFFFFF"/>
        <w:spacing w:beforeLines="50" w:afterLines="50" w:line="360" w:lineRule="auto"/>
        <w:jc w:val="center"/>
        <w:rPr>
          <w:sz w:val="22"/>
          <w:szCs w:val="22"/>
        </w:rPr>
      </w:pPr>
    </w:p>
    <w:p w:rsidR="00A32067" w:rsidRDefault="00A32067">
      <w:pPr>
        <w:widowControl/>
        <w:jc w:val="left"/>
        <w:rPr>
          <w:sz w:val="22"/>
          <w:szCs w:val="22"/>
        </w:rPr>
        <w:sectPr w:rsidR="00A32067">
          <w:headerReference w:type="even" r:id="rId21"/>
          <w:headerReference w:type="default" r:id="rId22"/>
          <w:footerReference w:type="even" r:id="rId23"/>
          <w:footerReference w:type="default" r:id="rId24"/>
          <w:pgSz w:w="11907" w:h="16840"/>
          <w:pgMar w:top="1134" w:right="1077" w:bottom="1134" w:left="1077" w:header="794" w:footer="567" w:gutter="284"/>
          <w:pgNumType w:start="1"/>
          <w:cols w:space="720"/>
          <w:docGrid w:linePitch="312"/>
        </w:sectPr>
      </w:pPr>
    </w:p>
    <w:p w:rsidR="00A32067" w:rsidRDefault="00A32067">
      <w:pPr>
        <w:pStyle w:val="ListParagraph"/>
        <w:widowControl/>
        <w:ind w:firstLineChars="0" w:firstLine="0"/>
        <w:jc w:val="center"/>
        <w:outlineLvl w:val="0"/>
        <w:rPr>
          <w:b/>
          <w:bCs/>
          <w:sz w:val="36"/>
          <w:szCs w:val="36"/>
        </w:rPr>
      </w:pPr>
      <w:bookmarkStart w:id="1" w:name="_Toc519872244"/>
      <w:r>
        <w:rPr>
          <w:rFonts w:cs="宋体" w:hint="eastAsia"/>
          <w:b/>
          <w:bCs/>
          <w:sz w:val="36"/>
          <w:szCs w:val="36"/>
        </w:rPr>
        <w:t>第一部分</w:t>
      </w:r>
      <w:r>
        <w:rPr>
          <w:b/>
          <w:bCs/>
          <w:sz w:val="36"/>
          <w:szCs w:val="36"/>
        </w:rPr>
        <w:t xml:space="preserve">   </w:t>
      </w:r>
      <w:r>
        <w:rPr>
          <w:rFonts w:cs="宋体" w:hint="eastAsia"/>
          <w:b/>
          <w:bCs/>
          <w:sz w:val="36"/>
          <w:szCs w:val="36"/>
        </w:rPr>
        <w:t>工程建设其他费用</w:t>
      </w:r>
    </w:p>
    <w:p w:rsidR="00A32067" w:rsidRDefault="00A32067">
      <w:pPr>
        <w:pStyle w:val="ListParagraph"/>
        <w:widowControl/>
        <w:ind w:firstLineChars="0" w:firstLine="0"/>
        <w:jc w:val="center"/>
        <w:outlineLvl w:val="0"/>
        <w:rPr>
          <w:b/>
          <w:bCs/>
          <w:sz w:val="36"/>
          <w:szCs w:val="36"/>
        </w:rPr>
      </w:pPr>
      <w:r>
        <w:rPr>
          <w:b/>
          <w:bCs/>
          <w:sz w:val="36"/>
          <w:szCs w:val="36"/>
        </w:rPr>
        <w:br/>
      </w:r>
      <w:r>
        <w:rPr>
          <w:rFonts w:cs="宋体" w:hint="eastAsia"/>
          <w:b/>
          <w:bCs/>
          <w:sz w:val="36"/>
          <w:szCs w:val="36"/>
        </w:rPr>
        <w:t>河北省建设项目概算其它费用的内容、标准及计算依据和方法</w:t>
      </w:r>
      <w:bookmarkEnd w:id="1"/>
    </w:p>
    <w:tbl>
      <w:tblPr>
        <w:tblpPr w:leftFromText="180" w:rightFromText="180" w:vertAnchor="page" w:horzAnchor="margin" w:tblpY="2986"/>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110"/>
        <w:gridCol w:w="5670"/>
        <w:gridCol w:w="1843"/>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11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5670"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1843"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428"/>
        </w:trPr>
        <w:tc>
          <w:tcPr>
            <w:tcW w:w="14788" w:type="dxa"/>
            <w:gridSpan w:val="6"/>
          </w:tcPr>
          <w:p w:rsidR="00A32067" w:rsidRPr="0002085C" w:rsidRDefault="00A32067" w:rsidP="0002085C">
            <w:pPr>
              <w:pStyle w:val="Heading2"/>
              <w:spacing w:before="120" w:after="0" w:line="240" w:lineRule="auto"/>
              <w:rPr>
                <w:rFonts w:ascii="Times New Roman" w:hAnsi="Times New Roman" w:cs="Times New Roman"/>
                <w:sz w:val="24"/>
                <w:szCs w:val="24"/>
              </w:rPr>
            </w:pPr>
            <w:bookmarkStart w:id="2" w:name="_Toc519872245"/>
            <w:r w:rsidRPr="0002085C">
              <w:rPr>
                <w:rFonts w:ascii="Times New Roman" w:hAnsi="Times New Roman" w:cs="宋体" w:hint="eastAsia"/>
                <w:sz w:val="24"/>
                <w:szCs w:val="24"/>
              </w:rPr>
              <w:t>一、与土地使用权取得有关的费用</w:t>
            </w:r>
            <w:bookmarkEnd w:id="2"/>
            <w:r w:rsidRPr="0002085C">
              <w:rPr>
                <w:rFonts w:ascii="Times New Roman" w:hAnsi="Times New Roman" w:cs="Times New Roman"/>
                <w:sz w:val="24"/>
                <w:szCs w:val="24"/>
              </w:rPr>
              <w:t>—</w:t>
            </w:r>
            <w:r w:rsidRPr="0002085C">
              <w:rPr>
                <w:rFonts w:ascii="Times New Roman" w:hAnsi="Times New Roman" w:cs="宋体" w:hint="eastAsia"/>
                <w:sz w:val="24"/>
                <w:szCs w:val="24"/>
              </w:rPr>
              <w:t>建设用地费</w:t>
            </w:r>
          </w:p>
        </w:tc>
      </w:tr>
      <w:tr w:rsidR="00A32067">
        <w:trPr>
          <w:trHeight w:val="3383"/>
        </w:trPr>
        <w:tc>
          <w:tcPr>
            <w:tcW w:w="675" w:type="dxa"/>
            <w:vAlign w:val="center"/>
          </w:tcPr>
          <w:p w:rsidR="00A32067" w:rsidRPr="0002085C" w:rsidRDefault="00A32067" w:rsidP="0002085C">
            <w:pPr>
              <w:widowControl/>
              <w:jc w:val="center"/>
              <w:rPr>
                <w:b/>
                <w:bCs/>
              </w:rPr>
            </w:pPr>
            <w:r w:rsidRPr="0002085C">
              <w:rPr>
                <w:b/>
                <w:bCs/>
              </w:rPr>
              <w:t>1</w:t>
            </w:r>
          </w:p>
        </w:tc>
        <w:tc>
          <w:tcPr>
            <w:tcW w:w="1560" w:type="dxa"/>
            <w:vAlign w:val="center"/>
          </w:tcPr>
          <w:p w:rsidR="00A32067" w:rsidRPr="0002085C" w:rsidRDefault="00A32067" w:rsidP="0002085C">
            <w:pPr>
              <w:jc w:val="center"/>
            </w:pPr>
            <w:r w:rsidRPr="0002085C">
              <w:rPr>
                <w:rFonts w:cs="宋体" w:hint="eastAsia"/>
              </w:rPr>
              <w:t>土地征用及迁移补偿费</w:t>
            </w:r>
          </w:p>
        </w:tc>
        <w:tc>
          <w:tcPr>
            <w:tcW w:w="4110" w:type="dxa"/>
            <w:vAlign w:val="center"/>
          </w:tcPr>
          <w:p w:rsidR="00A32067" w:rsidRPr="0002085C" w:rsidRDefault="00A32067" w:rsidP="0002085C">
            <w:pPr>
              <w:widowControl/>
              <w:jc w:val="left"/>
              <w:rPr>
                <w:b/>
                <w:bCs/>
              </w:rPr>
            </w:pPr>
            <w:r w:rsidRPr="0002085C">
              <w:rPr>
                <w:rFonts w:cs="宋体" w:hint="eastAsia"/>
              </w:rPr>
              <w:t>指建设项目通过划拨方式取得无限期的土地使用权，依据《中华人民共和国土地管理法》等规定所支付的费用，包括（</w:t>
            </w:r>
            <w:r w:rsidRPr="0002085C">
              <w:t>1</w:t>
            </w:r>
            <w:r w:rsidRPr="0002085C">
              <w:rPr>
                <w:rFonts w:cs="宋体" w:hint="eastAsia"/>
              </w:rPr>
              <w:t>）土地补偿费（</w:t>
            </w:r>
            <w:r w:rsidRPr="0002085C">
              <w:t>2</w:t>
            </w:r>
            <w:r w:rsidRPr="0002085C">
              <w:rPr>
                <w:rFonts w:cs="宋体" w:hint="eastAsia"/>
              </w:rPr>
              <w:t>）安置补助费（</w:t>
            </w:r>
            <w:r w:rsidRPr="0002085C">
              <w:t>3</w:t>
            </w:r>
            <w:r w:rsidRPr="0002085C">
              <w:rPr>
                <w:rFonts w:cs="宋体" w:hint="eastAsia"/>
              </w:rPr>
              <w:t>）青苗补偿费及地上附着物（</w:t>
            </w:r>
            <w:r w:rsidRPr="0002085C">
              <w:t>4</w:t>
            </w:r>
            <w:r w:rsidRPr="0002085C">
              <w:rPr>
                <w:rFonts w:cs="宋体" w:hint="eastAsia"/>
              </w:rPr>
              <w:t>）耕地开垦费</w:t>
            </w:r>
          </w:p>
        </w:tc>
        <w:tc>
          <w:tcPr>
            <w:tcW w:w="5670" w:type="dxa"/>
          </w:tcPr>
          <w:p w:rsidR="00A32067" w:rsidRPr="0002085C" w:rsidRDefault="00A32067" w:rsidP="0002085C">
            <w:pPr>
              <w:widowControl/>
              <w:jc w:val="left"/>
              <w:rPr>
                <w:sz w:val="19"/>
                <w:szCs w:val="19"/>
              </w:rPr>
            </w:pPr>
            <w:r w:rsidRPr="0002085C">
              <w:rPr>
                <w:rFonts w:cs="宋体" w:hint="eastAsia"/>
                <w:sz w:val="19"/>
                <w:szCs w:val="19"/>
              </w:rPr>
              <w:t>（</w:t>
            </w:r>
            <w:r w:rsidRPr="0002085C">
              <w:rPr>
                <w:sz w:val="19"/>
                <w:szCs w:val="19"/>
              </w:rPr>
              <w:t>1</w:t>
            </w:r>
            <w:r w:rsidRPr="0002085C">
              <w:rPr>
                <w:rFonts w:cs="宋体" w:hint="eastAsia"/>
                <w:sz w:val="19"/>
                <w:szCs w:val="19"/>
              </w:rPr>
              <w:t>）征收耕地的土地补偿费，为该耕地被征收前三年平均年产值的六倍至十倍。征收耕地以外的其他农用地和建设用地的土地补偿费，为该土地所在乡（镇）耕地前三年平均年产值的五倍至八倍。征收未利用地的土地补偿费，为该土地所在乡（镇）耕地前三年平均年产值的三倍至五倍。（</w:t>
            </w:r>
            <w:r w:rsidRPr="0002085C">
              <w:rPr>
                <w:sz w:val="19"/>
                <w:szCs w:val="19"/>
              </w:rPr>
              <w:t>2</w:t>
            </w:r>
            <w:r w:rsidRPr="0002085C">
              <w:rPr>
                <w:rFonts w:cs="宋体" w:hint="eastAsia"/>
                <w:sz w:val="19"/>
                <w:szCs w:val="19"/>
              </w:rPr>
              <w:t>）征收耕地的安置补助费，为该耕地被征收前三年平均年产值的四倍至六倍。征收耕地以外的其他农用地和建设用地的安置补助费，为该土地所在乡（镇）耕地前三年平均年产值的四倍至六倍。征收未利用地的，不支付安置补助费。（</w:t>
            </w:r>
            <w:r w:rsidRPr="0002085C">
              <w:rPr>
                <w:sz w:val="19"/>
                <w:szCs w:val="19"/>
              </w:rPr>
              <w:t>3</w:t>
            </w:r>
            <w:r w:rsidRPr="0002085C">
              <w:rPr>
                <w:rFonts w:cs="宋体" w:hint="eastAsia"/>
                <w:sz w:val="19"/>
                <w:szCs w:val="19"/>
              </w:rPr>
              <w:t>）征收土地的青苗补偿费按当季作物的产值计算。地上附着物补偿费标准由设区的市人民政府制定，报省人民政府批准后执行。（</w:t>
            </w:r>
            <w:r w:rsidRPr="0002085C">
              <w:rPr>
                <w:sz w:val="19"/>
                <w:szCs w:val="19"/>
              </w:rPr>
              <w:t>4</w:t>
            </w:r>
            <w:r w:rsidRPr="0002085C">
              <w:rPr>
                <w:rFonts w:cs="宋体" w:hint="eastAsia"/>
                <w:sz w:val="19"/>
                <w:szCs w:val="19"/>
              </w:rPr>
              <w:t>）非农业建设占用耕地，没有条件开垦或者开垦的耕地最终验收不合格的，占用耕地的单位应当按照省人民政府规定的标准，向县（市）以上土地行政主管部门缴纳耕地开垦费</w:t>
            </w:r>
          </w:p>
        </w:tc>
        <w:tc>
          <w:tcPr>
            <w:tcW w:w="1843" w:type="dxa"/>
            <w:vAlign w:val="center"/>
          </w:tcPr>
          <w:p w:rsidR="00A32067" w:rsidRPr="0002085C" w:rsidRDefault="00A32067" w:rsidP="0002085C">
            <w:pPr>
              <w:widowControl/>
              <w:jc w:val="left"/>
              <w:rPr>
                <w:b/>
                <w:bCs/>
              </w:rPr>
            </w:pPr>
            <w:r w:rsidRPr="0002085C">
              <w:rPr>
                <w:rFonts w:cs="宋体" w:hint="eastAsia"/>
              </w:rPr>
              <w:t>河北省土地管理条例；《河北省人民政府关于实行征地区片价的通知》冀政【</w:t>
            </w:r>
            <w:r w:rsidRPr="0002085C">
              <w:t>2008</w:t>
            </w:r>
            <w:r w:rsidRPr="0002085C">
              <w:rPr>
                <w:rFonts w:cs="宋体" w:hint="eastAsia"/>
              </w:rPr>
              <w:t>】</w:t>
            </w:r>
            <w:r w:rsidRPr="0002085C">
              <w:t>132</w:t>
            </w:r>
            <w:r w:rsidRPr="0002085C">
              <w:rPr>
                <w:rFonts w:cs="宋体" w:hint="eastAsia"/>
              </w:rPr>
              <w:t>号文、冀政【</w:t>
            </w:r>
            <w:r w:rsidRPr="0002085C">
              <w:t>2011</w:t>
            </w:r>
            <w:r w:rsidRPr="0002085C">
              <w:rPr>
                <w:rFonts w:cs="宋体" w:hint="eastAsia"/>
              </w:rPr>
              <w:t>】</w:t>
            </w:r>
            <w:r w:rsidRPr="0002085C">
              <w:t>141</w:t>
            </w:r>
            <w:r w:rsidRPr="0002085C">
              <w:rPr>
                <w:rFonts w:cs="宋体" w:hint="eastAsia"/>
              </w:rPr>
              <w:t>号文、冀政发【</w:t>
            </w:r>
            <w:r w:rsidRPr="0002085C">
              <w:t>2015</w:t>
            </w:r>
            <w:r w:rsidRPr="0002085C">
              <w:rPr>
                <w:rFonts w:cs="宋体" w:hint="eastAsia"/>
              </w:rPr>
              <w:t>】</w:t>
            </w:r>
            <w:r w:rsidRPr="0002085C">
              <w:t>28</w:t>
            </w:r>
            <w:r w:rsidRPr="0002085C">
              <w:rPr>
                <w:rFonts w:cs="宋体" w:hint="eastAsia"/>
              </w:rPr>
              <w:t>号文</w:t>
            </w:r>
          </w:p>
        </w:tc>
        <w:tc>
          <w:tcPr>
            <w:tcW w:w="930" w:type="dxa"/>
          </w:tcPr>
          <w:p w:rsidR="00A32067" w:rsidRPr="0002085C" w:rsidRDefault="00A32067" w:rsidP="0002085C">
            <w:pPr>
              <w:widowControl/>
              <w:jc w:val="center"/>
              <w:rPr>
                <w:b/>
                <w:bCs/>
                <w:sz w:val="36"/>
                <w:szCs w:val="36"/>
              </w:rPr>
            </w:pPr>
          </w:p>
        </w:tc>
      </w:tr>
      <w:tr w:rsidR="00A32067">
        <w:trPr>
          <w:trHeight w:val="3530"/>
        </w:trPr>
        <w:tc>
          <w:tcPr>
            <w:tcW w:w="675" w:type="dxa"/>
            <w:vAlign w:val="center"/>
          </w:tcPr>
          <w:p w:rsidR="00A32067" w:rsidRPr="0002085C" w:rsidRDefault="00A32067" w:rsidP="0002085C">
            <w:pPr>
              <w:widowControl/>
              <w:jc w:val="center"/>
            </w:pPr>
            <w:r w:rsidRPr="0002085C">
              <w:t>2</w:t>
            </w:r>
          </w:p>
        </w:tc>
        <w:tc>
          <w:tcPr>
            <w:tcW w:w="1560" w:type="dxa"/>
            <w:vAlign w:val="center"/>
          </w:tcPr>
          <w:p w:rsidR="00A32067" w:rsidRPr="0002085C" w:rsidRDefault="00A32067" w:rsidP="0002085C">
            <w:pPr>
              <w:jc w:val="center"/>
            </w:pPr>
            <w:r w:rsidRPr="0002085C">
              <w:rPr>
                <w:rFonts w:cs="宋体" w:hint="eastAsia"/>
              </w:rPr>
              <w:t>土地使用权出让金</w:t>
            </w:r>
          </w:p>
        </w:tc>
        <w:tc>
          <w:tcPr>
            <w:tcW w:w="4110" w:type="dxa"/>
            <w:vAlign w:val="center"/>
          </w:tcPr>
          <w:p w:rsidR="00A32067" w:rsidRPr="0002085C" w:rsidRDefault="00A32067" w:rsidP="0002085C">
            <w:pPr>
              <w:widowControl/>
              <w:jc w:val="left"/>
            </w:pPr>
            <w:r w:rsidRPr="0002085C">
              <w:rPr>
                <w:rFonts w:cs="宋体" w:hint="eastAsia"/>
              </w:rPr>
              <w:t>指设区的市、县人民政府以土地所有者的身份将国家所有的土地的使用权以指定的地块、用途、使用年限和其他条件，提供给土地使用权受让人依法开发经营使用，并由受让人向国家支付土地使用权出让金的行为。建设项目用地以出让方式取得土地使用权的，应当按照出让合同的约定，支付土地使用权出让金。</w:t>
            </w:r>
          </w:p>
          <w:p w:rsidR="00A32067" w:rsidRPr="0002085C" w:rsidRDefault="00A32067" w:rsidP="0002085C">
            <w:pPr>
              <w:widowControl/>
              <w:jc w:val="left"/>
              <w:rPr>
                <w:sz w:val="20"/>
                <w:szCs w:val="20"/>
              </w:rPr>
            </w:pPr>
            <w:r w:rsidRPr="0002085C">
              <w:rPr>
                <w:rFonts w:cs="宋体" w:hint="eastAsia"/>
              </w:rPr>
              <w:t>土地使用权转让是指以出让方式取得土地使用权后，受让人将土地使用权再转移的行为，包括出售、赠与和交换。土地使用权转让时，该地块发生土地增值的，转让人应当依法缴纳土地增值税</w:t>
            </w:r>
          </w:p>
        </w:tc>
        <w:tc>
          <w:tcPr>
            <w:tcW w:w="5670" w:type="dxa"/>
            <w:vAlign w:val="center"/>
          </w:tcPr>
          <w:p w:rsidR="00A32067" w:rsidRPr="0002085C" w:rsidRDefault="00A32067" w:rsidP="0002085C">
            <w:pPr>
              <w:widowControl/>
              <w:jc w:val="left"/>
              <w:rPr>
                <w:sz w:val="18"/>
                <w:szCs w:val="18"/>
              </w:rPr>
            </w:pPr>
            <w:r w:rsidRPr="0002085C">
              <w:rPr>
                <w:rFonts w:cs="宋体" w:hint="eastAsia"/>
              </w:rPr>
              <w:t>土地使用权出让金包括受让人支付的征地和拆迁补偿费用、土地前期开发费用和土地出让收益等。以招、拍、挂等公开方式取得土地的，按照实际成交金额计算土地出让金。以协议方式取得的，属于政府储备用地的按照基准价确定（但是不得低于实际土地取得与开发成本及土地纯收益之和）；属于用地单位自行征地拆迁的，按照土地纯收益计算</w:t>
            </w:r>
          </w:p>
        </w:tc>
        <w:tc>
          <w:tcPr>
            <w:tcW w:w="1843" w:type="dxa"/>
          </w:tcPr>
          <w:p w:rsidR="00A32067" w:rsidRPr="0002085C" w:rsidRDefault="00A32067" w:rsidP="0002085C">
            <w:pPr>
              <w:widowControl/>
              <w:jc w:val="center"/>
              <w:rPr>
                <w:sz w:val="18"/>
                <w:szCs w:val="18"/>
              </w:rPr>
            </w:pPr>
            <w:r w:rsidRPr="0002085C">
              <w:rPr>
                <w:rFonts w:cs="宋体" w:hint="eastAsia"/>
                <w:sz w:val="18"/>
                <w:szCs w:val="18"/>
              </w:rPr>
              <w:t>《中华人民共和国城镇国有土地使用权出让和转让暂行条例》</w:t>
            </w:r>
          </w:p>
          <w:p w:rsidR="00A32067" w:rsidRPr="0002085C" w:rsidRDefault="00A32067" w:rsidP="0002085C">
            <w:pPr>
              <w:widowControl/>
              <w:jc w:val="left"/>
              <w:rPr>
                <w:b/>
                <w:bCs/>
                <w:sz w:val="36"/>
                <w:szCs w:val="36"/>
              </w:rPr>
            </w:pPr>
            <w:r w:rsidRPr="0002085C">
              <w:rPr>
                <w:rFonts w:cs="宋体" w:hint="eastAsia"/>
                <w:sz w:val="18"/>
                <w:szCs w:val="18"/>
              </w:rPr>
              <w:t>、《河北省城镇国有土地使用权出让和转让实施办法》、财政部国土资源部中国人民银行关于调整新增建设用地土地有偿使用费政策等问题的通知财综</w:t>
            </w:r>
            <w:r w:rsidRPr="0002085C">
              <w:rPr>
                <w:sz w:val="18"/>
                <w:szCs w:val="18"/>
              </w:rPr>
              <w:t>[2006]48</w:t>
            </w:r>
            <w:r w:rsidRPr="0002085C">
              <w:rPr>
                <w:rFonts w:cs="宋体" w:hint="eastAsia"/>
                <w:sz w:val="18"/>
                <w:szCs w:val="18"/>
              </w:rPr>
              <w:t>号、关于发布实施《全国工业用地出让最低价标准》的通知国土资发〔</w:t>
            </w:r>
            <w:r w:rsidRPr="0002085C">
              <w:rPr>
                <w:sz w:val="18"/>
                <w:szCs w:val="18"/>
              </w:rPr>
              <w:t>2006</w:t>
            </w:r>
            <w:r w:rsidRPr="0002085C">
              <w:rPr>
                <w:rFonts w:cs="宋体" w:hint="eastAsia"/>
                <w:sz w:val="18"/>
                <w:szCs w:val="18"/>
              </w:rPr>
              <w:t>〕</w:t>
            </w:r>
            <w:r w:rsidRPr="0002085C">
              <w:rPr>
                <w:sz w:val="18"/>
                <w:szCs w:val="18"/>
              </w:rPr>
              <w:t>307</w:t>
            </w:r>
            <w:r w:rsidRPr="0002085C">
              <w:rPr>
                <w:rFonts w:cs="宋体" w:hint="eastAsia"/>
                <w:sz w:val="18"/>
                <w:szCs w:val="18"/>
              </w:rPr>
              <w:t>号</w:t>
            </w:r>
          </w:p>
        </w:tc>
        <w:tc>
          <w:tcPr>
            <w:tcW w:w="930" w:type="dxa"/>
          </w:tcPr>
          <w:p w:rsidR="00A32067" w:rsidRPr="0002085C" w:rsidRDefault="00A32067" w:rsidP="0002085C">
            <w:pPr>
              <w:widowControl/>
              <w:jc w:val="center"/>
              <w:rPr>
                <w:b/>
                <w:bCs/>
                <w:sz w:val="36"/>
                <w:szCs w:val="36"/>
              </w:rPr>
            </w:pPr>
          </w:p>
        </w:tc>
      </w:tr>
    </w:tbl>
    <w:p w:rsidR="00A32067" w:rsidRDefault="00A32067">
      <w:pPr>
        <w:widowControl/>
        <w:jc w:val="center"/>
        <w:rPr>
          <w:b/>
          <w:bCs/>
          <w:sz w:val="36"/>
          <w:szCs w:val="36"/>
        </w:rPr>
      </w:pPr>
      <w:r>
        <w:rPr>
          <w:rFonts w:cs="宋体" w:hint="eastAsia"/>
          <w:b/>
          <w:bCs/>
          <w:sz w:val="36"/>
          <w:szCs w:val="36"/>
        </w:rPr>
        <w:t>河北省建设项目概算其它费用的内容、标准及计算依据和方法</w:t>
      </w:r>
    </w:p>
    <w:tbl>
      <w:tblPr>
        <w:tblpPr w:leftFromText="180" w:rightFromText="180" w:vertAnchor="page" w:horzAnchor="page" w:tblpX="1124" w:tblpY="2447"/>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110"/>
        <w:gridCol w:w="3969"/>
        <w:gridCol w:w="3544"/>
        <w:gridCol w:w="930"/>
      </w:tblGrid>
      <w:tr w:rsidR="00A32067">
        <w:trPr>
          <w:trHeight w:val="417"/>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11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3969"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544"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1409"/>
        </w:trPr>
        <w:tc>
          <w:tcPr>
            <w:tcW w:w="675" w:type="dxa"/>
            <w:vAlign w:val="center"/>
          </w:tcPr>
          <w:p w:rsidR="00A32067" w:rsidRPr="0002085C" w:rsidRDefault="00A32067" w:rsidP="0002085C">
            <w:pPr>
              <w:jc w:val="center"/>
              <w:rPr>
                <w:sz w:val="22"/>
                <w:szCs w:val="22"/>
              </w:rPr>
            </w:pPr>
            <w:r w:rsidRPr="0002085C">
              <w:rPr>
                <w:sz w:val="22"/>
                <w:szCs w:val="22"/>
              </w:rPr>
              <w:t>3</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租地费用</w:t>
            </w:r>
          </w:p>
        </w:tc>
        <w:tc>
          <w:tcPr>
            <w:tcW w:w="4110" w:type="dxa"/>
            <w:vAlign w:val="center"/>
          </w:tcPr>
          <w:p w:rsidR="00A32067" w:rsidRPr="0002085C" w:rsidRDefault="00A32067" w:rsidP="0002085C">
            <w:pPr>
              <w:rPr>
                <w:sz w:val="22"/>
                <w:szCs w:val="22"/>
              </w:rPr>
            </w:pPr>
            <w:r w:rsidRPr="0002085C">
              <w:rPr>
                <w:rFonts w:cs="宋体" w:hint="eastAsia"/>
                <w:sz w:val="22"/>
                <w:szCs w:val="22"/>
              </w:rPr>
              <w:t>建设项目采用</w:t>
            </w:r>
            <w:r w:rsidRPr="0002085C">
              <w:rPr>
                <w:sz w:val="22"/>
                <w:szCs w:val="22"/>
              </w:rPr>
              <w:t>“</w:t>
            </w:r>
            <w:r w:rsidRPr="0002085C">
              <w:rPr>
                <w:rFonts w:cs="宋体" w:hint="eastAsia"/>
                <w:sz w:val="22"/>
                <w:szCs w:val="22"/>
              </w:rPr>
              <w:t>长租短付</w:t>
            </w:r>
            <w:r w:rsidRPr="0002085C">
              <w:rPr>
                <w:sz w:val="22"/>
                <w:szCs w:val="22"/>
              </w:rPr>
              <w:t>”</w:t>
            </w:r>
            <w:r w:rsidRPr="0002085C">
              <w:rPr>
                <w:rFonts w:cs="宋体" w:hint="eastAsia"/>
                <w:sz w:val="22"/>
                <w:szCs w:val="22"/>
              </w:rPr>
              <w:t>方式租用土地使用权所支付的租地费用</w:t>
            </w:r>
          </w:p>
        </w:tc>
        <w:tc>
          <w:tcPr>
            <w:tcW w:w="3969" w:type="dxa"/>
            <w:vAlign w:val="center"/>
          </w:tcPr>
          <w:p w:rsidR="00A32067" w:rsidRPr="0002085C" w:rsidRDefault="00A32067" w:rsidP="0002085C">
            <w:pPr>
              <w:rPr>
                <w:sz w:val="22"/>
                <w:szCs w:val="22"/>
              </w:rPr>
            </w:pPr>
            <w:r w:rsidRPr="0002085C">
              <w:rPr>
                <w:rFonts w:cs="宋体" w:hint="eastAsia"/>
                <w:sz w:val="22"/>
                <w:szCs w:val="22"/>
              </w:rPr>
              <w:t>在建设期间支付的租用土地费用计入建设用地费；在生产经营中支付的租用土地使用费应进入营运成本中核算</w:t>
            </w:r>
          </w:p>
        </w:tc>
        <w:tc>
          <w:tcPr>
            <w:tcW w:w="3544"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c>
          <w:tcPr>
            <w:tcW w:w="930" w:type="dxa"/>
          </w:tcPr>
          <w:p w:rsidR="00A32067" w:rsidRPr="0002085C" w:rsidRDefault="00A32067" w:rsidP="0002085C">
            <w:pPr>
              <w:widowControl/>
              <w:jc w:val="center"/>
              <w:rPr>
                <w:b/>
                <w:bCs/>
              </w:rPr>
            </w:pPr>
          </w:p>
        </w:tc>
      </w:tr>
      <w:tr w:rsidR="00A32067">
        <w:trPr>
          <w:trHeight w:val="1841"/>
        </w:trPr>
        <w:tc>
          <w:tcPr>
            <w:tcW w:w="675" w:type="dxa"/>
            <w:vAlign w:val="center"/>
          </w:tcPr>
          <w:p w:rsidR="00A32067" w:rsidRPr="0002085C" w:rsidRDefault="00A32067" w:rsidP="0002085C">
            <w:pPr>
              <w:jc w:val="center"/>
              <w:rPr>
                <w:sz w:val="22"/>
                <w:szCs w:val="22"/>
              </w:rPr>
            </w:pPr>
            <w:r w:rsidRPr="0002085C">
              <w:rPr>
                <w:sz w:val="22"/>
                <w:szCs w:val="22"/>
              </w:rPr>
              <w:t>4</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土地使用税</w:t>
            </w:r>
          </w:p>
        </w:tc>
        <w:tc>
          <w:tcPr>
            <w:tcW w:w="4110" w:type="dxa"/>
            <w:vAlign w:val="center"/>
          </w:tcPr>
          <w:p w:rsidR="00A32067" w:rsidRPr="0002085C" w:rsidRDefault="00A32067" w:rsidP="0002085C">
            <w:pPr>
              <w:rPr>
                <w:sz w:val="22"/>
                <w:szCs w:val="22"/>
              </w:rPr>
            </w:pPr>
            <w:r w:rsidRPr="0002085C">
              <w:rPr>
                <w:rFonts w:cs="宋体" w:hint="eastAsia"/>
                <w:sz w:val="22"/>
                <w:szCs w:val="22"/>
              </w:rPr>
              <w:t>在城市、县城、建制镇、工矿区范围内使用土地的单位和个人，应当依照规定缴纳土地使用税</w:t>
            </w:r>
          </w:p>
        </w:tc>
        <w:tc>
          <w:tcPr>
            <w:tcW w:w="3969" w:type="dxa"/>
            <w:vAlign w:val="center"/>
          </w:tcPr>
          <w:p w:rsidR="00A32067" w:rsidRPr="0002085C" w:rsidRDefault="00A32067" w:rsidP="0002085C">
            <w:pPr>
              <w:rPr>
                <w:sz w:val="22"/>
                <w:szCs w:val="22"/>
              </w:rPr>
            </w:pPr>
            <w:r w:rsidRPr="0002085C">
              <w:rPr>
                <w:rFonts w:cs="宋体" w:hint="eastAsia"/>
                <w:sz w:val="22"/>
                <w:szCs w:val="22"/>
              </w:rPr>
              <w:t>土地使用税以纳税人实际占用的土地面积为计税依据，依照规定税额计算征收</w:t>
            </w:r>
          </w:p>
        </w:tc>
        <w:tc>
          <w:tcPr>
            <w:tcW w:w="3544" w:type="dxa"/>
            <w:vAlign w:val="center"/>
          </w:tcPr>
          <w:p w:rsidR="00A32067" w:rsidRPr="0002085C" w:rsidRDefault="00A32067" w:rsidP="0002085C">
            <w:pPr>
              <w:rPr>
                <w:sz w:val="22"/>
                <w:szCs w:val="22"/>
              </w:rPr>
            </w:pPr>
            <w:r w:rsidRPr="0002085C">
              <w:rPr>
                <w:rFonts w:cs="宋体" w:hint="eastAsia"/>
                <w:sz w:val="22"/>
                <w:szCs w:val="22"/>
              </w:rPr>
              <w:t>《中华人民共和国城镇土地使用税暂行条例》中华人民共和国国务院令第</w:t>
            </w:r>
            <w:r w:rsidRPr="0002085C">
              <w:rPr>
                <w:sz w:val="22"/>
                <w:szCs w:val="22"/>
              </w:rPr>
              <w:t>645</w:t>
            </w:r>
            <w:r w:rsidRPr="0002085C">
              <w:rPr>
                <w:rFonts w:cs="宋体" w:hint="eastAsia"/>
                <w:sz w:val="22"/>
                <w:szCs w:val="22"/>
              </w:rPr>
              <w:t>号；河北省城镇土地使用税实施办法河北省人民政府令〔</w:t>
            </w:r>
            <w:r w:rsidRPr="0002085C">
              <w:rPr>
                <w:sz w:val="22"/>
                <w:szCs w:val="22"/>
              </w:rPr>
              <w:t>2013</w:t>
            </w:r>
            <w:r w:rsidRPr="0002085C">
              <w:rPr>
                <w:rFonts w:cs="宋体" w:hint="eastAsia"/>
                <w:sz w:val="22"/>
                <w:szCs w:val="22"/>
              </w:rPr>
              <w:t>〕第</w:t>
            </w:r>
            <w:r w:rsidRPr="0002085C">
              <w:rPr>
                <w:sz w:val="22"/>
                <w:szCs w:val="22"/>
              </w:rPr>
              <w:t>11</w:t>
            </w:r>
            <w:r w:rsidRPr="0002085C">
              <w:rPr>
                <w:rFonts w:cs="宋体" w:hint="eastAsia"/>
                <w:sz w:val="22"/>
                <w:szCs w:val="22"/>
              </w:rPr>
              <w:t>号</w:t>
            </w:r>
          </w:p>
        </w:tc>
        <w:tc>
          <w:tcPr>
            <w:tcW w:w="930" w:type="dxa"/>
          </w:tcPr>
          <w:p w:rsidR="00A32067" w:rsidRPr="0002085C" w:rsidRDefault="00A32067" w:rsidP="0002085C">
            <w:pPr>
              <w:widowControl/>
              <w:jc w:val="center"/>
              <w:rPr>
                <w:b/>
                <w:bCs/>
              </w:rPr>
            </w:pPr>
          </w:p>
        </w:tc>
      </w:tr>
      <w:tr w:rsidR="00A32067">
        <w:trPr>
          <w:trHeight w:val="2383"/>
        </w:trPr>
        <w:tc>
          <w:tcPr>
            <w:tcW w:w="675" w:type="dxa"/>
            <w:vAlign w:val="center"/>
          </w:tcPr>
          <w:p w:rsidR="00A32067" w:rsidRPr="0002085C" w:rsidRDefault="00A32067" w:rsidP="0002085C">
            <w:pPr>
              <w:jc w:val="center"/>
              <w:rPr>
                <w:sz w:val="22"/>
                <w:szCs w:val="22"/>
              </w:rPr>
            </w:pPr>
            <w:r w:rsidRPr="0002085C">
              <w:rPr>
                <w:sz w:val="22"/>
                <w:szCs w:val="22"/>
              </w:rPr>
              <w:t>5</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耕地占用税</w:t>
            </w:r>
          </w:p>
        </w:tc>
        <w:tc>
          <w:tcPr>
            <w:tcW w:w="4110" w:type="dxa"/>
            <w:vAlign w:val="center"/>
          </w:tcPr>
          <w:p w:rsidR="00A32067" w:rsidRPr="0002085C" w:rsidRDefault="00A32067" w:rsidP="0002085C">
            <w:pPr>
              <w:rPr>
                <w:sz w:val="22"/>
                <w:szCs w:val="22"/>
              </w:rPr>
            </w:pPr>
            <w:r w:rsidRPr="0002085C">
              <w:rPr>
                <w:rFonts w:cs="宋体" w:hint="eastAsia"/>
                <w:sz w:val="22"/>
                <w:szCs w:val="22"/>
              </w:rPr>
              <w:t>占用耕地建房或者从事非农业建设的单位或者个人，应当依照规定缴纳耕地占用税</w:t>
            </w:r>
          </w:p>
        </w:tc>
        <w:tc>
          <w:tcPr>
            <w:tcW w:w="3969" w:type="dxa"/>
            <w:vAlign w:val="center"/>
          </w:tcPr>
          <w:p w:rsidR="00A32067" w:rsidRPr="0002085C" w:rsidRDefault="00A32067" w:rsidP="0002085C">
            <w:pPr>
              <w:rPr>
                <w:sz w:val="22"/>
                <w:szCs w:val="22"/>
              </w:rPr>
            </w:pPr>
            <w:r w:rsidRPr="0002085C">
              <w:rPr>
                <w:rFonts w:cs="宋体" w:hint="eastAsia"/>
                <w:sz w:val="22"/>
                <w:szCs w:val="22"/>
              </w:rPr>
              <w:t>耕地占用税以纳税人实际占用的耕地面积为计税依据，按照规定的适用税额一次性征收</w:t>
            </w:r>
          </w:p>
        </w:tc>
        <w:tc>
          <w:tcPr>
            <w:tcW w:w="3544" w:type="dxa"/>
            <w:vAlign w:val="center"/>
          </w:tcPr>
          <w:p w:rsidR="00A32067" w:rsidRPr="0002085C" w:rsidRDefault="00A32067" w:rsidP="0002085C">
            <w:pPr>
              <w:rPr>
                <w:sz w:val="22"/>
                <w:szCs w:val="22"/>
              </w:rPr>
            </w:pPr>
            <w:r w:rsidRPr="0002085C">
              <w:rPr>
                <w:rFonts w:cs="宋体" w:hint="eastAsia"/>
                <w:sz w:val="22"/>
                <w:szCs w:val="22"/>
              </w:rPr>
              <w:t>《中华人民共和国耕地占用税暂行条例》中华人民共和国国务院令第</w:t>
            </w:r>
            <w:r w:rsidRPr="0002085C">
              <w:rPr>
                <w:sz w:val="22"/>
                <w:szCs w:val="22"/>
              </w:rPr>
              <w:t>511</w:t>
            </w:r>
            <w:r w:rsidRPr="0002085C">
              <w:rPr>
                <w:rFonts w:cs="宋体" w:hint="eastAsia"/>
                <w:sz w:val="22"/>
                <w:szCs w:val="22"/>
              </w:rPr>
              <w:t>号、《中华人民共和国耕地占用税暂行条例实施细则》第</w:t>
            </w:r>
            <w:r w:rsidRPr="0002085C">
              <w:rPr>
                <w:sz w:val="22"/>
                <w:szCs w:val="22"/>
              </w:rPr>
              <w:t>49</w:t>
            </w:r>
            <w:r w:rsidRPr="0002085C">
              <w:rPr>
                <w:rFonts w:cs="宋体" w:hint="eastAsia"/>
                <w:sz w:val="22"/>
                <w:szCs w:val="22"/>
              </w:rPr>
              <w:t>号；河北省耕地占用税实施办法、河北省县</w:t>
            </w:r>
            <w:r w:rsidRPr="0002085C">
              <w:rPr>
                <w:sz w:val="22"/>
                <w:szCs w:val="22"/>
              </w:rPr>
              <w:t>(</w:t>
            </w:r>
            <w:r w:rsidRPr="0002085C">
              <w:rPr>
                <w:rFonts w:cs="宋体" w:hint="eastAsia"/>
                <w:sz w:val="22"/>
                <w:szCs w:val="22"/>
              </w:rPr>
              <w:t>市、区</w:t>
            </w:r>
            <w:r w:rsidRPr="0002085C">
              <w:rPr>
                <w:sz w:val="22"/>
                <w:szCs w:val="22"/>
              </w:rPr>
              <w:t>)</w:t>
            </w:r>
            <w:r w:rsidRPr="0002085C">
              <w:rPr>
                <w:rFonts w:cs="宋体" w:hint="eastAsia"/>
                <w:sz w:val="22"/>
                <w:szCs w:val="22"/>
              </w:rPr>
              <w:t>耕地占用税适用税额表</w:t>
            </w:r>
          </w:p>
        </w:tc>
        <w:tc>
          <w:tcPr>
            <w:tcW w:w="930" w:type="dxa"/>
          </w:tcPr>
          <w:p w:rsidR="00A32067" w:rsidRPr="0002085C" w:rsidRDefault="00A32067" w:rsidP="0002085C">
            <w:pPr>
              <w:widowControl/>
              <w:jc w:val="center"/>
              <w:rPr>
                <w:b/>
                <w:bCs/>
              </w:rPr>
            </w:pPr>
          </w:p>
        </w:tc>
      </w:tr>
      <w:tr w:rsidR="00A32067">
        <w:trPr>
          <w:trHeight w:val="1842"/>
        </w:trPr>
        <w:tc>
          <w:tcPr>
            <w:tcW w:w="675" w:type="dxa"/>
            <w:vAlign w:val="center"/>
          </w:tcPr>
          <w:p w:rsidR="00A32067" w:rsidRPr="0002085C" w:rsidRDefault="00A32067" w:rsidP="0002085C">
            <w:pPr>
              <w:jc w:val="center"/>
              <w:rPr>
                <w:sz w:val="22"/>
                <w:szCs w:val="22"/>
              </w:rPr>
            </w:pPr>
            <w:r w:rsidRPr="0002085C">
              <w:rPr>
                <w:sz w:val="22"/>
                <w:szCs w:val="22"/>
              </w:rPr>
              <w:t>6</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契税</w:t>
            </w:r>
          </w:p>
        </w:tc>
        <w:tc>
          <w:tcPr>
            <w:tcW w:w="4110" w:type="dxa"/>
            <w:vAlign w:val="center"/>
          </w:tcPr>
          <w:p w:rsidR="00A32067" w:rsidRPr="0002085C" w:rsidRDefault="00A32067" w:rsidP="0002085C">
            <w:pPr>
              <w:rPr>
                <w:sz w:val="22"/>
                <w:szCs w:val="22"/>
              </w:rPr>
            </w:pPr>
            <w:r w:rsidRPr="0002085C">
              <w:rPr>
                <w:rFonts w:cs="宋体" w:hint="eastAsia"/>
                <w:sz w:val="22"/>
                <w:szCs w:val="22"/>
              </w:rPr>
              <w:t>承受转移土地、房屋权属的单位和个人，应当按照规定缴纳契税。</w:t>
            </w:r>
            <w:r w:rsidRPr="0002085C">
              <w:rPr>
                <w:sz w:val="22"/>
                <w:szCs w:val="22"/>
              </w:rPr>
              <w:t>“</w:t>
            </w:r>
            <w:r w:rsidRPr="0002085C">
              <w:rPr>
                <w:rFonts w:cs="宋体" w:hint="eastAsia"/>
                <w:sz w:val="22"/>
                <w:szCs w:val="22"/>
              </w:rPr>
              <w:t>承受</w:t>
            </w:r>
            <w:r w:rsidRPr="0002085C">
              <w:rPr>
                <w:sz w:val="22"/>
                <w:szCs w:val="22"/>
              </w:rPr>
              <w:t>”</w:t>
            </w:r>
            <w:r w:rsidRPr="0002085C">
              <w:rPr>
                <w:rFonts w:cs="宋体" w:hint="eastAsia"/>
                <w:sz w:val="22"/>
                <w:szCs w:val="22"/>
              </w:rPr>
              <w:t>是指以受让、购买、受赠、交换等方式取得土地、房屋权属的行为；</w:t>
            </w:r>
            <w:r w:rsidRPr="0002085C">
              <w:rPr>
                <w:sz w:val="22"/>
                <w:szCs w:val="22"/>
              </w:rPr>
              <w:t>“</w:t>
            </w:r>
            <w:r w:rsidRPr="0002085C">
              <w:rPr>
                <w:rFonts w:cs="宋体" w:hint="eastAsia"/>
                <w:sz w:val="22"/>
                <w:szCs w:val="22"/>
              </w:rPr>
              <w:t>土地、房屋权属</w:t>
            </w:r>
            <w:r w:rsidRPr="0002085C">
              <w:rPr>
                <w:sz w:val="22"/>
                <w:szCs w:val="22"/>
              </w:rPr>
              <w:t>”</w:t>
            </w:r>
            <w:r w:rsidRPr="0002085C">
              <w:rPr>
                <w:rFonts w:cs="宋体" w:hint="eastAsia"/>
                <w:sz w:val="22"/>
                <w:szCs w:val="22"/>
              </w:rPr>
              <w:t>是指土地使用权、房屋所有权</w:t>
            </w:r>
          </w:p>
        </w:tc>
        <w:tc>
          <w:tcPr>
            <w:tcW w:w="3969" w:type="dxa"/>
            <w:vAlign w:val="center"/>
          </w:tcPr>
          <w:p w:rsidR="00A32067" w:rsidRPr="0002085C" w:rsidRDefault="00A32067" w:rsidP="0002085C">
            <w:pPr>
              <w:rPr>
                <w:sz w:val="22"/>
                <w:szCs w:val="22"/>
              </w:rPr>
            </w:pPr>
            <w:r w:rsidRPr="0002085C">
              <w:rPr>
                <w:rFonts w:cs="宋体" w:hint="eastAsia"/>
                <w:sz w:val="22"/>
                <w:szCs w:val="22"/>
              </w:rPr>
              <w:t>契税税率为</w:t>
            </w:r>
            <w:r w:rsidRPr="0002085C">
              <w:rPr>
                <w:sz w:val="22"/>
                <w:szCs w:val="22"/>
              </w:rPr>
              <w:t>4</w:t>
            </w:r>
            <w:r w:rsidRPr="0002085C">
              <w:rPr>
                <w:rFonts w:cs="宋体" w:hint="eastAsia"/>
                <w:sz w:val="22"/>
                <w:szCs w:val="22"/>
              </w:rPr>
              <w:t>％</w:t>
            </w:r>
          </w:p>
        </w:tc>
        <w:tc>
          <w:tcPr>
            <w:tcW w:w="3544" w:type="dxa"/>
            <w:vAlign w:val="center"/>
          </w:tcPr>
          <w:p w:rsidR="00A32067" w:rsidRPr="0002085C" w:rsidRDefault="00A32067" w:rsidP="0002085C">
            <w:pPr>
              <w:rPr>
                <w:sz w:val="22"/>
                <w:szCs w:val="22"/>
              </w:rPr>
            </w:pPr>
            <w:r w:rsidRPr="0002085C">
              <w:rPr>
                <w:rFonts w:cs="宋体" w:hint="eastAsia"/>
                <w:sz w:val="22"/>
                <w:szCs w:val="22"/>
              </w:rPr>
              <w:t>《河北省契税实施办法》《河北省地方税务局关于征收耕地占用税契税的通告》</w:t>
            </w:r>
          </w:p>
        </w:tc>
        <w:tc>
          <w:tcPr>
            <w:tcW w:w="930" w:type="dxa"/>
          </w:tcPr>
          <w:p w:rsidR="00A32067" w:rsidRPr="0002085C" w:rsidRDefault="00A32067" w:rsidP="0002085C">
            <w:pPr>
              <w:widowControl/>
              <w:jc w:val="center"/>
              <w:rPr>
                <w:b/>
                <w:bCs/>
              </w:rPr>
            </w:pPr>
          </w:p>
        </w:tc>
      </w:tr>
    </w:tbl>
    <w:p w:rsidR="00A32067" w:rsidRDefault="00A32067">
      <w:pPr>
        <w:widowControl/>
        <w:jc w:val="center"/>
      </w:pPr>
    </w:p>
    <w:p w:rsidR="00A32067" w:rsidRDefault="00A32067">
      <w:pPr>
        <w:widowControl/>
        <w:jc w:val="left"/>
      </w:pPr>
      <w:r>
        <w:br w:type="page"/>
      </w:r>
    </w:p>
    <w:p w:rsidR="00A32067" w:rsidRDefault="00A32067">
      <w:pPr>
        <w:widowControl/>
        <w:jc w:val="center"/>
      </w:pPr>
      <w:r>
        <w:rPr>
          <w:rFonts w:cs="宋体" w:hint="eastAsia"/>
          <w:b/>
          <w:bCs/>
          <w:sz w:val="36"/>
          <w:szCs w:val="36"/>
        </w:rPr>
        <w:t>河北省建设项目概算其它费用的内容、标准及计算依据和方法</w:t>
      </w:r>
    </w:p>
    <w:tbl>
      <w:tblPr>
        <w:tblpPr w:leftFromText="180" w:rightFromText="180" w:vertAnchor="page" w:horzAnchor="page" w:tblpX="1184" w:tblpY="2203"/>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2"/>
        <w:gridCol w:w="1293"/>
        <w:gridCol w:w="2769"/>
        <w:gridCol w:w="7655"/>
        <w:gridCol w:w="1751"/>
        <w:gridCol w:w="738"/>
      </w:tblGrid>
      <w:tr w:rsidR="00A32067">
        <w:trPr>
          <w:trHeight w:val="411"/>
        </w:trPr>
        <w:tc>
          <w:tcPr>
            <w:tcW w:w="582"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293"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2769"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7655"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1751"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738"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400"/>
        </w:trPr>
        <w:tc>
          <w:tcPr>
            <w:tcW w:w="14788" w:type="dxa"/>
            <w:gridSpan w:val="6"/>
          </w:tcPr>
          <w:p w:rsidR="00A32067" w:rsidRPr="0002085C" w:rsidRDefault="00A32067" w:rsidP="0002085C">
            <w:pPr>
              <w:pStyle w:val="Heading2"/>
              <w:spacing w:before="120" w:after="0" w:line="240" w:lineRule="auto"/>
              <w:rPr>
                <w:rFonts w:ascii="Times New Roman" w:hAnsi="Times New Roman" w:cs="Times New Roman"/>
                <w:sz w:val="24"/>
                <w:szCs w:val="24"/>
              </w:rPr>
            </w:pPr>
            <w:bookmarkStart w:id="3" w:name="_Toc519872246"/>
            <w:r w:rsidRPr="0002085C">
              <w:rPr>
                <w:rFonts w:ascii="Times New Roman" w:hAnsi="Times New Roman" w:cs="宋体" w:hint="eastAsia"/>
                <w:sz w:val="24"/>
                <w:szCs w:val="24"/>
              </w:rPr>
              <w:t>二、与整个工程项目建设有关的费用</w:t>
            </w:r>
            <w:bookmarkEnd w:id="3"/>
          </w:p>
        </w:tc>
      </w:tr>
      <w:tr w:rsidR="00A32067">
        <w:trPr>
          <w:trHeight w:val="3810"/>
        </w:trPr>
        <w:tc>
          <w:tcPr>
            <w:tcW w:w="582" w:type="dxa"/>
            <w:vMerge w:val="restart"/>
            <w:vAlign w:val="center"/>
          </w:tcPr>
          <w:p w:rsidR="00A32067" w:rsidRPr="0002085C" w:rsidRDefault="00A32067" w:rsidP="0002085C">
            <w:pPr>
              <w:widowControl/>
              <w:jc w:val="center"/>
              <w:rPr>
                <w:sz w:val="22"/>
                <w:szCs w:val="22"/>
              </w:rPr>
            </w:pPr>
            <w:r w:rsidRPr="0002085C">
              <w:rPr>
                <w:sz w:val="22"/>
                <w:szCs w:val="22"/>
              </w:rPr>
              <w:t>1</w:t>
            </w:r>
          </w:p>
        </w:tc>
        <w:tc>
          <w:tcPr>
            <w:tcW w:w="1293" w:type="dxa"/>
            <w:vAlign w:val="center"/>
          </w:tcPr>
          <w:p w:rsidR="00A32067" w:rsidRPr="0002085C" w:rsidRDefault="00A32067" w:rsidP="0002085C">
            <w:pPr>
              <w:jc w:val="center"/>
              <w:rPr>
                <w:sz w:val="22"/>
                <w:szCs w:val="22"/>
              </w:rPr>
            </w:pPr>
            <w:r w:rsidRPr="0002085C">
              <w:rPr>
                <w:rFonts w:cs="宋体" w:hint="eastAsia"/>
                <w:sz w:val="22"/>
                <w:szCs w:val="22"/>
              </w:rPr>
              <w:t>项目建设管理费</w:t>
            </w:r>
          </w:p>
        </w:tc>
        <w:tc>
          <w:tcPr>
            <w:tcW w:w="2769" w:type="dxa"/>
            <w:vAlign w:val="center"/>
          </w:tcPr>
          <w:p w:rsidR="00A32067" w:rsidRPr="0002085C" w:rsidRDefault="00A32067" w:rsidP="0002085C">
            <w:pPr>
              <w:rPr>
                <w:sz w:val="22"/>
                <w:szCs w:val="22"/>
              </w:rPr>
            </w:pPr>
            <w:r w:rsidRPr="0002085C">
              <w:rPr>
                <w:rFonts w:cs="宋体" w:hint="eastAsia"/>
                <w:sz w:val="22"/>
                <w:szCs w:val="22"/>
              </w:rPr>
              <w:t>建设管理费是建设单位为组织完成工程项目建设，在建设期内发生的各类管理费用。包括：不在原单位发工资的工作人员工资及相关费用、办公费、办公场地租用费、差旅交通费、劳动保护费、工具用具使用费、固定资产使用费、招募生产工人费、技术图书资料费（含软件）、业务招待费、施工现场津贴、竣工验收费和其他管理性质开支</w:t>
            </w:r>
          </w:p>
        </w:tc>
        <w:tc>
          <w:tcPr>
            <w:tcW w:w="7655" w:type="dxa"/>
            <w:vMerge w:val="restart"/>
          </w:tcPr>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r w:rsidRPr="0002085C">
              <w:rPr>
                <w:rFonts w:cs="宋体" w:hint="eastAsia"/>
                <w:sz w:val="22"/>
                <w:szCs w:val="22"/>
              </w:rPr>
              <w:t>建设管理费以项目审批部门批准的项目总投资（经批准的动态投资，不含项目建设管理费）扣除建设用地费为基数分档计算</w:t>
            </w:r>
          </w:p>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p>
          <w:p w:rsidR="00A32067" w:rsidRPr="0002085C" w:rsidRDefault="00A32067" w:rsidP="0002085C">
            <w:pPr>
              <w:widowControl/>
              <w:jc w:val="left"/>
              <w:rPr>
                <w:sz w:val="22"/>
                <w:szCs w:val="22"/>
              </w:rPr>
            </w:pPr>
            <w:r w:rsidRPr="0002085C">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R2[BKM3WC]~I8EQ4UPD]RRX" style="width:366.75pt;height:210pt;visibility:visible">
                  <v:imagedata r:id="rId25" o:title=""/>
                </v:shape>
              </w:pict>
            </w:r>
          </w:p>
        </w:tc>
        <w:tc>
          <w:tcPr>
            <w:tcW w:w="1751" w:type="dxa"/>
            <w:vMerge w:val="restart"/>
            <w:vAlign w:val="center"/>
          </w:tcPr>
          <w:p w:rsidR="00A32067" w:rsidRPr="0002085C" w:rsidRDefault="00A32067" w:rsidP="0002085C">
            <w:pPr>
              <w:widowControl/>
              <w:jc w:val="center"/>
              <w:rPr>
                <w:sz w:val="22"/>
                <w:szCs w:val="22"/>
              </w:rPr>
            </w:pPr>
            <w:r w:rsidRPr="0002085C">
              <w:rPr>
                <w:rFonts w:cs="宋体" w:hint="eastAsia"/>
                <w:sz w:val="22"/>
                <w:szCs w:val="22"/>
              </w:rPr>
              <w:t>《关于印发《基本建设项目建设成本管理规定》的通知》财建</w:t>
            </w:r>
            <w:r w:rsidRPr="0002085C">
              <w:rPr>
                <w:sz w:val="22"/>
                <w:szCs w:val="22"/>
              </w:rPr>
              <w:t>[2016]504</w:t>
            </w:r>
            <w:r w:rsidRPr="0002085C">
              <w:rPr>
                <w:rFonts w:cs="宋体" w:hint="eastAsia"/>
                <w:sz w:val="22"/>
                <w:szCs w:val="22"/>
              </w:rPr>
              <w:t>号</w:t>
            </w:r>
          </w:p>
        </w:tc>
        <w:tc>
          <w:tcPr>
            <w:tcW w:w="738" w:type="dxa"/>
            <w:vMerge w:val="restart"/>
          </w:tcPr>
          <w:p w:rsidR="00A32067" w:rsidRPr="0002085C" w:rsidRDefault="00A32067" w:rsidP="0002085C">
            <w:pPr>
              <w:widowControl/>
              <w:jc w:val="center"/>
              <w:rPr>
                <w:b/>
                <w:bCs/>
                <w:sz w:val="22"/>
                <w:szCs w:val="22"/>
              </w:rPr>
            </w:pPr>
          </w:p>
        </w:tc>
      </w:tr>
      <w:tr w:rsidR="00A32067">
        <w:trPr>
          <w:trHeight w:val="3678"/>
        </w:trPr>
        <w:tc>
          <w:tcPr>
            <w:tcW w:w="582" w:type="dxa"/>
            <w:vMerge/>
            <w:vAlign w:val="center"/>
          </w:tcPr>
          <w:p w:rsidR="00A32067" w:rsidRPr="0002085C" w:rsidRDefault="00A32067" w:rsidP="0002085C">
            <w:pPr>
              <w:widowControl/>
              <w:jc w:val="center"/>
              <w:rPr>
                <w:sz w:val="22"/>
                <w:szCs w:val="22"/>
              </w:rPr>
            </w:pPr>
          </w:p>
        </w:tc>
        <w:tc>
          <w:tcPr>
            <w:tcW w:w="1293" w:type="dxa"/>
            <w:vAlign w:val="center"/>
          </w:tcPr>
          <w:p w:rsidR="00A32067" w:rsidRPr="0002085C" w:rsidRDefault="00A32067" w:rsidP="0002085C">
            <w:pPr>
              <w:jc w:val="center"/>
              <w:rPr>
                <w:sz w:val="22"/>
                <w:szCs w:val="22"/>
              </w:rPr>
            </w:pPr>
            <w:r w:rsidRPr="0002085C">
              <w:rPr>
                <w:rFonts w:cs="宋体" w:hint="eastAsia"/>
                <w:sz w:val="22"/>
                <w:szCs w:val="22"/>
              </w:rPr>
              <w:t>（或）项目代建管理费</w:t>
            </w:r>
          </w:p>
        </w:tc>
        <w:tc>
          <w:tcPr>
            <w:tcW w:w="2769" w:type="dxa"/>
            <w:vAlign w:val="center"/>
          </w:tcPr>
          <w:p w:rsidR="00A32067" w:rsidRPr="0002085C" w:rsidRDefault="00A32067" w:rsidP="0002085C">
            <w:pPr>
              <w:rPr>
                <w:sz w:val="22"/>
                <w:szCs w:val="22"/>
              </w:rPr>
            </w:pPr>
            <w:r w:rsidRPr="0002085C">
              <w:rPr>
                <w:rFonts w:cs="宋体" w:hint="eastAsia"/>
                <w:sz w:val="22"/>
                <w:szCs w:val="22"/>
              </w:rPr>
              <w:t>由同级财政部门根据代建内容和要求，按照不高于《基本建设项目建设成本管理规定》项目建设管理费标准核定，计入项目建设成本。凡实行建设管理代理制的项目，一般不得同时列支代建管理费和项目建设管理费，确需同时发生的，两项费用之和不得高于《基本建设项目建设成本管理规定》的项目建设管理费限额</w:t>
            </w:r>
          </w:p>
        </w:tc>
        <w:tc>
          <w:tcPr>
            <w:tcW w:w="7655" w:type="dxa"/>
            <w:vMerge/>
            <w:vAlign w:val="center"/>
          </w:tcPr>
          <w:p w:rsidR="00A32067" w:rsidRPr="0002085C" w:rsidRDefault="00A32067" w:rsidP="0002085C">
            <w:pPr>
              <w:widowControl/>
              <w:jc w:val="center"/>
              <w:rPr>
                <w:sz w:val="22"/>
                <w:szCs w:val="22"/>
              </w:rPr>
            </w:pPr>
          </w:p>
        </w:tc>
        <w:tc>
          <w:tcPr>
            <w:tcW w:w="1751" w:type="dxa"/>
            <w:vMerge/>
          </w:tcPr>
          <w:p w:rsidR="00A32067" w:rsidRPr="0002085C" w:rsidRDefault="00A32067" w:rsidP="0002085C">
            <w:pPr>
              <w:widowControl/>
              <w:jc w:val="center"/>
              <w:rPr>
                <w:b/>
                <w:bCs/>
                <w:sz w:val="22"/>
                <w:szCs w:val="22"/>
              </w:rPr>
            </w:pPr>
          </w:p>
        </w:tc>
        <w:tc>
          <w:tcPr>
            <w:tcW w:w="738" w:type="dxa"/>
            <w:vMerge/>
          </w:tcPr>
          <w:p w:rsidR="00A32067" w:rsidRPr="0002085C" w:rsidRDefault="00A32067" w:rsidP="0002085C">
            <w:pPr>
              <w:widowControl/>
              <w:jc w:val="center"/>
              <w:rPr>
                <w:b/>
                <w:bCs/>
                <w:sz w:val="22"/>
                <w:szCs w:val="22"/>
              </w:rPr>
            </w:pPr>
          </w:p>
        </w:tc>
      </w:tr>
    </w:tbl>
    <w:p w:rsidR="00A32067" w:rsidRDefault="00A32067">
      <w:pPr>
        <w:widowControl/>
        <w:jc w:val="center"/>
        <w:rPr>
          <w:sz w:val="22"/>
          <w:szCs w:val="22"/>
        </w:rPr>
      </w:pPr>
      <w:r>
        <w:rPr>
          <w:sz w:val="22"/>
          <w:szCs w:val="22"/>
        </w:rPr>
        <w:br w:type="page"/>
      </w:r>
    </w:p>
    <w:p w:rsidR="00A32067" w:rsidRDefault="00A32067">
      <w:pPr>
        <w:widowControl/>
        <w:jc w:val="left"/>
      </w:pPr>
    </w:p>
    <w:p w:rsidR="00A32067" w:rsidRDefault="00A32067">
      <w:pPr>
        <w:widowControl/>
        <w:jc w:val="center"/>
      </w:pPr>
      <w:r>
        <w:rPr>
          <w:rFonts w:cs="宋体" w:hint="eastAsia"/>
          <w:b/>
          <w:bCs/>
          <w:sz w:val="36"/>
          <w:szCs w:val="36"/>
        </w:rPr>
        <w:t>河北省建设项目概算其它费用的内容、标准及计算依据和方法</w:t>
      </w:r>
    </w:p>
    <w:tbl>
      <w:tblPr>
        <w:tblpPr w:leftFromText="180" w:rightFromText="180" w:vertAnchor="page" w:horzAnchor="page" w:tblpX="1094" w:tblpY="2604"/>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2"/>
        <w:gridCol w:w="1293"/>
        <w:gridCol w:w="3620"/>
        <w:gridCol w:w="6804"/>
        <w:gridCol w:w="1751"/>
        <w:gridCol w:w="738"/>
      </w:tblGrid>
      <w:tr w:rsidR="00A32067">
        <w:trPr>
          <w:trHeight w:val="411"/>
        </w:trPr>
        <w:tc>
          <w:tcPr>
            <w:tcW w:w="582"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293"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362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6804"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1751"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738"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3249"/>
        </w:trPr>
        <w:tc>
          <w:tcPr>
            <w:tcW w:w="582" w:type="dxa"/>
            <w:vMerge w:val="restart"/>
            <w:vAlign w:val="center"/>
          </w:tcPr>
          <w:p w:rsidR="00A32067" w:rsidRPr="0002085C" w:rsidRDefault="00A32067" w:rsidP="0002085C">
            <w:pPr>
              <w:jc w:val="center"/>
              <w:rPr>
                <w:sz w:val="22"/>
                <w:szCs w:val="22"/>
              </w:rPr>
            </w:pPr>
            <w:r w:rsidRPr="0002085C">
              <w:rPr>
                <w:sz w:val="22"/>
                <w:szCs w:val="22"/>
              </w:rPr>
              <w:t>2</w:t>
            </w:r>
          </w:p>
        </w:tc>
        <w:tc>
          <w:tcPr>
            <w:tcW w:w="1293" w:type="dxa"/>
            <w:vMerge w:val="restart"/>
            <w:vAlign w:val="center"/>
          </w:tcPr>
          <w:p w:rsidR="00A32067" w:rsidRPr="0002085C" w:rsidRDefault="00A32067" w:rsidP="0002085C">
            <w:pPr>
              <w:jc w:val="center"/>
              <w:rPr>
                <w:sz w:val="22"/>
                <w:szCs w:val="22"/>
              </w:rPr>
            </w:pPr>
            <w:r w:rsidRPr="0002085C">
              <w:rPr>
                <w:rFonts w:cs="宋体" w:hint="eastAsia"/>
                <w:sz w:val="22"/>
                <w:szCs w:val="22"/>
              </w:rPr>
              <w:t>建设项目场地准备及建设单位临时设施费</w:t>
            </w:r>
          </w:p>
        </w:tc>
        <w:tc>
          <w:tcPr>
            <w:tcW w:w="3620" w:type="dxa"/>
            <w:vAlign w:val="center"/>
          </w:tcPr>
          <w:p w:rsidR="00A32067" w:rsidRPr="0002085C" w:rsidRDefault="00A32067" w:rsidP="0002085C">
            <w:pPr>
              <w:rPr>
                <w:sz w:val="22"/>
                <w:szCs w:val="22"/>
              </w:rPr>
            </w:pPr>
            <w:r w:rsidRPr="0002085C">
              <w:rPr>
                <w:rFonts w:cs="宋体" w:hint="eastAsia"/>
                <w:sz w:val="22"/>
                <w:szCs w:val="22"/>
              </w:rPr>
              <w:t>场地准备费是指为使工程项目的建设场地达到开工条件，由建设单位组织进行的场地平整等准备工作而发生的费用。包括对建设场地余留的有碍于施工的设施进行拆除清理的费用，以及满足施工建设需要而供到场地界区的，未列入工程费用的接驳临时水、电、气、通信、道路、围墙等的有关费用</w:t>
            </w:r>
          </w:p>
        </w:tc>
        <w:tc>
          <w:tcPr>
            <w:tcW w:w="6804" w:type="dxa"/>
            <w:vMerge w:val="restart"/>
            <w:vAlign w:val="center"/>
          </w:tcPr>
          <w:p w:rsidR="00A32067" w:rsidRPr="0002085C" w:rsidRDefault="00A32067" w:rsidP="0002085C">
            <w:pPr>
              <w:jc w:val="left"/>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）场地准备及临时设施应尽量与永久性工程统一考虑。建设场地的大型土石方工程应进入建筑安装工程费用中。</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）新建项目的场地准备及临时设施费应根据实际工程量估算，或按工程费用的比例计算，一般可按建筑工程费、安装工程费用之和的</w:t>
            </w:r>
            <w:r w:rsidRPr="0002085C">
              <w:rPr>
                <w:sz w:val="22"/>
                <w:szCs w:val="22"/>
              </w:rPr>
              <w:t>0.5%</w:t>
            </w:r>
            <w:r w:rsidRPr="0002085C">
              <w:rPr>
                <w:rFonts w:cs="宋体" w:hint="eastAsia"/>
                <w:sz w:val="22"/>
                <w:szCs w:val="22"/>
              </w:rPr>
              <w:t>～</w:t>
            </w:r>
            <w:r w:rsidRPr="0002085C">
              <w:rPr>
                <w:sz w:val="22"/>
                <w:szCs w:val="22"/>
              </w:rPr>
              <w:t>1.0%</w:t>
            </w:r>
            <w:r w:rsidRPr="0002085C">
              <w:rPr>
                <w:rFonts w:cs="宋体" w:hint="eastAsia"/>
                <w:sz w:val="22"/>
                <w:szCs w:val="22"/>
              </w:rPr>
              <w:t>计列。改扩建项目一般只计拆除清理费。</w:t>
            </w:r>
            <w:r w:rsidRPr="0002085C">
              <w:rPr>
                <w:sz w:val="22"/>
                <w:szCs w:val="22"/>
              </w:rPr>
              <w:br/>
            </w:r>
            <w:r w:rsidRPr="0002085C">
              <w:rPr>
                <w:rFonts w:cs="宋体" w:hint="eastAsia"/>
                <w:sz w:val="22"/>
                <w:szCs w:val="22"/>
              </w:rPr>
              <w:t>场地准备和临时设施费＝工程费用</w:t>
            </w:r>
            <w:r w:rsidRPr="0002085C">
              <w:rPr>
                <w:sz w:val="22"/>
                <w:szCs w:val="22"/>
              </w:rPr>
              <w:t>×</w:t>
            </w:r>
            <w:r w:rsidRPr="0002085C">
              <w:rPr>
                <w:rFonts w:cs="宋体" w:hint="eastAsia"/>
                <w:sz w:val="22"/>
                <w:szCs w:val="22"/>
              </w:rPr>
              <w:t>费率</w:t>
            </w:r>
            <w:r w:rsidRPr="0002085C">
              <w:rPr>
                <w:sz w:val="22"/>
                <w:szCs w:val="22"/>
              </w:rPr>
              <w:t>+</w:t>
            </w:r>
            <w:r w:rsidRPr="0002085C">
              <w:rPr>
                <w:rFonts w:cs="宋体" w:hint="eastAsia"/>
                <w:sz w:val="22"/>
                <w:szCs w:val="22"/>
              </w:rPr>
              <w:t>拆除清理费</w:t>
            </w:r>
            <w:r w:rsidRPr="0002085C">
              <w:rPr>
                <w:sz w:val="22"/>
                <w:szCs w:val="22"/>
              </w:rPr>
              <w:br/>
            </w:r>
            <w:r w:rsidRPr="0002085C">
              <w:rPr>
                <w:rFonts w:cs="宋体" w:hint="eastAsia"/>
                <w:sz w:val="22"/>
                <w:szCs w:val="22"/>
              </w:rPr>
              <w:t>（</w:t>
            </w:r>
            <w:r w:rsidRPr="0002085C">
              <w:rPr>
                <w:sz w:val="22"/>
                <w:szCs w:val="22"/>
              </w:rPr>
              <w:t>3</w:t>
            </w:r>
            <w:r w:rsidRPr="0002085C">
              <w:rPr>
                <w:rFonts w:cs="宋体" w:hint="eastAsia"/>
                <w:sz w:val="22"/>
                <w:szCs w:val="22"/>
              </w:rPr>
              <w:t>）发生拆除清理费时可按新建同类工程造价或主材费、设备费的比例计算。可回收材料的拆除工程可采用以料抵工方式，不再计算拆除清理费</w:t>
            </w:r>
          </w:p>
        </w:tc>
        <w:tc>
          <w:tcPr>
            <w:tcW w:w="1751" w:type="dxa"/>
            <w:vMerge w:val="restart"/>
            <w:vAlign w:val="center"/>
          </w:tcPr>
          <w:p w:rsidR="00A32067" w:rsidRPr="0002085C" w:rsidRDefault="00A32067" w:rsidP="0002085C">
            <w:pPr>
              <w:jc w:val="center"/>
              <w:rPr>
                <w:color w:val="FF0000"/>
                <w:sz w:val="22"/>
                <w:szCs w:val="22"/>
              </w:rPr>
            </w:pPr>
            <w:r w:rsidRPr="0002085C">
              <w:rPr>
                <w:rFonts w:cs="宋体" w:hint="eastAsia"/>
                <w:color w:val="FF0000"/>
                <w:sz w:val="22"/>
                <w:szCs w:val="22"/>
              </w:rPr>
              <w:t xml:space="preserve">　</w:t>
            </w:r>
          </w:p>
        </w:tc>
        <w:tc>
          <w:tcPr>
            <w:tcW w:w="738" w:type="dxa"/>
            <w:vMerge w:val="restart"/>
            <w:vAlign w:val="center"/>
          </w:tcPr>
          <w:p w:rsidR="00A32067" w:rsidRPr="0002085C" w:rsidRDefault="00A32067" w:rsidP="0002085C">
            <w:pPr>
              <w:jc w:val="center"/>
              <w:rPr>
                <w:color w:val="FF0000"/>
                <w:sz w:val="22"/>
                <w:szCs w:val="22"/>
              </w:rPr>
            </w:pPr>
            <w:r w:rsidRPr="0002085C">
              <w:rPr>
                <w:rFonts w:cs="宋体" w:hint="eastAsia"/>
                <w:color w:val="FF0000"/>
                <w:sz w:val="22"/>
                <w:szCs w:val="22"/>
              </w:rPr>
              <w:t xml:space="preserve">　</w:t>
            </w:r>
          </w:p>
        </w:tc>
      </w:tr>
      <w:tr w:rsidR="00A32067">
        <w:trPr>
          <w:trHeight w:val="3526"/>
        </w:trPr>
        <w:tc>
          <w:tcPr>
            <w:tcW w:w="582" w:type="dxa"/>
            <w:vMerge/>
            <w:vAlign w:val="center"/>
          </w:tcPr>
          <w:p w:rsidR="00A32067" w:rsidRPr="0002085C" w:rsidRDefault="00A32067" w:rsidP="0002085C">
            <w:pPr>
              <w:widowControl/>
              <w:jc w:val="center"/>
              <w:rPr>
                <w:sz w:val="22"/>
                <w:szCs w:val="22"/>
              </w:rPr>
            </w:pPr>
          </w:p>
        </w:tc>
        <w:tc>
          <w:tcPr>
            <w:tcW w:w="1293" w:type="dxa"/>
            <w:vMerge/>
            <w:vAlign w:val="center"/>
          </w:tcPr>
          <w:p w:rsidR="00A32067" w:rsidRPr="0002085C" w:rsidRDefault="00A32067" w:rsidP="0002085C">
            <w:pPr>
              <w:jc w:val="center"/>
              <w:rPr>
                <w:sz w:val="22"/>
                <w:szCs w:val="22"/>
              </w:rPr>
            </w:pPr>
          </w:p>
        </w:tc>
        <w:tc>
          <w:tcPr>
            <w:tcW w:w="3620" w:type="dxa"/>
            <w:vAlign w:val="center"/>
          </w:tcPr>
          <w:p w:rsidR="00A32067" w:rsidRPr="0002085C" w:rsidRDefault="00A32067" w:rsidP="0002085C">
            <w:pPr>
              <w:rPr>
                <w:sz w:val="22"/>
                <w:szCs w:val="22"/>
              </w:rPr>
            </w:pPr>
            <w:r w:rsidRPr="0002085C">
              <w:rPr>
                <w:rFonts w:cs="宋体" w:hint="eastAsia"/>
                <w:sz w:val="22"/>
                <w:szCs w:val="22"/>
              </w:rPr>
              <w:t>建设单位临时设施费是指建设单位为满足工程项目建设、生活、办公的需要，用于临时设施建设、维修、租赁、使用所发生或摊销的费用。包括建设单位所需的临时宿舍、文化福利及公用事业房屋与构筑物、仓库、办公室、工厂以及规定范围内的道路、水、电、气、管线等临时设施和小型临时设施</w:t>
            </w:r>
          </w:p>
        </w:tc>
        <w:tc>
          <w:tcPr>
            <w:tcW w:w="6804" w:type="dxa"/>
            <w:vMerge/>
            <w:vAlign w:val="center"/>
          </w:tcPr>
          <w:p w:rsidR="00A32067" w:rsidRPr="0002085C" w:rsidRDefault="00A32067" w:rsidP="0002085C">
            <w:pPr>
              <w:widowControl/>
              <w:jc w:val="center"/>
              <w:rPr>
                <w:sz w:val="22"/>
                <w:szCs w:val="22"/>
              </w:rPr>
            </w:pPr>
          </w:p>
        </w:tc>
        <w:tc>
          <w:tcPr>
            <w:tcW w:w="1751" w:type="dxa"/>
            <w:vMerge/>
            <w:vAlign w:val="center"/>
          </w:tcPr>
          <w:p w:rsidR="00A32067" w:rsidRPr="0002085C" w:rsidRDefault="00A32067" w:rsidP="0002085C">
            <w:pPr>
              <w:widowControl/>
              <w:jc w:val="center"/>
              <w:rPr>
                <w:b/>
                <w:bCs/>
                <w:sz w:val="22"/>
                <w:szCs w:val="22"/>
              </w:rPr>
            </w:pPr>
          </w:p>
        </w:tc>
        <w:tc>
          <w:tcPr>
            <w:tcW w:w="738" w:type="dxa"/>
            <w:vMerge/>
            <w:vAlign w:val="center"/>
          </w:tcPr>
          <w:p w:rsidR="00A32067" w:rsidRPr="0002085C" w:rsidRDefault="00A32067" w:rsidP="0002085C">
            <w:pPr>
              <w:widowControl/>
              <w:jc w:val="center"/>
              <w:rPr>
                <w:b/>
                <w:bCs/>
                <w:sz w:val="22"/>
                <w:szCs w:val="22"/>
              </w:rPr>
            </w:pPr>
          </w:p>
        </w:tc>
      </w:tr>
    </w:tbl>
    <w:p w:rsidR="00A32067" w:rsidRDefault="00A32067">
      <w:pPr>
        <w:widowControl/>
        <w:jc w:val="left"/>
        <w:rPr>
          <w:sz w:val="22"/>
          <w:szCs w:val="22"/>
        </w:rPr>
      </w:pPr>
    </w:p>
    <w:p w:rsidR="00A32067" w:rsidRDefault="00A32067">
      <w:pPr>
        <w:widowControl/>
        <w:jc w:val="left"/>
        <w:rPr>
          <w:sz w:val="22"/>
          <w:szCs w:val="22"/>
        </w:rPr>
      </w:pPr>
    </w:p>
    <w:p w:rsidR="00A32067" w:rsidRDefault="00A32067">
      <w:pPr>
        <w:widowControl/>
        <w:jc w:val="left"/>
      </w:pPr>
    </w:p>
    <w:p w:rsidR="00A32067" w:rsidRDefault="00A32067">
      <w:pPr>
        <w:widowControl/>
        <w:jc w:val="center"/>
      </w:pPr>
      <w:r>
        <w:br w:type="page"/>
      </w:r>
    </w:p>
    <w:p w:rsidR="00A32067" w:rsidRDefault="00A32067">
      <w:pPr>
        <w:widowControl/>
        <w:jc w:val="center"/>
      </w:pPr>
    </w:p>
    <w:p w:rsidR="00A32067" w:rsidRDefault="00A32067">
      <w:pPr>
        <w:widowControl/>
        <w:jc w:val="center"/>
      </w:pPr>
      <w:r>
        <w:rPr>
          <w:rFonts w:cs="宋体" w:hint="eastAsia"/>
          <w:b/>
          <w:bCs/>
          <w:sz w:val="36"/>
          <w:szCs w:val="36"/>
        </w:rPr>
        <w:t>河北省建设项目概算其它费用的内容、标准及计算依据和方法</w:t>
      </w:r>
    </w:p>
    <w:tbl>
      <w:tblPr>
        <w:tblpPr w:leftFromText="180" w:rightFromText="180" w:vertAnchor="page" w:horzAnchor="page" w:tblpX="1124" w:tblpY="2435"/>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2"/>
        <w:gridCol w:w="1293"/>
        <w:gridCol w:w="3620"/>
        <w:gridCol w:w="6804"/>
        <w:gridCol w:w="1751"/>
        <w:gridCol w:w="738"/>
      </w:tblGrid>
      <w:tr w:rsidR="00A32067">
        <w:trPr>
          <w:trHeight w:val="411"/>
        </w:trPr>
        <w:tc>
          <w:tcPr>
            <w:tcW w:w="582"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293"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362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6804"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1751"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738"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6797"/>
        </w:trPr>
        <w:tc>
          <w:tcPr>
            <w:tcW w:w="582" w:type="dxa"/>
            <w:vAlign w:val="center"/>
          </w:tcPr>
          <w:p w:rsidR="00A32067" w:rsidRPr="0002085C" w:rsidRDefault="00A32067" w:rsidP="0002085C">
            <w:pPr>
              <w:jc w:val="center"/>
              <w:rPr>
                <w:sz w:val="22"/>
                <w:szCs w:val="22"/>
              </w:rPr>
            </w:pPr>
            <w:r w:rsidRPr="0002085C">
              <w:rPr>
                <w:sz w:val="22"/>
                <w:szCs w:val="22"/>
              </w:rPr>
              <w:t>3</w:t>
            </w:r>
          </w:p>
        </w:tc>
        <w:tc>
          <w:tcPr>
            <w:tcW w:w="1293" w:type="dxa"/>
            <w:vAlign w:val="center"/>
          </w:tcPr>
          <w:p w:rsidR="00A32067" w:rsidRPr="0002085C" w:rsidRDefault="00A32067" w:rsidP="0002085C">
            <w:pPr>
              <w:jc w:val="center"/>
              <w:rPr>
                <w:sz w:val="22"/>
                <w:szCs w:val="22"/>
              </w:rPr>
            </w:pPr>
            <w:r w:rsidRPr="0002085C">
              <w:rPr>
                <w:rFonts w:cs="宋体" w:hint="eastAsia"/>
                <w:sz w:val="22"/>
                <w:szCs w:val="22"/>
              </w:rPr>
              <w:t>建设项目前期工作咨询费</w:t>
            </w:r>
          </w:p>
        </w:tc>
        <w:tc>
          <w:tcPr>
            <w:tcW w:w="3620" w:type="dxa"/>
            <w:vAlign w:val="center"/>
          </w:tcPr>
          <w:p w:rsidR="00A32067" w:rsidRPr="0002085C" w:rsidRDefault="00A32067" w:rsidP="0002085C">
            <w:pPr>
              <w:rPr>
                <w:sz w:val="22"/>
                <w:szCs w:val="22"/>
              </w:rPr>
            </w:pPr>
            <w:r w:rsidRPr="0002085C">
              <w:rPr>
                <w:rFonts w:cs="宋体" w:hint="eastAsia"/>
                <w:sz w:val="22"/>
                <w:szCs w:val="22"/>
              </w:rPr>
              <w:t>指建设项目前期工作的咨询收费，包括：建设项目申请审批、核准或备案的“可行性研究报告”、</w:t>
            </w:r>
            <w:r w:rsidRPr="0002085C">
              <w:rPr>
                <w:sz w:val="22"/>
                <w:szCs w:val="22"/>
              </w:rPr>
              <w:t>“</w:t>
            </w:r>
            <w:r w:rsidRPr="0002085C">
              <w:rPr>
                <w:rFonts w:cs="宋体" w:hint="eastAsia"/>
                <w:sz w:val="22"/>
                <w:szCs w:val="22"/>
              </w:rPr>
              <w:t>项目申请报告</w:t>
            </w:r>
            <w:r w:rsidRPr="0002085C">
              <w:rPr>
                <w:sz w:val="22"/>
                <w:szCs w:val="22"/>
              </w:rPr>
              <w:t>”</w:t>
            </w:r>
            <w:r w:rsidRPr="0002085C">
              <w:rPr>
                <w:rFonts w:cs="宋体" w:hint="eastAsia"/>
                <w:sz w:val="22"/>
                <w:szCs w:val="22"/>
              </w:rPr>
              <w:t>、“项目简介”的编制，地质灾害评价、防洪评价、节能报告、社会稳定风险分析报告的编制等其它与建设项目前期工作有关的咨询服务、调研费用</w:t>
            </w:r>
          </w:p>
        </w:tc>
        <w:tc>
          <w:tcPr>
            <w:tcW w:w="6804" w:type="dxa"/>
          </w:tcPr>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r>
              <w:rPr>
                <w:noProof/>
              </w:rPr>
              <w:pict>
                <v:shape id="图片 4" o:spid="_x0000_s1032" type="#_x0000_t75" alt="[K5KJ4G3SBC~E}IQ]~A4I$O" style="position:absolute;left:0;text-align:left;margin-left:4.55pt;margin-top:108.4pt;width:311.35pt;height:192.65pt;z-index:251651072">
                  <v:imagedata r:id="rId26" o:title=""/>
                </v:shape>
              </w:pict>
            </w:r>
            <w:r w:rsidRPr="0002085C">
              <w:rPr>
                <w:rFonts w:cs="宋体" w:hint="eastAsia"/>
                <w:sz w:val="22"/>
                <w:szCs w:val="22"/>
              </w:rPr>
              <w:t>建设项目前期工作咨询费以建设项目估算投资额为计算基础。该项收费市场化，计算该部分费用时可以参考国家计委《关于印发〈建设项目前期工作咨询收费暂行规定〉的通知》（计价格</w:t>
            </w:r>
            <w:r w:rsidRPr="0002085C">
              <w:rPr>
                <w:sz w:val="22"/>
                <w:szCs w:val="22"/>
              </w:rPr>
              <w:t>[1999]1283</w:t>
            </w:r>
            <w:r w:rsidRPr="0002085C">
              <w:rPr>
                <w:rFonts w:cs="宋体" w:hint="eastAsia"/>
                <w:sz w:val="22"/>
                <w:szCs w:val="22"/>
              </w:rPr>
              <w:t>号）、省物价局、省计委冀价经费字</w:t>
            </w:r>
            <w:r w:rsidRPr="0002085C">
              <w:rPr>
                <w:sz w:val="22"/>
                <w:szCs w:val="22"/>
              </w:rPr>
              <w:t>[2000]10</w:t>
            </w:r>
            <w:r w:rsidRPr="0002085C">
              <w:rPr>
                <w:rFonts w:cs="宋体" w:hint="eastAsia"/>
                <w:sz w:val="22"/>
                <w:szCs w:val="22"/>
              </w:rPr>
              <w:t>号文的价格，并结合市场价进行计算</w:t>
            </w:r>
          </w:p>
        </w:tc>
        <w:tc>
          <w:tcPr>
            <w:tcW w:w="1751" w:type="dxa"/>
            <w:vAlign w:val="center"/>
          </w:tcPr>
          <w:p w:rsidR="00A32067" w:rsidRPr="0002085C" w:rsidRDefault="00A32067" w:rsidP="0002085C">
            <w:pPr>
              <w:rPr>
                <w:sz w:val="22"/>
                <w:szCs w:val="22"/>
              </w:rPr>
            </w:pPr>
            <w:r w:rsidRPr="0002085C">
              <w:rPr>
                <w:rFonts w:cs="宋体" w:hint="eastAsia"/>
                <w:sz w:val="22"/>
                <w:szCs w:val="22"/>
              </w:rPr>
              <w:t>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号文</w:t>
            </w:r>
          </w:p>
        </w:tc>
        <w:tc>
          <w:tcPr>
            <w:tcW w:w="738"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bl>
    <w:p w:rsidR="00A32067" w:rsidRDefault="00A32067">
      <w:pPr>
        <w:widowControl/>
        <w:jc w:val="left"/>
      </w:pPr>
    </w:p>
    <w:p w:rsidR="00A32067" w:rsidRDefault="00A32067">
      <w:pPr>
        <w:widowControl/>
        <w:jc w:val="left"/>
        <w:rPr>
          <w:b/>
          <w:bCs/>
          <w:sz w:val="36"/>
          <w:szCs w:val="36"/>
        </w:rPr>
      </w:pPr>
    </w:p>
    <w:p w:rsidR="00A32067" w:rsidRDefault="00A32067">
      <w:pPr>
        <w:widowControl/>
        <w:jc w:val="left"/>
        <w:rPr>
          <w:b/>
          <w:bCs/>
          <w:sz w:val="36"/>
          <w:szCs w:val="36"/>
        </w:rPr>
      </w:pPr>
      <w:r>
        <w:rPr>
          <w:b/>
          <w:bCs/>
          <w:sz w:val="36"/>
          <w:szCs w:val="36"/>
        </w:rPr>
        <w:br w:type="page"/>
      </w:r>
    </w:p>
    <w:p w:rsidR="00A32067" w:rsidRDefault="00A32067">
      <w:pPr>
        <w:widowControl/>
        <w:jc w:val="left"/>
        <w:rPr>
          <w:b/>
          <w:bCs/>
          <w:sz w:val="36"/>
          <w:szCs w:val="36"/>
        </w:rPr>
      </w:pPr>
    </w:p>
    <w:p w:rsidR="00A32067" w:rsidRDefault="00A32067">
      <w:pPr>
        <w:widowControl/>
        <w:jc w:val="center"/>
        <w:rPr>
          <w:b/>
          <w:bCs/>
          <w:sz w:val="36"/>
          <w:szCs w:val="36"/>
        </w:rPr>
      </w:pPr>
      <w:r>
        <w:rPr>
          <w:rFonts w:cs="宋体" w:hint="eastAsia"/>
          <w:b/>
          <w:bCs/>
          <w:sz w:val="36"/>
          <w:szCs w:val="36"/>
        </w:rPr>
        <w:t>河北省建设项目概算其它费用的内容、标准及计算依据和方法</w:t>
      </w:r>
    </w:p>
    <w:tbl>
      <w:tblPr>
        <w:tblpPr w:leftFromText="180" w:rightFromText="180" w:vertAnchor="page" w:horzAnchor="page" w:tblpX="1124" w:tblpY="2332"/>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110"/>
        <w:gridCol w:w="3969"/>
        <w:gridCol w:w="3544"/>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11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3969"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544"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3819"/>
        </w:trPr>
        <w:tc>
          <w:tcPr>
            <w:tcW w:w="675" w:type="dxa"/>
            <w:vAlign w:val="center"/>
          </w:tcPr>
          <w:p w:rsidR="00A32067" w:rsidRPr="0002085C" w:rsidRDefault="00A32067" w:rsidP="0002085C">
            <w:pPr>
              <w:jc w:val="center"/>
              <w:rPr>
                <w:sz w:val="22"/>
                <w:szCs w:val="22"/>
              </w:rPr>
            </w:pPr>
            <w:r w:rsidRPr="0002085C">
              <w:rPr>
                <w:sz w:val="22"/>
                <w:szCs w:val="22"/>
              </w:rPr>
              <w:t>4</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环境影响咨询费</w:t>
            </w:r>
          </w:p>
        </w:tc>
        <w:tc>
          <w:tcPr>
            <w:tcW w:w="4110" w:type="dxa"/>
            <w:vAlign w:val="center"/>
          </w:tcPr>
          <w:p w:rsidR="00A32067" w:rsidRPr="0002085C" w:rsidRDefault="00A32067" w:rsidP="0002085C">
            <w:pPr>
              <w:rPr>
                <w:sz w:val="22"/>
                <w:szCs w:val="22"/>
              </w:rPr>
            </w:pPr>
            <w:r w:rsidRPr="0002085C">
              <w:rPr>
                <w:rFonts w:cs="宋体" w:hint="eastAsia"/>
                <w:sz w:val="22"/>
                <w:szCs w:val="22"/>
              </w:rPr>
              <w:t>在工程项目投资决策过程中，对其进行环境污染或影响评价所需的费用。环境影响评价费指按照《中华人民共和国环境保护法》、《中华人民共和国环境影响评价法》等规定，为全面、详细评价建设项目对环境可能产生的污染或造成的重大影响所需的费用，包括编制环境影响报告书（含大纲），环境影响报告表进行评估等所需的费用</w:t>
            </w:r>
          </w:p>
        </w:tc>
        <w:tc>
          <w:tcPr>
            <w:tcW w:w="3969" w:type="dxa"/>
            <w:vAlign w:val="center"/>
          </w:tcPr>
          <w:p w:rsidR="00A32067" w:rsidRPr="0002085C" w:rsidRDefault="00A32067" w:rsidP="0002085C">
            <w:pPr>
              <w:rPr>
                <w:sz w:val="22"/>
                <w:szCs w:val="22"/>
              </w:rPr>
            </w:pPr>
            <w:r w:rsidRPr="0002085C">
              <w:rPr>
                <w:rFonts w:cs="宋体" w:hint="eastAsia"/>
                <w:sz w:val="22"/>
                <w:szCs w:val="22"/>
              </w:rPr>
              <w:t>依据国家发展改革委《关于进一步放开建设项目专业服务价格的通知》（发改价格〔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号），服务价格市场化，应依据环境影响评价委托合同计算</w:t>
            </w:r>
          </w:p>
        </w:tc>
        <w:tc>
          <w:tcPr>
            <w:tcW w:w="3544" w:type="dxa"/>
            <w:vAlign w:val="center"/>
          </w:tcPr>
          <w:p w:rsidR="00A32067" w:rsidRPr="0002085C" w:rsidRDefault="00A32067" w:rsidP="0002085C">
            <w:pPr>
              <w:rPr>
                <w:sz w:val="22"/>
                <w:szCs w:val="22"/>
              </w:rPr>
            </w:pPr>
            <w:r w:rsidRPr="0002085C">
              <w:rPr>
                <w:rFonts w:cs="宋体" w:hint="eastAsia"/>
                <w:sz w:val="22"/>
                <w:szCs w:val="22"/>
              </w:rPr>
              <w:t>《国务院关于修改</w:t>
            </w:r>
            <w:r w:rsidRPr="0002085C">
              <w:rPr>
                <w:sz w:val="22"/>
                <w:szCs w:val="22"/>
              </w:rPr>
              <w:t>&lt;</w:t>
            </w:r>
            <w:r w:rsidRPr="0002085C">
              <w:rPr>
                <w:rFonts w:cs="宋体" w:hint="eastAsia"/>
                <w:sz w:val="22"/>
                <w:szCs w:val="22"/>
              </w:rPr>
              <w:t>建设项目环境保护管理条例</w:t>
            </w:r>
            <w:r w:rsidRPr="0002085C">
              <w:rPr>
                <w:sz w:val="22"/>
                <w:szCs w:val="22"/>
              </w:rPr>
              <w:t>&gt;</w:t>
            </w:r>
            <w:r w:rsidRPr="0002085C">
              <w:rPr>
                <w:rFonts w:cs="宋体" w:hint="eastAsia"/>
                <w:sz w:val="22"/>
                <w:szCs w:val="22"/>
              </w:rPr>
              <w:t>的决定》中华人民共和国国务院令第</w:t>
            </w:r>
            <w:r w:rsidRPr="0002085C">
              <w:rPr>
                <w:sz w:val="22"/>
                <w:szCs w:val="22"/>
              </w:rPr>
              <w:t>682</w:t>
            </w:r>
            <w:r w:rsidRPr="0002085C">
              <w:rPr>
                <w:rFonts w:cs="宋体" w:hint="eastAsia"/>
                <w:sz w:val="22"/>
                <w:szCs w:val="22"/>
              </w:rPr>
              <w:t>号；《中华人民共和国环境保护法》；国家计委、国家环境保护总局《关于规范环境影响咨询收费有关问题的通知》（计价格</w:t>
            </w:r>
            <w:r w:rsidRPr="0002085C">
              <w:rPr>
                <w:sz w:val="22"/>
                <w:szCs w:val="22"/>
              </w:rPr>
              <w:t>[2002]125</w:t>
            </w:r>
            <w:r w:rsidRPr="0002085C">
              <w:rPr>
                <w:rFonts w:cs="宋体" w:hint="eastAsia"/>
                <w:sz w:val="22"/>
                <w:szCs w:val="22"/>
              </w:rPr>
              <w:t>号）；国家发展改革委关于进一步放开建设项目专业服务价格的通知》发改价格〔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号文</w:t>
            </w:r>
          </w:p>
        </w:tc>
        <w:tc>
          <w:tcPr>
            <w:tcW w:w="930" w:type="dxa"/>
            <w:vAlign w:val="center"/>
          </w:tcPr>
          <w:p w:rsidR="00A32067" w:rsidRPr="0002085C" w:rsidRDefault="00A32067" w:rsidP="0002085C">
            <w:pPr>
              <w:rPr>
                <w:color w:val="FF0000"/>
                <w:sz w:val="18"/>
                <w:szCs w:val="18"/>
              </w:rPr>
            </w:pPr>
            <w:r w:rsidRPr="0002085C">
              <w:rPr>
                <w:rFonts w:cs="宋体" w:hint="eastAsia"/>
                <w:color w:val="FF0000"/>
                <w:sz w:val="18"/>
                <w:szCs w:val="18"/>
              </w:rPr>
              <w:t xml:space="preserve">　</w:t>
            </w:r>
          </w:p>
        </w:tc>
      </w:tr>
      <w:tr w:rsidR="00A32067">
        <w:trPr>
          <w:trHeight w:val="3121"/>
        </w:trPr>
        <w:tc>
          <w:tcPr>
            <w:tcW w:w="675" w:type="dxa"/>
            <w:vAlign w:val="center"/>
          </w:tcPr>
          <w:p w:rsidR="00A32067" w:rsidRPr="0002085C" w:rsidRDefault="00A32067" w:rsidP="0002085C">
            <w:pPr>
              <w:jc w:val="center"/>
              <w:rPr>
                <w:sz w:val="22"/>
                <w:szCs w:val="22"/>
              </w:rPr>
            </w:pPr>
            <w:r w:rsidRPr="0002085C">
              <w:rPr>
                <w:sz w:val="22"/>
                <w:szCs w:val="22"/>
              </w:rPr>
              <w:t>5</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劳动安全卫生评价费</w:t>
            </w:r>
          </w:p>
        </w:tc>
        <w:tc>
          <w:tcPr>
            <w:tcW w:w="4110" w:type="dxa"/>
            <w:vAlign w:val="center"/>
          </w:tcPr>
          <w:p w:rsidR="00A32067" w:rsidRPr="0002085C" w:rsidRDefault="00A32067" w:rsidP="0002085C">
            <w:pPr>
              <w:rPr>
                <w:sz w:val="22"/>
                <w:szCs w:val="22"/>
              </w:rPr>
            </w:pPr>
            <w:r w:rsidRPr="0002085C">
              <w:rPr>
                <w:rFonts w:cs="宋体" w:hint="eastAsia"/>
                <w:sz w:val="22"/>
                <w:szCs w:val="22"/>
              </w:rPr>
              <w:t>在工程项目投资决策过程中，为编制劳动安全卫生评价报告所需的费用。包括：编制建设项目劳动安全卫生预评价大纲和劳动安全卫生预评价报告证书以及为编制上述文件所进行的工程分析和环境现状调查等所需的费用</w:t>
            </w:r>
          </w:p>
        </w:tc>
        <w:tc>
          <w:tcPr>
            <w:tcW w:w="3969" w:type="dxa"/>
            <w:vAlign w:val="center"/>
          </w:tcPr>
          <w:p w:rsidR="00A32067" w:rsidRPr="0002085C" w:rsidRDefault="00A32067" w:rsidP="0002085C">
            <w:pPr>
              <w:rPr>
                <w:sz w:val="22"/>
                <w:szCs w:val="22"/>
              </w:rPr>
            </w:pPr>
            <w:r w:rsidRPr="0002085C">
              <w:rPr>
                <w:rFonts w:cs="宋体" w:hint="eastAsia"/>
                <w:sz w:val="22"/>
                <w:szCs w:val="22"/>
              </w:rPr>
              <w:t>按国家、省政府部门发布的现行标准规定和劳动安全卫生预评价委托合同计列，或按工程费用（包括建筑安装工程费和设备购置费）的</w:t>
            </w:r>
            <w:r w:rsidRPr="0002085C">
              <w:rPr>
                <w:sz w:val="22"/>
                <w:szCs w:val="22"/>
              </w:rPr>
              <w:t>0.1%</w:t>
            </w:r>
            <w:r w:rsidRPr="0002085C">
              <w:rPr>
                <w:rFonts w:cs="宋体" w:hint="eastAsia"/>
                <w:sz w:val="22"/>
                <w:szCs w:val="22"/>
              </w:rPr>
              <w:t>～</w:t>
            </w:r>
            <w:r w:rsidRPr="0002085C">
              <w:rPr>
                <w:sz w:val="22"/>
                <w:szCs w:val="22"/>
              </w:rPr>
              <w:t>0.5%</w:t>
            </w:r>
            <w:r w:rsidRPr="0002085C">
              <w:rPr>
                <w:rFonts w:cs="宋体" w:hint="eastAsia"/>
                <w:sz w:val="22"/>
                <w:szCs w:val="22"/>
              </w:rPr>
              <w:t>估列</w:t>
            </w:r>
          </w:p>
        </w:tc>
        <w:tc>
          <w:tcPr>
            <w:tcW w:w="3544" w:type="dxa"/>
            <w:vAlign w:val="center"/>
          </w:tcPr>
          <w:p w:rsidR="00A32067" w:rsidRPr="0002085C" w:rsidRDefault="00A32067" w:rsidP="0002085C">
            <w:pPr>
              <w:rPr>
                <w:sz w:val="22"/>
                <w:szCs w:val="22"/>
              </w:rPr>
            </w:pPr>
            <w:r w:rsidRPr="0002085C">
              <w:rPr>
                <w:rFonts w:cs="宋体" w:hint="eastAsia"/>
                <w:sz w:val="22"/>
                <w:szCs w:val="22"/>
              </w:rPr>
              <w:t>劳动部《建设项目（工程）劳动安全卫生监察规定》；《建设项目（工程）劳动安全卫生预评价管理办法》</w:t>
            </w:r>
          </w:p>
        </w:tc>
        <w:tc>
          <w:tcPr>
            <w:tcW w:w="930" w:type="dxa"/>
            <w:vAlign w:val="center"/>
          </w:tcPr>
          <w:p w:rsidR="00A32067" w:rsidRPr="0002085C" w:rsidRDefault="00A32067" w:rsidP="0002085C">
            <w:pPr>
              <w:rPr>
                <w:color w:val="FF0000"/>
                <w:sz w:val="18"/>
                <w:szCs w:val="18"/>
              </w:rPr>
            </w:pPr>
            <w:r w:rsidRPr="0002085C">
              <w:rPr>
                <w:rFonts w:cs="宋体" w:hint="eastAsia"/>
                <w:color w:val="FF0000"/>
                <w:sz w:val="18"/>
                <w:szCs w:val="18"/>
              </w:rPr>
              <w:t xml:space="preserve">　</w:t>
            </w:r>
          </w:p>
        </w:tc>
      </w:tr>
    </w:tbl>
    <w:p w:rsidR="00A32067" w:rsidRDefault="00A32067">
      <w:pPr>
        <w:widowControl/>
        <w:jc w:val="center"/>
        <w:rPr>
          <w:b/>
          <w:bCs/>
          <w:sz w:val="36"/>
          <w:szCs w:val="36"/>
        </w:rPr>
      </w:pPr>
    </w:p>
    <w:p w:rsidR="00A32067" w:rsidRDefault="00A32067">
      <w:pPr>
        <w:widowControl/>
        <w:jc w:val="left"/>
        <w:rPr>
          <w:b/>
          <w:bCs/>
          <w:sz w:val="36"/>
          <w:szCs w:val="36"/>
        </w:rPr>
      </w:pPr>
      <w:r>
        <w:rPr>
          <w:b/>
          <w:bCs/>
          <w:sz w:val="36"/>
          <w:szCs w:val="36"/>
        </w:rPr>
        <w:br w:type="page"/>
      </w:r>
    </w:p>
    <w:p w:rsidR="00A32067" w:rsidRDefault="00A32067">
      <w:pPr>
        <w:widowControl/>
        <w:jc w:val="center"/>
        <w:rPr>
          <w:b/>
          <w:bCs/>
          <w:sz w:val="36"/>
          <w:szCs w:val="36"/>
        </w:rPr>
      </w:pPr>
    </w:p>
    <w:p w:rsidR="00A32067" w:rsidRDefault="00A32067">
      <w:pPr>
        <w:widowControl/>
        <w:jc w:val="center"/>
        <w:rPr>
          <w:b/>
          <w:bCs/>
          <w:sz w:val="36"/>
          <w:szCs w:val="36"/>
        </w:rPr>
      </w:pPr>
      <w:r>
        <w:rPr>
          <w:rFonts w:cs="宋体" w:hint="eastAsia"/>
          <w:b/>
          <w:bCs/>
          <w:sz w:val="36"/>
          <w:szCs w:val="36"/>
        </w:rPr>
        <w:t>河北省建设项目概算其它费用的内容、标准及计算依据和方法</w:t>
      </w:r>
    </w:p>
    <w:tbl>
      <w:tblPr>
        <w:tblpPr w:leftFromText="180" w:rightFromText="180" w:vertAnchor="page" w:horzAnchor="margin" w:tblpY="2776"/>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3260"/>
        <w:gridCol w:w="5670"/>
        <w:gridCol w:w="2693"/>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326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5670"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2693"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7363"/>
        </w:trPr>
        <w:tc>
          <w:tcPr>
            <w:tcW w:w="675" w:type="dxa"/>
            <w:vAlign w:val="center"/>
          </w:tcPr>
          <w:p w:rsidR="00A32067" w:rsidRPr="0002085C" w:rsidRDefault="00A32067" w:rsidP="0002085C">
            <w:pPr>
              <w:jc w:val="center"/>
              <w:rPr>
                <w:sz w:val="22"/>
                <w:szCs w:val="22"/>
              </w:rPr>
            </w:pPr>
            <w:r w:rsidRPr="0002085C">
              <w:rPr>
                <w:sz w:val="22"/>
                <w:szCs w:val="22"/>
              </w:rPr>
              <w:t>6</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工程勘察设计费</w:t>
            </w:r>
          </w:p>
        </w:tc>
        <w:tc>
          <w:tcPr>
            <w:tcW w:w="3260" w:type="dxa"/>
            <w:vAlign w:val="center"/>
          </w:tcPr>
          <w:p w:rsidR="00A32067" w:rsidRPr="0002085C" w:rsidRDefault="00A32067" w:rsidP="0002085C">
            <w:pPr>
              <w:rPr>
                <w:sz w:val="22"/>
                <w:szCs w:val="22"/>
              </w:rPr>
            </w:pPr>
            <w:r w:rsidRPr="0002085C">
              <w:rPr>
                <w:rFonts w:cs="宋体" w:hint="eastAsia"/>
                <w:sz w:val="22"/>
                <w:szCs w:val="22"/>
              </w:rPr>
              <w:t>勘察设计费：是指委托勘察设计单位为工程项目进行工程水文地质勘察、工程设计所发生的费用，以及在规定范围内由建设单位自行完成勘察、设计工作所需的费用</w:t>
            </w:r>
            <w:r w:rsidRPr="0002085C">
              <w:rPr>
                <w:sz w:val="22"/>
                <w:szCs w:val="22"/>
              </w:rPr>
              <w:br/>
            </w:r>
            <w:r w:rsidRPr="0002085C">
              <w:rPr>
                <w:rFonts w:cs="宋体" w:hint="eastAsia"/>
                <w:sz w:val="22"/>
                <w:szCs w:val="22"/>
              </w:rPr>
              <w:t>（</w:t>
            </w:r>
            <w:r w:rsidRPr="0002085C">
              <w:rPr>
                <w:sz w:val="22"/>
                <w:szCs w:val="22"/>
              </w:rPr>
              <w:t>1</w:t>
            </w:r>
            <w:r w:rsidRPr="0002085C">
              <w:rPr>
                <w:rFonts w:cs="宋体" w:hint="eastAsia"/>
                <w:sz w:val="22"/>
                <w:szCs w:val="22"/>
              </w:rPr>
              <w:t>）工程勘察费：指勘察单位根据建设单位委托，进行测绘、勘探、取样、试验、测试、检测等勘察作业，以及编制工程勘察文件和岩土工程设计文件等收取的费用</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）工程设计费：指设计单位根据建设单位委托，提供编制建设项目方案设计、初步设计（基础设计），施工图设计、竣工图设计、设计模型制作等所需的费用</w:t>
            </w:r>
          </w:p>
        </w:tc>
        <w:tc>
          <w:tcPr>
            <w:tcW w:w="5670" w:type="dxa"/>
          </w:tcPr>
          <w:p w:rsidR="00A32067" w:rsidRPr="0002085C" w:rsidRDefault="00A32067" w:rsidP="0002085C">
            <w:pPr>
              <w:rPr>
                <w:sz w:val="22"/>
                <w:szCs w:val="22"/>
              </w:rPr>
            </w:pPr>
          </w:p>
          <w:p w:rsidR="00A32067" w:rsidRPr="0002085C" w:rsidRDefault="00A32067" w:rsidP="0002085C">
            <w:pPr>
              <w:rPr>
                <w:sz w:val="22"/>
                <w:szCs w:val="22"/>
              </w:rPr>
            </w:pPr>
            <w:r>
              <w:rPr>
                <w:noProof/>
              </w:rPr>
              <w:pict>
                <v:shape id="图片 5" o:spid="_x0000_s1033" type="#_x0000_t75" alt="_9X)8TVV@`S2PR_`8P%SKTU" style="position:absolute;left:0;text-align:left;margin-left:-2.15pt;margin-top:60.45pt;width:269.95pt;height:281.25pt;z-index:251652096">
                  <v:imagedata r:id="rId27" o:title=""/>
                </v:shape>
              </w:pict>
            </w:r>
            <w:r w:rsidRPr="0002085C">
              <w:rPr>
                <w:rFonts w:cs="宋体" w:hint="eastAsia"/>
                <w:sz w:val="22"/>
                <w:szCs w:val="22"/>
              </w:rPr>
              <w:t>依据国家发展改革委《关于进一步放开建设项目专业服务价格的通知》（发改价格〔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号），服务价格市场化，可依据委托合同计算，或参考下表计列</w:t>
            </w:r>
          </w:p>
        </w:tc>
        <w:tc>
          <w:tcPr>
            <w:tcW w:w="2693" w:type="dxa"/>
            <w:vAlign w:val="center"/>
          </w:tcPr>
          <w:p w:rsidR="00A32067" w:rsidRPr="0002085C" w:rsidRDefault="00A32067" w:rsidP="0002085C">
            <w:pPr>
              <w:rPr>
                <w:sz w:val="22"/>
                <w:szCs w:val="22"/>
              </w:rPr>
            </w:pPr>
            <w:r w:rsidRPr="0002085C">
              <w:rPr>
                <w:rFonts w:cs="宋体" w:hint="eastAsia"/>
                <w:sz w:val="22"/>
                <w:szCs w:val="22"/>
              </w:rPr>
              <w:t>《国家发展改革委关于进一步放开建设项目专业服务价格的通知发改价格〔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号；《关于建筑设计服务成本要素信息统计分析情况的通报》（中设协字</w:t>
            </w:r>
            <w:r w:rsidRPr="0002085C">
              <w:rPr>
                <w:sz w:val="22"/>
                <w:szCs w:val="22"/>
              </w:rPr>
              <w:t>[2016]89</w:t>
            </w:r>
            <w:r w:rsidRPr="0002085C">
              <w:rPr>
                <w:rFonts w:cs="宋体" w:hint="eastAsia"/>
                <w:sz w:val="22"/>
                <w:szCs w:val="22"/>
              </w:rPr>
              <w:t>号文）</w:t>
            </w:r>
          </w:p>
        </w:tc>
        <w:tc>
          <w:tcPr>
            <w:tcW w:w="930"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bl>
    <w:p w:rsidR="00A32067" w:rsidRDefault="00A32067">
      <w:pPr>
        <w:widowControl/>
        <w:jc w:val="left"/>
        <w:rPr>
          <w:b/>
          <w:bCs/>
          <w:sz w:val="36"/>
          <w:szCs w:val="36"/>
        </w:rPr>
      </w:pPr>
      <w:r>
        <w:rPr>
          <w:b/>
          <w:bCs/>
          <w:sz w:val="36"/>
          <w:szCs w:val="36"/>
        </w:rPr>
        <w:br w:type="page"/>
      </w:r>
    </w:p>
    <w:p w:rsidR="00A32067" w:rsidRDefault="00A32067">
      <w:pPr>
        <w:widowControl/>
        <w:jc w:val="center"/>
        <w:rPr>
          <w:b/>
          <w:bCs/>
          <w:sz w:val="36"/>
          <w:szCs w:val="36"/>
        </w:rPr>
      </w:pPr>
      <w:r>
        <w:rPr>
          <w:rFonts w:cs="宋体" w:hint="eastAsia"/>
          <w:b/>
          <w:bCs/>
          <w:sz w:val="36"/>
          <w:szCs w:val="36"/>
        </w:rPr>
        <w:t>河北省建设项目概算其它费用的内容、标准及计算依据和方法</w:t>
      </w:r>
    </w:p>
    <w:tbl>
      <w:tblPr>
        <w:tblpPr w:leftFromText="180" w:rightFromText="180" w:vertAnchor="page" w:horzAnchor="page" w:tblpX="1154" w:tblpY="2303"/>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252"/>
        <w:gridCol w:w="3969"/>
        <w:gridCol w:w="3402"/>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252"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3969"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402"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3819"/>
        </w:trPr>
        <w:tc>
          <w:tcPr>
            <w:tcW w:w="675" w:type="dxa"/>
            <w:vAlign w:val="center"/>
          </w:tcPr>
          <w:p w:rsidR="00A32067" w:rsidRPr="0002085C" w:rsidRDefault="00A32067" w:rsidP="0002085C">
            <w:pPr>
              <w:jc w:val="center"/>
              <w:rPr>
                <w:sz w:val="22"/>
                <w:szCs w:val="22"/>
              </w:rPr>
            </w:pPr>
            <w:r w:rsidRPr="0002085C">
              <w:rPr>
                <w:sz w:val="22"/>
                <w:szCs w:val="22"/>
              </w:rPr>
              <w:t>7</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施工图审查费</w:t>
            </w:r>
          </w:p>
        </w:tc>
        <w:tc>
          <w:tcPr>
            <w:tcW w:w="4252" w:type="dxa"/>
            <w:vAlign w:val="center"/>
          </w:tcPr>
          <w:p w:rsidR="00A32067" w:rsidRPr="0002085C" w:rsidRDefault="00A32067" w:rsidP="0002085C">
            <w:pPr>
              <w:rPr>
                <w:sz w:val="22"/>
                <w:szCs w:val="22"/>
              </w:rPr>
            </w:pPr>
            <w:r w:rsidRPr="0002085C">
              <w:rPr>
                <w:rFonts w:cs="宋体" w:hint="eastAsia"/>
                <w:sz w:val="22"/>
                <w:szCs w:val="22"/>
              </w:rPr>
              <w:t>指施工图审查机构接受建设单位委托，根据国家法律、法规、技术标准与规范，对施工图进行审查所需的费用。包括：对施工图进行结构安全和强制性标准、规范执行情况进行独立审查</w:t>
            </w:r>
          </w:p>
        </w:tc>
        <w:tc>
          <w:tcPr>
            <w:tcW w:w="3969" w:type="dxa"/>
            <w:vAlign w:val="center"/>
          </w:tcPr>
          <w:p w:rsidR="00A32067" w:rsidRPr="0002085C" w:rsidRDefault="00A32067" w:rsidP="0002085C">
            <w:pPr>
              <w:rPr>
                <w:sz w:val="22"/>
                <w:szCs w:val="22"/>
              </w:rPr>
            </w:pPr>
            <w:r w:rsidRPr="0002085C">
              <w:rPr>
                <w:rFonts w:cs="宋体" w:hint="eastAsia"/>
                <w:sz w:val="22"/>
                <w:szCs w:val="22"/>
              </w:rPr>
              <w:t>以工程勘察设计收费为基准计费的，其收费标准应不高于工程勘察设计收费标准的</w:t>
            </w:r>
            <w:r w:rsidRPr="0002085C">
              <w:rPr>
                <w:sz w:val="22"/>
                <w:szCs w:val="22"/>
              </w:rPr>
              <w:t>6.5%</w:t>
            </w:r>
            <w:r w:rsidRPr="0002085C">
              <w:rPr>
                <w:rFonts w:cs="宋体" w:hint="eastAsia"/>
                <w:sz w:val="22"/>
                <w:szCs w:val="22"/>
              </w:rPr>
              <w:t>；以工程概</w:t>
            </w:r>
            <w:r w:rsidRPr="0002085C">
              <w:rPr>
                <w:sz w:val="22"/>
                <w:szCs w:val="22"/>
              </w:rPr>
              <w:t>(</w:t>
            </w:r>
            <w:r w:rsidRPr="0002085C">
              <w:rPr>
                <w:rFonts w:cs="宋体" w:hint="eastAsia"/>
                <w:sz w:val="22"/>
                <w:szCs w:val="22"/>
              </w:rPr>
              <w:t>预</w:t>
            </w:r>
            <w:r w:rsidRPr="0002085C">
              <w:rPr>
                <w:sz w:val="22"/>
                <w:szCs w:val="22"/>
              </w:rPr>
              <w:t>)</w:t>
            </w:r>
            <w:r w:rsidRPr="0002085C">
              <w:rPr>
                <w:rFonts w:cs="宋体" w:hint="eastAsia"/>
                <w:sz w:val="22"/>
                <w:szCs w:val="22"/>
              </w:rPr>
              <w:t>算投资额比率计费的，其收费标准应不高于工程概</w:t>
            </w:r>
            <w:r w:rsidRPr="0002085C">
              <w:rPr>
                <w:sz w:val="22"/>
                <w:szCs w:val="22"/>
              </w:rPr>
              <w:t>(</w:t>
            </w:r>
            <w:r w:rsidRPr="0002085C">
              <w:rPr>
                <w:rFonts w:cs="宋体" w:hint="eastAsia"/>
                <w:sz w:val="22"/>
                <w:szCs w:val="22"/>
              </w:rPr>
              <w:t>预</w:t>
            </w:r>
            <w:r w:rsidRPr="0002085C">
              <w:rPr>
                <w:sz w:val="22"/>
                <w:szCs w:val="22"/>
              </w:rPr>
              <w:t>)</w:t>
            </w:r>
            <w:r w:rsidRPr="0002085C">
              <w:rPr>
                <w:rFonts w:cs="宋体" w:hint="eastAsia"/>
                <w:sz w:val="22"/>
                <w:szCs w:val="22"/>
              </w:rPr>
              <w:t>算投资额的</w:t>
            </w:r>
            <w:r w:rsidRPr="0002085C">
              <w:rPr>
                <w:sz w:val="22"/>
                <w:szCs w:val="22"/>
              </w:rPr>
              <w:t>2‰</w:t>
            </w:r>
            <w:r w:rsidRPr="0002085C">
              <w:rPr>
                <w:rFonts w:cs="宋体" w:hint="eastAsia"/>
                <w:sz w:val="22"/>
                <w:szCs w:val="22"/>
              </w:rPr>
              <w:t>；按照建筑面积计费的，其收费标准应不高于</w:t>
            </w:r>
            <w:r w:rsidRPr="0002085C">
              <w:rPr>
                <w:sz w:val="22"/>
                <w:szCs w:val="22"/>
              </w:rPr>
              <w:t>2</w:t>
            </w:r>
            <w:r w:rsidRPr="0002085C">
              <w:rPr>
                <w:rFonts w:cs="宋体" w:hint="eastAsia"/>
                <w:sz w:val="22"/>
                <w:szCs w:val="22"/>
              </w:rPr>
              <w:t>元</w:t>
            </w:r>
            <w:r w:rsidRPr="0002085C">
              <w:rPr>
                <w:sz w:val="22"/>
                <w:szCs w:val="22"/>
              </w:rPr>
              <w:t>/</w:t>
            </w:r>
            <w:r w:rsidRPr="0002085C">
              <w:rPr>
                <w:rFonts w:cs="宋体" w:hint="eastAsia"/>
                <w:sz w:val="22"/>
                <w:szCs w:val="22"/>
              </w:rPr>
              <w:t>平方米</w:t>
            </w:r>
          </w:p>
        </w:tc>
        <w:tc>
          <w:tcPr>
            <w:tcW w:w="3402" w:type="dxa"/>
            <w:vAlign w:val="center"/>
          </w:tcPr>
          <w:p w:rsidR="00A32067" w:rsidRPr="0002085C" w:rsidRDefault="00A32067" w:rsidP="0002085C">
            <w:pPr>
              <w:rPr>
                <w:sz w:val="22"/>
                <w:szCs w:val="22"/>
              </w:rPr>
            </w:pPr>
            <w:r w:rsidRPr="0002085C">
              <w:rPr>
                <w:rFonts w:cs="宋体" w:hint="eastAsia"/>
                <w:sz w:val="22"/>
                <w:szCs w:val="22"/>
              </w:rPr>
              <w:t>《国家发展改革委关于降低部分建设项目收费标准规范收费行为等有关问题的通知》（发改价格</w:t>
            </w:r>
            <w:r w:rsidRPr="0002085C">
              <w:rPr>
                <w:sz w:val="22"/>
                <w:szCs w:val="22"/>
              </w:rPr>
              <w:t>[2011]534</w:t>
            </w:r>
            <w:r w:rsidRPr="0002085C">
              <w:rPr>
                <w:rFonts w:cs="宋体" w:hint="eastAsia"/>
                <w:sz w:val="22"/>
                <w:szCs w:val="22"/>
              </w:rPr>
              <w:t>号）</w:t>
            </w:r>
          </w:p>
        </w:tc>
        <w:tc>
          <w:tcPr>
            <w:tcW w:w="930" w:type="dxa"/>
            <w:vAlign w:val="center"/>
          </w:tcPr>
          <w:p w:rsidR="00A32067" w:rsidRPr="0002085C" w:rsidRDefault="00A32067" w:rsidP="0002085C">
            <w:pPr>
              <w:rPr>
                <w:color w:val="FF0000"/>
                <w:sz w:val="18"/>
                <w:szCs w:val="18"/>
              </w:rPr>
            </w:pPr>
            <w:r w:rsidRPr="0002085C">
              <w:rPr>
                <w:rFonts w:cs="宋体" w:hint="eastAsia"/>
                <w:color w:val="FF0000"/>
                <w:sz w:val="18"/>
                <w:szCs w:val="18"/>
              </w:rPr>
              <w:t xml:space="preserve">　</w:t>
            </w:r>
          </w:p>
        </w:tc>
      </w:tr>
      <w:tr w:rsidR="00A32067">
        <w:trPr>
          <w:trHeight w:val="3547"/>
        </w:trPr>
        <w:tc>
          <w:tcPr>
            <w:tcW w:w="675" w:type="dxa"/>
            <w:vAlign w:val="center"/>
          </w:tcPr>
          <w:p w:rsidR="00A32067" w:rsidRPr="0002085C" w:rsidRDefault="00A32067" w:rsidP="0002085C">
            <w:pPr>
              <w:jc w:val="center"/>
              <w:rPr>
                <w:sz w:val="22"/>
                <w:szCs w:val="22"/>
              </w:rPr>
            </w:pPr>
            <w:r w:rsidRPr="0002085C">
              <w:rPr>
                <w:sz w:val="22"/>
                <w:szCs w:val="22"/>
              </w:rPr>
              <w:t>8</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研究试验费</w:t>
            </w:r>
          </w:p>
        </w:tc>
        <w:tc>
          <w:tcPr>
            <w:tcW w:w="4252" w:type="dxa"/>
            <w:vAlign w:val="center"/>
          </w:tcPr>
          <w:p w:rsidR="00A32067" w:rsidRPr="0002085C" w:rsidRDefault="00A32067" w:rsidP="0002085C">
            <w:pPr>
              <w:rPr>
                <w:sz w:val="22"/>
                <w:szCs w:val="22"/>
              </w:rPr>
            </w:pPr>
            <w:r w:rsidRPr="0002085C">
              <w:rPr>
                <w:rFonts w:cs="宋体" w:hint="eastAsia"/>
                <w:sz w:val="22"/>
                <w:szCs w:val="22"/>
              </w:rPr>
              <w:t>为建设项目提供或验证设计数据、资料等进行必要的研究试验及按照相关规定在建设过程中必须进行试验、验证所需的费用。包括日照分析费、桩基及边坡支护检测费、深基坑监测费、沉降观测费、勘测定检费、材料检测费用、工程检验复测、空调系统检测、人防检测费、节能检测费、空气质量检测及防雷检测费、消防系统检测费、环保排污达标检测费等费用</w:t>
            </w:r>
          </w:p>
        </w:tc>
        <w:tc>
          <w:tcPr>
            <w:tcW w:w="3969" w:type="dxa"/>
            <w:vAlign w:val="center"/>
          </w:tcPr>
          <w:p w:rsidR="00A32067" w:rsidRPr="0002085C" w:rsidRDefault="00A32067" w:rsidP="0002085C">
            <w:pPr>
              <w:rPr>
                <w:sz w:val="22"/>
                <w:szCs w:val="22"/>
              </w:rPr>
            </w:pPr>
            <w:r w:rsidRPr="0002085C">
              <w:rPr>
                <w:rFonts w:cs="宋体" w:hint="eastAsia"/>
                <w:sz w:val="22"/>
                <w:szCs w:val="22"/>
              </w:rPr>
              <w:t>按实际计算，不包括应由科技三项费用（新产品试验费、中间试验费和重要科学研究补助费）开支的项目</w:t>
            </w:r>
          </w:p>
        </w:tc>
        <w:tc>
          <w:tcPr>
            <w:tcW w:w="3402" w:type="dxa"/>
            <w:vAlign w:val="center"/>
          </w:tcPr>
          <w:p w:rsidR="00A32067" w:rsidRPr="0002085C" w:rsidRDefault="00A32067" w:rsidP="0002085C">
            <w:pPr>
              <w:rPr>
                <w:sz w:val="22"/>
                <w:szCs w:val="22"/>
              </w:rPr>
            </w:pPr>
            <w:r w:rsidRPr="0002085C">
              <w:rPr>
                <w:rFonts w:cs="宋体" w:hint="eastAsia"/>
                <w:sz w:val="22"/>
                <w:szCs w:val="22"/>
              </w:rPr>
              <w:t xml:space="preserve">　</w:t>
            </w:r>
          </w:p>
        </w:tc>
        <w:tc>
          <w:tcPr>
            <w:tcW w:w="930" w:type="dxa"/>
            <w:vAlign w:val="center"/>
          </w:tcPr>
          <w:p w:rsidR="00A32067" w:rsidRPr="0002085C" w:rsidRDefault="00A32067" w:rsidP="0002085C">
            <w:pPr>
              <w:rPr>
                <w:color w:val="FF0000"/>
                <w:sz w:val="18"/>
                <w:szCs w:val="18"/>
              </w:rPr>
            </w:pPr>
            <w:r w:rsidRPr="0002085C">
              <w:rPr>
                <w:rFonts w:cs="宋体" w:hint="eastAsia"/>
                <w:color w:val="FF0000"/>
                <w:sz w:val="18"/>
                <w:szCs w:val="18"/>
              </w:rPr>
              <w:t xml:space="preserve">　</w:t>
            </w:r>
          </w:p>
        </w:tc>
      </w:tr>
    </w:tbl>
    <w:p w:rsidR="00A32067" w:rsidRDefault="00A32067">
      <w:pPr>
        <w:widowControl/>
        <w:jc w:val="left"/>
        <w:rPr>
          <w:b/>
          <w:bCs/>
          <w:sz w:val="36"/>
          <w:szCs w:val="36"/>
        </w:rPr>
      </w:pPr>
      <w:r>
        <w:rPr>
          <w:b/>
          <w:bCs/>
          <w:sz w:val="36"/>
          <w:szCs w:val="36"/>
        </w:rPr>
        <w:br w:type="page"/>
      </w:r>
    </w:p>
    <w:p w:rsidR="00A32067" w:rsidRDefault="00A32067">
      <w:pPr>
        <w:widowControl/>
        <w:jc w:val="center"/>
        <w:rPr>
          <w:b/>
          <w:bCs/>
          <w:sz w:val="36"/>
          <w:szCs w:val="36"/>
        </w:rPr>
      </w:pPr>
      <w:r>
        <w:rPr>
          <w:rFonts w:cs="宋体" w:hint="eastAsia"/>
          <w:b/>
          <w:bCs/>
          <w:sz w:val="36"/>
          <w:szCs w:val="36"/>
        </w:rPr>
        <w:t>河北省建设项目概算其它费用的内容、标准及计算依据和方法</w:t>
      </w:r>
    </w:p>
    <w:tbl>
      <w:tblPr>
        <w:tblpPr w:leftFromText="180" w:rightFromText="180" w:vertAnchor="page" w:horzAnchor="page" w:tblpX="1124" w:tblpY="193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3827"/>
        <w:gridCol w:w="4394"/>
        <w:gridCol w:w="3402"/>
        <w:gridCol w:w="709"/>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3827"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4394"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402"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709"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2118"/>
        </w:trPr>
        <w:tc>
          <w:tcPr>
            <w:tcW w:w="675" w:type="dxa"/>
            <w:vAlign w:val="center"/>
          </w:tcPr>
          <w:p w:rsidR="00A32067" w:rsidRPr="0002085C" w:rsidRDefault="00A32067" w:rsidP="0002085C">
            <w:pPr>
              <w:jc w:val="center"/>
              <w:rPr>
                <w:sz w:val="22"/>
                <w:szCs w:val="22"/>
              </w:rPr>
            </w:pPr>
            <w:r w:rsidRPr="0002085C">
              <w:rPr>
                <w:sz w:val="22"/>
                <w:szCs w:val="22"/>
              </w:rPr>
              <w:t>9</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工程造价咨询费</w:t>
            </w:r>
          </w:p>
        </w:tc>
        <w:tc>
          <w:tcPr>
            <w:tcW w:w="3827" w:type="dxa"/>
            <w:vAlign w:val="center"/>
          </w:tcPr>
          <w:p w:rsidR="00A32067" w:rsidRPr="0002085C" w:rsidRDefault="00A32067" w:rsidP="0002085C">
            <w:pPr>
              <w:rPr>
                <w:sz w:val="22"/>
                <w:szCs w:val="22"/>
              </w:rPr>
            </w:pPr>
            <w:r w:rsidRPr="0002085C">
              <w:rPr>
                <w:rFonts w:cs="宋体" w:hint="eastAsia"/>
                <w:sz w:val="22"/>
                <w:szCs w:val="22"/>
              </w:rPr>
              <w:t>指工程造价咨询人接受委托，编制与审核投资估算、设计概算、施工图预算、工程量清单、招标控制价、工程结算、竣工决算、后评价、司法技术鉴定等计价文件，以及从事建设各阶段造价管理的咨询服务或进行全过程造价咨询；出具相应工程造价成果文件等收取的费用</w:t>
            </w:r>
          </w:p>
        </w:tc>
        <w:tc>
          <w:tcPr>
            <w:tcW w:w="4394" w:type="dxa"/>
            <w:vAlign w:val="center"/>
          </w:tcPr>
          <w:p w:rsidR="00A32067" w:rsidRPr="0002085C" w:rsidRDefault="00A32067" w:rsidP="0002085C">
            <w:pPr>
              <w:rPr>
                <w:sz w:val="22"/>
                <w:szCs w:val="22"/>
              </w:rPr>
            </w:pPr>
            <w:r w:rsidRPr="0002085C">
              <w:rPr>
                <w:rFonts w:cs="宋体" w:hint="eastAsia"/>
                <w:sz w:val="22"/>
                <w:szCs w:val="22"/>
              </w:rPr>
              <w:t>该项服务价格市场化，可依据委托合同计算，或参考冀建市研</w:t>
            </w:r>
            <w:r w:rsidRPr="0002085C">
              <w:rPr>
                <w:sz w:val="22"/>
                <w:szCs w:val="22"/>
              </w:rPr>
              <w:t>[2017]2</w:t>
            </w:r>
            <w:r w:rsidRPr="0002085C">
              <w:rPr>
                <w:rFonts w:cs="宋体" w:hint="eastAsia"/>
                <w:sz w:val="22"/>
                <w:szCs w:val="22"/>
              </w:rPr>
              <w:t>号《河北省工程造价咨询服务收费管理暂行办法》计列</w:t>
            </w:r>
          </w:p>
        </w:tc>
        <w:tc>
          <w:tcPr>
            <w:tcW w:w="3402" w:type="dxa"/>
            <w:vAlign w:val="center"/>
          </w:tcPr>
          <w:p w:rsidR="00A32067" w:rsidRPr="0002085C" w:rsidRDefault="00A32067" w:rsidP="0002085C">
            <w:pPr>
              <w:rPr>
                <w:sz w:val="22"/>
                <w:szCs w:val="22"/>
              </w:rPr>
            </w:pPr>
            <w:r w:rsidRPr="0002085C">
              <w:rPr>
                <w:rFonts w:cs="宋体" w:hint="eastAsia"/>
                <w:sz w:val="22"/>
                <w:szCs w:val="22"/>
              </w:rPr>
              <w:t>河北省建筑市场发展研究会《关于印发</w:t>
            </w:r>
            <w:r w:rsidRPr="0002085C">
              <w:rPr>
                <w:sz w:val="22"/>
                <w:szCs w:val="22"/>
              </w:rPr>
              <w:t>&lt;</w:t>
            </w:r>
            <w:r w:rsidRPr="0002085C">
              <w:rPr>
                <w:rFonts w:cs="宋体" w:hint="eastAsia"/>
                <w:sz w:val="22"/>
                <w:szCs w:val="22"/>
              </w:rPr>
              <w:t>河北省工程造价咨询服务收费管理暂行办法</w:t>
            </w:r>
            <w:r w:rsidRPr="0002085C">
              <w:rPr>
                <w:sz w:val="22"/>
                <w:szCs w:val="22"/>
              </w:rPr>
              <w:t>&gt;</w:t>
            </w:r>
            <w:r w:rsidRPr="0002085C">
              <w:rPr>
                <w:rFonts w:cs="宋体" w:hint="eastAsia"/>
                <w:sz w:val="22"/>
                <w:szCs w:val="22"/>
              </w:rPr>
              <w:t>的通知》（冀建市研</w:t>
            </w:r>
            <w:r w:rsidRPr="0002085C">
              <w:rPr>
                <w:sz w:val="22"/>
                <w:szCs w:val="22"/>
              </w:rPr>
              <w:t>[2017]2</w:t>
            </w:r>
            <w:r w:rsidRPr="0002085C">
              <w:rPr>
                <w:rFonts w:cs="宋体" w:hint="eastAsia"/>
                <w:sz w:val="22"/>
                <w:szCs w:val="22"/>
              </w:rPr>
              <w:t>号）</w:t>
            </w:r>
          </w:p>
        </w:tc>
        <w:tc>
          <w:tcPr>
            <w:tcW w:w="709" w:type="dxa"/>
            <w:vAlign w:val="center"/>
          </w:tcPr>
          <w:p w:rsidR="00A32067" w:rsidRPr="0002085C" w:rsidRDefault="00A32067" w:rsidP="0002085C">
            <w:pPr>
              <w:rPr>
                <w:sz w:val="22"/>
                <w:szCs w:val="22"/>
              </w:rPr>
            </w:pPr>
            <w:r w:rsidRPr="0002085C">
              <w:rPr>
                <w:rFonts w:cs="宋体" w:hint="eastAsia"/>
                <w:sz w:val="22"/>
                <w:szCs w:val="22"/>
              </w:rPr>
              <w:t>见附录文件</w:t>
            </w:r>
          </w:p>
        </w:tc>
      </w:tr>
      <w:tr w:rsidR="00A32067">
        <w:trPr>
          <w:trHeight w:val="5832"/>
        </w:trPr>
        <w:tc>
          <w:tcPr>
            <w:tcW w:w="675" w:type="dxa"/>
            <w:vAlign w:val="center"/>
          </w:tcPr>
          <w:p w:rsidR="00A32067" w:rsidRPr="0002085C" w:rsidRDefault="00A32067" w:rsidP="0002085C">
            <w:pPr>
              <w:jc w:val="center"/>
              <w:rPr>
                <w:sz w:val="22"/>
                <w:szCs w:val="22"/>
              </w:rPr>
            </w:pPr>
            <w:r w:rsidRPr="0002085C">
              <w:rPr>
                <w:sz w:val="22"/>
                <w:szCs w:val="22"/>
              </w:rPr>
              <w:t>10</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招标代理费</w:t>
            </w:r>
          </w:p>
        </w:tc>
        <w:tc>
          <w:tcPr>
            <w:tcW w:w="3827" w:type="dxa"/>
            <w:vAlign w:val="center"/>
          </w:tcPr>
          <w:p w:rsidR="00A32067" w:rsidRPr="0002085C" w:rsidRDefault="00A32067" w:rsidP="0002085C">
            <w:pPr>
              <w:rPr>
                <w:sz w:val="22"/>
                <w:szCs w:val="22"/>
              </w:rPr>
            </w:pPr>
            <w:r w:rsidRPr="0002085C">
              <w:rPr>
                <w:rFonts w:cs="宋体" w:hint="eastAsia"/>
                <w:sz w:val="22"/>
                <w:szCs w:val="22"/>
              </w:rPr>
              <w:t>指招标代理人接受招标人委托，编制招标文件，审查投标人资格，组织投标人勘察现场并答疑，组织开标、评标、定标，提供招标前期咨询以及协调合同的签订等收取的费用</w:t>
            </w:r>
          </w:p>
        </w:tc>
        <w:tc>
          <w:tcPr>
            <w:tcW w:w="4394" w:type="dxa"/>
            <w:vAlign w:val="center"/>
          </w:tcPr>
          <w:p w:rsidR="00A32067" w:rsidRPr="0002085C" w:rsidRDefault="00A32067" w:rsidP="0002085C">
            <w:pPr>
              <w:rPr>
                <w:color w:val="000000"/>
                <w:sz w:val="22"/>
                <w:szCs w:val="22"/>
              </w:rPr>
            </w:pPr>
          </w:p>
          <w:p w:rsidR="00A32067" w:rsidRPr="0002085C" w:rsidRDefault="00A32067" w:rsidP="0002085C">
            <w:pPr>
              <w:rPr>
                <w:color w:val="000000"/>
                <w:sz w:val="22"/>
                <w:szCs w:val="22"/>
              </w:rPr>
            </w:pPr>
            <w:r w:rsidRPr="0002085C">
              <w:rPr>
                <w:rFonts w:cs="宋体" w:hint="eastAsia"/>
                <w:color w:val="000000"/>
                <w:sz w:val="22"/>
                <w:szCs w:val="22"/>
              </w:rPr>
              <w:t>该项服务价格市场化，可依据委托合同计算，或参考国家计委《招标代理服务收费管理暂行办法》（计价格</w:t>
            </w:r>
            <w:r w:rsidRPr="0002085C">
              <w:rPr>
                <w:color w:val="000000"/>
                <w:sz w:val="22"/>
                <w:szCs w:val="22"/>
              </w:rPr>
              <w:t>[2002]1980</w:t>
            </w:r>
            <w:r w:rsidRPr="0002085C">
              <w:rPr>
                <w:rFonts w:cs="宋体" w:hint="eastAsia"/>
                <w:color w:val="000000"/>
                <w:sz w:val="22"/>
                <w:szCs w:val="22"/>
              </w:rPr>
              <w:t>号）文规定计算</w:t>
            </w:r>
          </w:p>
          <w:p w:rsidR="00A32067" w:rsidRPr="0002085C" w:rsidRDefault="00A32067" w:rsidP="0002085C">
            <w:pPr>
              <w:rPr>
                <w:sz w:val="22"/>
                <w:szCs w:val="22"/>
              </w:rPr>
            </w:pPr>
            <w:r>
              <w:rPr>
                <w:noProof/>
              </w:rPr>
              <w:pict>
                <v:shape id="图片 6" o:spid="_x0000_s1034" type="#_x0000_t75" alt="UNH)]T~LV{S]84R%$~(}{P6" style="position:absolute;left:0;text-align:left;margin-left:-.2pt;margin-top:.8pt;width:208.85pt;height:143.3pt;z-index:251664384;visibility:visible">
                  <v:imagedata r:id="rId28" o:title=""/>
                </v:shape>
              </w:pict>
            </w: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p>
          <w:p w:rsidR="00A32067" w:rsidRPr="0002085C" w:rsidRDefault="00A32067" w:rsidP="0002085C">
            <w:pPr>
              <w:rPr>
                <w:sz w:val="22"/>
                <w:szCs w:val="22"/>
              </w:rPr>
            </w:pPr>
            <w:r w:rsidRPr="0002085C">
              <w:rPr>
                <w:rFonts w:cs="宋体" w:hint="eastAsia"/>
                <w:sz w:val="22"/>
                <w:szCs w:val="22"/>
              </w:rPr>
              <w:t>注：（</w:t>
            </w:r>
            <w:r w:rsidRPr="0002085C">
              <w:rPr>
                <w:sz w:val="22"/>
                <w:szCs w:val="22"/>
              </w:rPr>
              <w:t>1</w:t>
            </w:r>
            <w:r w:rsidRPr="0002085C">
              <w:rPr>
                <w:rFonts w:cs="宋体" w:hint="eastAsia"/>
                <w:sz w:val="22"/>
                <w:szCs w:val="22"/>
              </w:rPr>
              <w:t>）按本表费率计算的收费为招标代理服务全过程的收费基准价格，单独提供编制招标文件（有标底的含标底）服务的，可按规定标准的</w:t>
            </w:r>
            <w:r w:rsidRPr="0002085C">
              <w:rPr>
                <w:sz w:val="22"/>
                <w:szCs w:val="22"/>
              </w:rPr>
              <w:t>30%</w:t>
            </w:r>
            <w:r w:rsidRPr="0002085C">
              <w:rPr>
                <w:rFonts w:cs="宋体" w:hint="eastAsia"/>
                <w:sz w:val="22"/>
                <w:szCs w:val="22"/>
              </w:rPr>
              <w:t>计。（</w:t>
            </w:r>
            <w:r w:rsidRPr="0002085C">
              <w:rPr>
                <w:sz w:val="22"/>
                <w:szCs w:val="22"/>
              </w:rPr>
              <w:t>2</w:t>
            </w:r>
            <w:r w:rsidRPr="0002085C">
              <w:rPr>
                <w:rFonts w:cs="宋体" w:hint="eastAsia"/>
                <w:sz w:val="22"/>
                <w:szCs w:val="22"/>
              </w:rPr>
              <w:t>）招标代理服务收费按差额定率累进法计算</w:t>
            </w:r>
          </w:p>
          <w:p w:rsidR="00A32067" w:rsidRPr="0002085C" w:rsidRDefault="00A32067" w:rsidP="0002085C">
            <w:pPr>
              <w:rPr>
                <w:color w:val="000000"/>
                <w:sz w:val="22"/>
                <w:szCs w:val="22"/>
              </w:rPr>
            </w:pPr>
          </w:p>
        </w:tc>
        <w:tc>
          <w:tcPr>
            <w:tcW w:w="3402" w:type="dxa"/>
            <w:vAlign w:val="center"/>
          </w:tcPr>
          <w:p w:rsidR="00A32067" w:rsidRPr="0002085C" w:rsidRDefault="00A32067" w:rsidP="0002085C">
            <w:pPr>
              <w:rPr>
                <w:sz w:val="22"/>
                <w:szCs w:val="22"/>
              </w:rPr>
            </w:pPr>
            <w:r w:rsidRPr="0002085C">
              <w:rPr>
                <w:rFonts w:cs="宋体" w:hint="eastAsia"/>
                <w:sz w:val="22"/>
                <w:szCs w:val="22"/>
              </w:rPr>
              <w:t>《国家发展改革委关于进一步放开建设项目专业服务价格的通知》（发改价格〔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w:t>
            </w:r>
          </w:p>
        </w:tc>
        <w:tc>
          <w:tcPr>
            <w:tcW w:w="709"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bl>
    <w:p w:rsidR="00A32067" w:rsidRDefault="00A32067">
      <w:pPr>
        <w:widowControl/>
        <w:jc w:val="center"/>
        <w:rPr>
          <w:b/>
          <w:bCs/>
          <w:sz w:val="36"/>
          <w:szCs w:val="36"/>
        </w:rPr>
      </w:pPr>
      <w:r>
        <w:rPr>
          <w:b/>
          <w:bCs/>
          <w:sz w:val="36"/>
          <w:szCs w:val="36"/>
        </w:rPr>
        <w:br w:type="page"/>
      </w:r>
      <w:r>
        <w:rPr>
          <w:rFonts w:cs="宋体" w:hint="eastAsia"/>
          <w:b/>
          <w:bCs/>
          <w:sz w:val="36"/>
          <w:szCs w:val="36"/>
        </w:rPr>
        <w:t>河北省建设项目概算其它费用的内容、标准及计算依据和方法</w:t>
      </w:r>
    </w:p>
    <w:tbl>
      <w:tblPr>
        <w:tblpPr w:leftFromText="180" w:rightFromText="180" w:vertAnchor="page" w:horzAnchor="page" w:tblpX="1124" w:tblpY="2364"/>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252"/>
        <w:gridCol w:w="3969"/>
        <w:gridCol w:w="3402"/>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252"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3969"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402"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hRule="exact" w:val="2138"/>
        </w:trPr>
        <w:tc>
          <w:tcPr>
            <w:tcW w:w="675" w:type="dxa"/>
            <w:vAlign w:val="center"/>
          </w:tcPr>
          <w:p w:rsidR="00A32067" w:rsidRPr="0002085C" w:rsidRDefault="00A32067" w:rsidP="0002085C">
            <w:pPr>
              <w:jc w:val="center"/>
              <w:rPr>
                <w:sz w:val="22"/>
                <w:szCs w:val="22"/>
              </w:rPr>
            </w:pPr>
            <w:r w:rsidRPr="0002085C">
              <w:rPr>
                <w:sz w:val="22"/>
                <w:szCs w:val="22"/>
              </w:rPr>
              <w:t>11</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工程建设监理费</w:t>
            </w:r>
          </w:p>
        </w:tc>
        <w:tc>
          <w:tcPr>
            <w:tcW w:w="4252" w:type="dxa"/>
            <w:vAlign w:val="center"/>
          </w:tcPr>
          <w:p w:rsidR="00A32067" w:rsidRPr="0002085C" w:rsidRDefault="00A32067" w:rsidP="0002085C">
            <w:pPr>
              <w:rPr>
                <w:sz w:val="22"/>
                <w:szCs w:val="22"/>
              </w:rPr>
            </w:pPr>
            <w:r w:rsidRPr="0002085C">
              <w:rPr>
                <w:rFonts w:cs="宋体" w:hint="eastAsia"/>
                <w:sz w:val="22"/>
                <w:szCs w:val="22"/>
              </w:rPr>
              <w:t>指工程建设监理单位受建设单位委托，对工程项目建设投资、工程质量、施工安全和建设工期进行监督管理收取的费用。包括建设工程施工阶段的工程监理服务费和勘察、设计、保修阶段的相关服务费</w:t>
            </w:r>
          </w:p>
        </w:tc>
        <w:tc>
          <w:tcPr>
            <w:tcW w:w="3969" w:type="dxa"/>
            <w:vAlign w:val="center"/>
          </w:tcPr>
          <w:p w:rsidR="00A32067" w:rsidRPr="0002085C" w:rsidRDefault="00A32067" w:rsidP="0002085C">
            <w:pPr>
              <w:rPr>
                <w:sz w:val="22"/>
                <w:szCs w:val="22"/>
              </w:rPr>
            </w:pPr>
            <w:r w:rsidRPr="0002085C">
              <w:rPr>
                <w:rFonts w:cs="宋体" w:hint="eastAsia"/>
                <w:sz w:val="22"/>
                <w:szCs w:val="22"/>
              </w:rPr>
              <w:t>该项服务价格市场化，应依据委托合同计算，或参考国家发展改革委、建设部《关于印发</w:t>
            </w:r>
            <w:r w:rsidRPr="0002085C">
              <w:rPr>
                <w:sz w:val="22"/>
                <w:szCs w:val="22"/>
              </w:rPr>
              <w:t>&lt;</w:t>
            </w:r>
            <w:r w:rsidRPr="0002085C">
              <w:rPr>
                <w:rFonts w:cs="宋体" w:hint="eastAsia"/>
                <w:sz w:val="22"/>
                <w:szCs w:val="22"/>
              </w:rPr>
              <w:t>建设工程监理与相关服务收费管理规定</w:t>
            </w:r>
            <w:r w:rsidRPr="0002085C">
              <w:rPr>
                <w:sz w:val="22"/>
                <w:szCs w:val="22"/>
              </w:rPr>
              <w:t>&gt;</w:t>
            </w:r>
            <w:r w:rsidRPr="0002085C">
              <w:rPr>
                <w:rFonts w:cs="宋体" w:hint="eastAsia"/>
                <w:sz w:val="22"/>
                <w:szCs w:val="22"/>
              </w:rPr>
              <w:t>的通知》（发改价格</w:t>
            </w:r>
            <w:r w:rsidRPr="0002085C">
              <w:rPr>
                <w:sz w:val="22"/>
                <w:szCs w:val="22"/>
              </w:rPr>
              <w:t>[2007]670</w:t>
            </w:r>
            <w:r w:rsidRPr="0002085C">
              <w:rPr>
                <w:rFonts w:cs="宋体" w:hint="eastAsia"/>
                <w:sz w:val="22"/>
                <w:szCs w:val="22"/>
              </w:rPr>
              <w:t>号）有关规定计算</w:t>
            </w:r>
          </w:p>
        </w:tc>
        <w:tc>
          <w:tcPr>
            <w:tcW w:w="3402" w:type="dxa"/>
            <w:vAlign w:val="center"/>
          </w:tcPr>
          <w:p w:rsidR="00A32067" w:rsidRPr="0002085C" w:rsidRDefault="00A32067" w:rsidP="0002085C">
            <w:pPr>
              <w:rPr>
                <w:sz w:val="22"/>
                <w:szCs w:val="22"/>
              </w:rPr>
            </w:pPr>
            <w:r w:rsidRPr="0002085C">
              <w:rPr>
                <w:rFonts w:cs="宋体" w:hint="eastAsia"/>
                <w:sz w:val="22"/>
                <w:szCs w:val="22"/>
              </w:rPr>
              <w:t>《国家发展改革委关于进一步放开建设项目专业服务价格的通知》（发改价格〔</w:t>
            </w:r>
            <w:r w:rsidRPr="0002085C">
              <w:rPr>
                <w:sz w:val="22"/>
                <w:szCs w:val="22"/>
              </w:rPr>
              <w:t>2015</w:t>
            </w:r>
            <w:r w:rsidRPr="0002085C">
              <w:rPr>
                <w:rFonts w:cs="宋体" w:hint="eastAsia"/>
                <w:sz w:val="22"/>
                <w:szCs w:val="22"/>
              </w:rPr>
              <w:t>〕</w:t>
            </w:r>
            <w:r w:rsidRPr="0002085C">
              <w:rPr>
                <w:sz w:val="22"/>
                <w:szCs w:val="22"/>
              </w:rPr>
              <w:t>299</w:t>
            </w:r>
            <w:r w:rsidRPr="0002085C">
              <w:rPr>
                <w:rFonts w:cs="宋体" w:hint="eastAsia"/>
                <w:sz w:val="22"/>
                <w:szCs w:val="22"/>
              </w:rPr>
              <w:t>号）</w:t>
            </w:r>
          </w:p>
        </w:tc>
        <w:tc>
          <w:tcPr>
            <w:tcW w:w="930" w:type="dxa"/>
            <w:vAlign w:val="center"/>
          </w:tcPr>
          <w:p w:rsidR="00A32067" w:rsidRPr="0002085C" w:rsidRDefault="00A32067" w:rsidP="0002085C">
            <w:pPr>
              <w:rPr>
                <w:sz w:val="22"/>
                <w:szCs w:val="22"/>
              </w:rPr>
            </w:pPr>
            <w:r w:rsidRPr="0002085C">
              <w:rPr>
                <w:rFonts w:cs="宋体" w:hint="eastAsia"/>
                <w:sz w:val="22"/>
                <w:szCs w:val="22"/>
              </w:rPr>
              <w:t xml:space="preserve">　</w:t>
            </w:r>
          </w:p>
        </w:tc>
      </w:tr>
      <w:tr w:rsidR="00A32067">
        <w:trPr>
          <w:trHeight w:hRule="exact" w:val="2263"/>
        </w:trPr>
        <w:tc>
          <w:tcPr>
            <w:tcW w:w="675" w:type="dxa"/>
            <w:vAlign w:val="center"/>
          </w:tcPr>
          <w:p w:rsidR="00A32067" w:rsidRPr="0002085C" w:rsidRDefault="00A32067" w:rsidP="0002085C">
            <w:pPr>
              <w:jc w:val="center"/>
              <w:rPr>
                <w:sz w:val="22"/>
                <w:szCs w:val="22"/>
              </w:rPr>
            </w:pPr>
            <w:r w:rsidRPr="0002085C">
              <w:rPr>
                <w:sz w:val="22"/>
                <w:szCs w:val="22"/>
              </w:rPr>
              <w:t>12</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特殊设备安全监督检验费</w:t>
            </w:r>
          </w:p>
        </w:tc>
        <w:tc>
          <w:tcPr>
            <w:tcW w:w="4252" w:type="dxa"/>
            <w:vAlign w:val="center"/>
          </w:tcPr>
          <w:p w:rsidR="00A32067" w:rsidRPr="0002085C" w:rsidRDefault="00A32067" w:rsidP="0002085C">
            <w:pPr>
              <w:rPr>
                <w:sz w:val="22"/>
                <w:szCs w:val="22"/>
              </w:rPr>
            </w:pPr>
            <w:r w:rsidRPr="0002085C">
              <w:rPr>
                <w:rFonts w:cs="宋体" w:hint="eastAsia"/>
                <w:sz w:val="22"/>
                <w:szCs w:val="22"/>
              </w:rPr>
              <w:t>特殊设备安全监督检验费是安全监察部门对在施工现场组装的锅炉及压力容器、压力管道、消防设备、燃气设备、电梯等特殊设备和设施实施安全检验收取的费用</w:t>
            </w:r>
          </w:p>
        </w:tc>
        <w:tc>
          <w:tcPr>
            <w:tcW w:w="3969" w:type="dxa"/>
            <w:vAlign w:val="center"/>
          </w:tcPr>
          <w:p w:rsidR="00A32067" w:rsidRPr="0002085C" w:rsidRDefault="00A32067" w:rsidP="0002085C">
            <w:pPr>
              <w:rPr>
                <w:sz w:val="22"/>
                <w:szCs w:val="22"/>
              </w:rPr>
            </w:pPr>
            <w:r w:rsidRPr="0002085C">
              <w:rPr>
                <w:rFonts w:cs="宋体" w:hint="eastAsia"/>
                <w:sz w:val="22"/>
                <w:szCs w:val="22"/>
              </w:rPr>
              <w:t>按实际计算，或按受检设备现场安装费的比例估算</w:t>
            </w:r>
          </w:p>
        </w:tc>
        <w:tc>
          <w:tcPr>
            <w:tcW w:w="3402" w:type="dxa"/>
            <w:vAlign w:val="center"/>
          </w:tcPr>
          <w:p w:rsidR="00A32067" w:rsidRPr="0002085C" w:rsidRDefault="00A32067" w:rsidP="0002085C">
            <w:pPr>
              <w:rPr>
                <w:sz w:val="22"/>
                <w:szCs w:val="22"/>
              </w:rPr>
            </w:pPr>
            <w:r w:rsidRPr="0002085C">
              <w:rPr>
                <w:rFonts w:cs="宋体" w:hint="eastAsia"/>
                <w:sz w:val="22"/>
                <w:szCs w:val="22"/>
              </w:rPr>
              <w:t xml:space="preserve">　关于发布《河北省劳动安全卫生监察系统行政事业性收费项目及标准（试行）的通知冀价涉费【</w:t>
            </w:r>
            <w:r w:rsidRPr="0002085C">
              <w:rPr>
                <w:sz w:val="22"/>
                <w:szCs w:val="22"/>
              </w:rPr>
              <w:t>1992</w:t>
            </w:r>
            <w:r w:rsidRPr="0002085C">
              <w:rPr>
                <w:rFonts w:cs="宋体" w:hint="eastAsia"/>
                <w:sz w:val="22"/>
                <w:szCs w:val="22"/>
              </w:rPr>
              <w:t>】</w:t>
            </w:r>
            <w:r w:rsidRPr="0002085C">
              <w:rPr>
                <w:sz w:val="22"/>
                <w:szCs w:val="22"/>
              </w:rPr>
              <w:t>248</w:t>
            </w:r>
            <w:r w:rsidRPr="0002085C">
              <w:rPr>
                <w:rFonts w:cs="宋体" w:hint="eastAsia"/>
                <w:sz w:val="22"/>
                <w:szCs w:val="22"/>
              </w:rPr>
              <w:t>号</w:t>
            </w:r>
          </w:p>
          <w:p w:rsidR="00A32067" w:rsidRPr="0002085C" w:rsidRDefault="00A32067" w:rsidP="0002085C">
            <w:pPr>
              <w:rPr>
                <w:sz w:val="22"/>
                <w:szCs w:val="22"/>
              </w:rPr>
            </w:pPr>
          </w:p>
        </w:tc>
        <w:tc>
          <w:tcPr>
            <w:tcW w:w="930"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r w:rsidR="00A32067">
        <w:trPr>
          <w:trHeight w:hRule="exact" w:val="2975"/>
        </w:trPr>
        <w:tc>
          <w:tcPr>
            <w:tcW w:w="675" w:type="dxa"/>
            <w:vAlign w:val="center"/>
          </w:tcPr>
          <w:p w:rsidR="00A32067" w:rsidRPr="0002085C" w:rsidRDefault="00A32067" w:rsidP="0002085C">
            <w:pPr>
              <w:jc w:val="center"/>
              <w:rPr>
                <w:sz w:val="22"/>
                <w:szCs w:val="22"/>
              </w:rPr>
            </w:pPr>
            <w:r w:rsidRPr="0002085C">
              <w:rPr>
                <w:sz w:val="22"/>
                <w:szCs w:val="22"/>
              </w:rPr>
              <w:t>13</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城市基础设施配套费</w:t>
            </w:r>
          </w:p>
        </w:tc>
        <w:tc>
          <w:tcPr>
            <w:tcW w:w="4252" w:type="dxa"/>
            <w:vAlign w:val="center"/>
          </w:tcPr>
          <w:p w:rsidR="00A32067" w:rsidRPr="0002085C" w:rsidRDefault="00A32067" w:rsidP="0002085C">
            <w:pPr>
              <w:rPr>
                <w:sz w:val="22"/>
                <w:szCs w:val="22"/>
              </w:rPr>
            </w:pPr>
            <w:r w:rsidRPr="0002085C">
              <w:rPr>
                <w:rFonts w:cs="宋体" w:hint="eastAsia"/>
                <w:sz w:val="22"/>
                <w:szCs w:val="22"/>
              </w:rPr>
              <w:t>建设工程规划综合费、城市建设（教育、医疗等机构）配套费、供电配套工程费、城区内自来水管道施工费、城区内电话通讯施工费、城区内燃气管道施工费、防雷工程设计审核费、有线电视安装费、人防工程易地建设费、人防工程拆除补偿费、城市占道费、绿化补偿费、绿地保证金、地上天然气供气设施拆除费、上水管网补偿费等</w:t>
            </w:r>
          </w:p>
        </w:tc>
        <w:tc>
          <w:tcPr>
            <w:tcW w:w="3969" w:type="dxa"/>
            <w:vAlign w:val="center"/>
          </w:tcPr>
          <w:p w:rsidR="00A32067" w:rsidRPr="0002085C" w:rsidRDefault="00A32067" w:rsidP="0002085C">
            <w:pPr>
              <w:rPr>
                <w:sz w:val="22"/>
                <w:szCs w:val="22"/>
              </w:rPr>
            </w:pPr>
            <w:r w:rsidRPr="0002085C">
              <w:rPr>
                <w:rFonts w:cs="宋体" w:hint="eastAsia"/>
                <w:sz w:val="22"/>
                <w:szCs w:val="22"/>
              </w:rPr>
              <w:t>按照所列河北省人民政府有关文件规定标准计列；不发生或按规定免征项目不计取。详见附表</w:t>
            </w:r>
            <w:r w:rsidRPr="0002085C">
              <w:rPr>
                <w:sz w:val="22"/>
                <w:szCs w:val="22"/>
              </w:rPr>
              <w:t>“</w:t>
            </w:r>
            <w:r w:rsidRPr="0002085C">
              <w:rPr>
                <w:rFonts w:cs="宋体" w:hint="eastAsia"/>
                <w:sz w:val="22"/>
                <w:szCs w:val="22"/>
              </w:rPr>
              <w:t>河北省各地市县城市基础设施配套费收费标准汇总表</w:t>
            </w:r>
            <w:r w:rsidRPr="0002085C">
              <w:rPr>
                <w:sz w:val="22"/>
                <w:szCs w:val="22"/>
              </w:rPr>
              <w:t>”</w:t>
            </w:r>
          </w:p>
        </w:tc>
        <w:tc>
          <w:tcPr>
            <w:tcW w:w="3402" w:type="dxa"/>
            <w:vAlign w:val="center"/>
          </w:tcPr>
          <w:p w:rsidR="00A32067" w:rsidRPr="0002085C" w:rsidRDefault="00A32067" w:rsidP="0002085C">
            <w:pPr>
              <w:rPr>
                <w:sz w:val="22"/>
                <w:szCs w:val="22"/>
              </w:rPr>
            </w:pPr>
            <w:r w:rsidRPr="0002085C">
              <w:rPr>
                <w:rFonts w:cs="宋体" w:hint="eastAsia"/>
                <w:sz w:val="22"/>
                <w:szCs w:val="22"/>
              </w:rPr>
              <w:t>《河北省财政厅关于征收城市基础设施配套费几个具体事项的通知》（冀财税〔</w:t>
            </w:r>
            <w:r w:rsidRPr="0002085C">
              <w:rPr>
                <w:sz w:val="22"/>
                <w:szCs w:val="22"/>
              </w:rPr>
              <w:t>2017</w:t>
            </w:r>
            <w:r w:rsidRPr="0002085C">
              <w:rPr>
                <w:rFonts w:cs="宋体" w:hint="eastAsia"/>
                <w:sz w:val="22"/>
                <w:szCs w:val="22"/>
              </w:rPr>
              <w:t>〕</w:t>
            </w:r>
            <w:r w:rsidRPr="0002085C">
              <w:rPr>
                <w:sz w:val="22"/>
                <w:szCs w:val="22"/>
              </w:rPr>
              <w:t>38</w:t>
            </w:r>
            <w:r w:rsidRPr="0002085C">
              <w:rPr>
                <w:rFonts w:cs="宋体" w:hint="eastAsia"/>
                <w:sz w:val="22"/>
                <w:szCs w:val="22"/>
              </w:rPr>
              <w:t>号）等</w:t>
            </w:r>
          </w:p>
        </w:tc>
        <w:tc>
          <w:tcPr>
            <w:tcW w:w="930" w:type="dxa"/>
            <w:vAlign w:val="center"/>
          </w:tcPr>
          <w:p w:rsidR="00A32067" w:rsidRPr="0002085C" w:rsidRDefault="00A32067" w:rsidP="0002085C">
            <w:pPr>
              <w:rPr>
                <w:sz w:val="22"/>
                <w:szCs w:val="22"/>
              </w:rPr>
            </w:pPr>
            <w:r w:rsidRPr="0002085C">
              <w:rPr>
                <w:rFonts w:cs="宋体" w:hint="eastAsia"/>
                <w:sz w:val="22"/>
                <w:szCs w:val="22"/>
              </w:rPr>
              <w:t xml:space="preserve">　</w:t>
            </w:r>
          </w:p>
        </w:tc>
      </w:tr>
    </w:tbl>
    <w:p w:rsidR="00A32067" w:rsidRDefault="00A32067">
      <w:pPr>
        <w:widowControl/>
        <w:jc w:val="center"/>
        <w:rPr>
          <w:b/>
          <w:bCs/>
          <w:sz w:val="36"/>
          <w:szCs w:val="36"/>
        </w:rPr>
      </w:pPr>
      <w:r>
        <w:rPr>
          <w:b/>
          <w:bCs/>
          <w:sz w:val="36"/>
          <w:szCs w:val="36"/>
        </w:rPr>
        <w:br w:type="page"/>
      </w:r>
      <w:r>
        <w:rPr>
          <w:rFonts w:cs="宋体" w:hint="eastAsia"/>
          <w:b/>
          <w:bCs/>
          <w:sz w:val="36"/>
          <w:szCs w:val="36"/>
        </w:rPr>
        <w:t>河北省建设项目概算其它费用的内容、标准及计算依据和方法</w:t>
      </w:r>
    </w:p>
    <w:tbl>
      <w:tblPr>
        <w:tblpPr w:leftFromText="180" w:rightFromText="180" w:tblpY="960"/>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110"/>
        <w:gridCol w:w="5245"/>
        <w:gridCol w:w="2268"/>
        <w:gridCol w:w="930"/>
      </w:tblGrid>
      <w:tr w:rsidR="00A32067">
        <w:trPr>
          <w:trHeight w:val="411"/>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11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5245"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2268"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hRule="exact" w:val="2280"/>
        </w:trPr>
        <w:tc>
          <w:tcPr>
            <w:tcW w:w="675" w:type="dxa"/>
            <w:vAlign w:val="center"/>
          </w:tcPr>
          <w:p w:rsidR="00A32067" w:rsidRPr="0002085C" w:rsidRDefault="00A32067" w:rsidP="0002085C">
            <w:pPr>
              <w:jc w:val="center"/>
              <w:rPr>
                <w:sz w:val="22"/>
                <w:szCs w:val="22"/>
              </w:rPr>
            </w:pPr>
            <w:r w:rsidRPr="0002085C">
              <w:rPr>
                <w:sz w:val="22"/>
                <w:szCs w:val="22"/>
              </w:rPr>
              <w:t>14</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防空地下室易地建设费</w:t>
            </w:r>
          </w:p>
        </w:tc>
        <w:tc>
          <w:tcPr>
            <w:tcW w:w="4110" w:type="dxa"/>
            <w:vAlign w:val="center"/>
          </w:tcPr>
          <w:p w:rsidR="00A32067" w:rsidRPr="0002085C" w:rsidRDefault="00A32067" w:rsidP="0002085C">
            <w:pPr>
              <w:rPr>
                <w:sz w:val="22"/>
                <w:szCs w:val="22"/>
              </w:rPr>
            </w:pPr>
            <w:r w:rsidRPr="0002085C">
              <w:rPr>
                <w:rFonts w:cs="宋体" w:hint="eastAsia"/>
                <w:sz w:val="22"/>
                <w:szCs w:val="22"/>
              </w:rPr>
              <w:t>指按规定需要同步配套建设防空地下室的项目，因条件所限不能同步建设需申请易地建设所需支付的费用</w:t>
            </w:r>
          </w:p>
        </w:tc>
        <w:tc>
          <w:tcPr>
            <w:tcW w:w="5245" w:type="dxa"/>
            <w:vAlign w:val="center"/>
          </w:tcPr>
          <w:p w:rsidR="00A32067" w:rsidRPr="0002085C" w:rsidRDefault="00A32067" w:rsidP="0002085C">
            <w:pPr>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）防护等级</w:t>
            </w:r>
            <w:r w:rsidRPr="0002085C">
              <w:rPr>
                <w:sz w:val="22"/>
                <w:szCs w:val="22"/>
              </w:rPr>
              <w:t>6B</w:t>
            </w:r>
            <w:r w:rsidRPr="0002085C">
              <w:rPr>
                <w:rFonts w:cs="宋体" w:hint="eastAsia"/>
                <w:sz w:val="22"/>
                <w:szCs w:val="22"/>
              </w:rPr>
              <w:t>级防空地下室易地建设费，按地面首层建筑面积缴纳，收费标准为：设区市每平方米</w:t>
            </w:r>
            <w:r w:rsidRPr="0002085C">
              <w:rPr>
                <w:sz w:val="22"/>
                <w:szCs w:val="22"/>
              </w:rPr>
              <w:t>300</w:t>
            </w:r>
            <w:r w:rsidRPr="0002085C">
              <w:rPr>
                <w:rFonts w:cs="宋体" w:hint="eastAsia"/>
                <w:sz w:val="22"/>
                <w:szCs w:val="22"/>
              </w:rPr>
              <w:t>元，县（市）每平方米</w:t>
            </w:r>
            <w:r w:rsidRPr="0002085C">
              <w:rPr>
                <w:sz w:val="22"/>
                <w:szCs w:val="22"/>
              </w:rPr>
              <w:t>200</w:t>
            </w:r>
            <w:r w:rsidRPr="0002085C">
              <w:rPr>
                <w:rFonts w:cs="宋体" w:hint="eastAsia"/>
                <w:sz w:val="22"/>
                <w:szCs w:val="22"/>
              </w:rPr>
              <w:t>元。</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）防护等级</w:t>
            </w:r>
            <w:r w:rsidRPr="0002085C">
              <w:rPr>
                <w:sz w:val="22"/>
                <w:szCs w:val="22"/>
              </w:rPr>
              <w:t>6B</w:t>
            </w:r>
            <w:r w:rsidRPr="0002085C">
              <w:rPr>
                <w:rFonts w:cs="宋体" w:hint="eastAsia"/>
                <w:sz w:val="22"/>
                <w:szCs w:val="22"/>
              </w:rPr>
              <w:t>级以外的防空地下室易地建设费，按应建防空地下室建筑面积缴纳，收费标准为：设区市每平方米</w:t>
            </w:r>
            <w:r w:rsidRPr="0002085C">
              <w:rPr>
                <w:sz w:val="22"/>
                <w:szCs w:val="22"/>
              </w:rPr>
              <w:t>1620</w:t>
            </w:r>
            <w:r w:rsidRPr="0002085C">
              <w:rPr>
                <w:rFonts w:cs="宋体" w:hint="eastAsia"/>
                <w:sz w:val="22"/>
                <w:szCs w:val="22"/>
              </w:rPr>
              <w:t>元，县（市）每平方米</w:t>
            </w:r>
            <w:r w:rsidRPr="0002085C">
              <w:rPr>
                <w:sz w:val="22"/>
                <w:szCs w:val="22"/>
              </w:rPr>
              <w:t>1170</w:t>
            </w:r>
            <w:r w:rsidRPr="0002085C">
              <w:rPr>
                <w:rFonts w:cs="宋体" w:hint="eastAsia"/>
                <w:sz w:val="22"/>
                <w:szCs w:val="22"/>
              </w:rPr>
              <w:t>元</w:t>
            </w:r>
          </w:p>
        </w:tc>
        <w:tc>
          <w:tcPr>
            <w:tcW w:w="2268" w:type="dxa"/>
            <w:vAlign w:val="center"/>
          </w:tcPr>
          <w:p w:rsidR="00A32067" w:rsidRPr="0002085C" w:rsidRDefault="00A32067" w:rsidP="0002085C">
            <w:pPr>
              <w:rPr>
                <w:sz w:val="22"/>
                <w:szCs w:val="22"/>
              </w:rPr>
            </w:pPr>
            <w:r w:rsidRPr="0002085C">
              <w:rPr>
                <w:rFonts w:cs="宋体" w:hint="eastAsia"/>
                <w:sz w:val="22"/>
                <w:szCs w:val="22"/>
              </w:rPr>
              <w:t>省物价局、省财政厅《关于降低我省防空地下室易地建设费收费标准的通知》（冀价行费〔</w:t>
            </w:r>
            <w:r w:rsidRPr="0002085C">
              <w:rPr>
                <w:sz w:val="22"/>
                <w:szCs w:val="22"/>
              </w:rPr>
              <w:t>2017</w:t>
            </w:r>
            <w:r w:rsidRPr="0002085C">
              <w:rPr>
                <w:rFonts w:cs="宋体" w:hint="eastAsia"/>
                <w:sz w:val="22"/>
                <w:szCs w:val="22"/>
              </w:rPr>
              <w:t>〕</w:t>
            </w:r>
            <w:r w:rsidRPr="0002085C">
              <w:rPr>
                <w:sz w:val="22"/>
                <w:szCs w:val="22"/>
              </w:rPr>
              <w:t>203</w:t>
            </w:r>
            <w:r w:rsidRPr="0002085C">
              <w:rPr>
                <w:rFonts w:cs="宋体" w:hint="eastAsia"/>
                <w:sz w:val="22"/>
                <w:szCs w:val="22"/>
              </w:rPr>
              <w:t>号）</w:t>
            </w:r>
          </w:p>
        </w:tc>
        <w:tc>
          <w:tcPr>
            <w:tcW w:w="930"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r w:rsidR="00A32067">
        <w:trPr>
          <w:trHeight w:hRule="exact" w:val="2694"/>
        </w:trPr>
        <w:tc>
          <w:tcPr>
            <w:tcW w:w="675" w:type="dxa"/>
            <w:vAlign w:val="center"/>
          </w:tcPr>
          <w:p w:rsidR="00A32067" w:rsidRPr="0002085C" w:rsidRDefault="00A32067" w:rsidP="0002085C">
            <w:pPr>
              <w:jc w:val="center"/>
              <w:rPr>
                <w:sz w:val="22"/>
                <w:szCs w:val="22"/>
              </w:rPr>
            </w:pPr>
            <w:r w:rsidRPr="0002085C">
              <w:rPr>
                <w:sz w:val="22"/>
                <w:szCs w:val="22"/>
              </w:rPr>
              <w:t>15</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工程保险费</w:t>
            </w:r>
          </w:p>
        </w:tc>
        <w:tc>
          <w:tcPr>
            <w:tcW w:w="4110" w:type="dxa"/>
            <w:vAlign w:val="center"/>
          </w:tcPr>
          <w:p w:rsidR="00A32067" w:rsidRPr="0002085C" w:rsidRDefault="00A32067" w:rsidP="0002085C">
            <w:pPr>
              <w:rPr>
                <w:sz w:val="22"/>
                <w:szCs w:val="22"/>
              </w:rPr>
            </w:pPr>
            <w:r w:rsidRPr="0002085C">
              <w:rPr>
                <w:rFonts w:cs="宋体" w:hint="eastAsia"/>
                <w:sz w:val="22"/>
                <w:szCs w:val="22"/>
              </w:rPr>
              <w:t>指为转移工程项目建设的意外缝隙，在建设期内对对建筑工程、安装工程、机器设备和人身安全进行投保而发生的费用。包括各种建筑安装工程一切险、各种机械设备财产保险和人身意外伤害险等</w:t>
            </w:r>
          </w:p>
        </w:tc>
        <w:tc>
          <w:tcPr>
            <w:tcW w:w="5245" w:type="dxa"/>
            <w:vAlign w:val="center"/>
          </w:tcPr>
          <w:p w:rsidR="00A32067" w:rsidRPr="0002085C" w:rsidRDefault="00A32067" w:rsidP="0002085C">
            <w:pPr>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）根据不同的工程建设项目类别、特点选择投保险种，根据合同计列保险费用。</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）不投保的工程不计取此项费用；已列入施工企业管理费中的施工管理财产、车辆保险费不能计入。</w:t>
            </w:r>
            <w:r w:rsidRPr="0002085C">
              <w:rPr>
                <w:sz w:val="22"/>
                <w:szCs w:val="22"/>
              </w:rPr>
              <w:br/>
            </w:r>
            <w:r w:rsidRPr="0002085C">
              <w:rPr>
                <w:rFonts w:cs="宋体" w:hint="eastAsia"/>
                <w:sz w:val="22"/>
                <w:szCs w:val="22"/>
              </w:rPr>
              <w:t>（</w:t>
            </w:r>
            <w:r w:rsidRPr="0002085C">
              <w:rPr>
                <w:sz w:val="22"/>
                <w:szCs w:val="22"/>
              </w:rPr>
              <w:t>3</w:t>
            </w:r>
            <w:r w:rsidRPr="0002085C">
              <w:rPr>
                <w:rFonts w:cs="宋体" w:hint="eastAsia"/>
                <w:sz w:val="22"/>
                <w:szCs w:val="22"/>
              </w:rPr>
              <w:t>）编制概算时可分别按工程费用（包括建筑工程费、安装工程费用和设备购置费之和）的比例估算一般建筑工程按</w:t>
            </w:r>
            <w:r w:rsidRPr="0002085C">
              <w:rPr>
                <w:sz w:val="22"/>
                <w:szCs w:val="22"/>
              </w:rPr>
              <w:t>2‰</w:t>
            </w:r>
            <w:r w:rsidRPr="0002085C">
              <w:rPr>
                <w:rFonts w:cs="宋体" w:hint="eastAsia"/>
                <w:sz w:val="22"/>
                <w:szCs w:val="22"/>
              </w:rPr>
              <w:t>～</w:t>
            </w:r>
            <w:r w:rsidRPr="0002085C">
              <w:rPr>
                <w:sz w:val="22"/>
                <w:szCs w:val="22"/>
              </w:rPr>
              <w:t>4‰</w:t>
            </w:r>
            <w:r w:rsidRPr="0002085C">
              <w:rPr>
                <w:rFonts w:cs="宋体" w:hint="eastAsia"/>
                <w:sz w:val="22"/>
                <w:szCs w:val="22"/>
              </w:rPr>
              <w:t>计，安装工程、市政工程按</w:t>
            </w:r>
            <w:r w:rsidRPr="0002085C">
              <w:rPr>
                <w:sz w:val="22"/>
                <w:szCs w:val="22"/>
              </w:rPr>
              <w:t>3‰</w:t>
            </w:r>
            <w:r w:rsidRPr="0002085C">
              <w:rPr>
                <w:rFonts w:cs="宋体" w:hint="eastAsia"/>
                <w:sz w:val="22"/>
                <w:szCs w:val="22"/>
              </w:rPr>
              <w:t>～</w:t>
            </w:r>
            <w:r w:rsidRPr="0002085C">
              <w:rPr>
                <w:sz w:val="22"/>
                <w:szCs w:val="22"/>
              </w:rPr>
              <w:t>6‰</w:t>
            </w:r>
            <w:r w:rsidRPr="0002085C">
              <w:rPr>
                <w:rFonts w:cs="宋体" w:hint="eastAsia"/>
                <w:sz w:val="22"/>
                <w:szCs w:val="22"/>
              </w:rPr>
              <w:t>计</w:t>
            </w:r>
          </w:p>
        </w:tc>
        <w:tc>
          <w:tcPr>
            <w:tcW w:w="2268" w:type="dxa"/>
            <w:vAlign w:val="center"/>
          </w:tcPr>
          <w:p w:rsidR="00A32067" w:rsidRPr="0002085C" w:rsidRDefault="00A32067" w:rsidP="0002085C">
            <w:pPr>
              <w:rPr>
                <w:rFonts w:eastAsia="楷体_GB2312"/>
                <w:sz w:val="22"/>
                <w:szCs w:val="22"/>
              </w:rPr>
            </w:pPr>
            <w:r w:rsidRPr="0002085C">
              <w:rPr>
                <w:rFonts w:eastAsia="楷体_GB2312" w:cs="楷体_GB2312" w:hint="eastAsia"/>
                <w:sz w:val="22"/>
                <w:szCs w:val="22"/>
              </w:rPr>
              <w:t xml:space="preserve">　</w:t>
            </w:r>
          </w:p>
        </w:tc>
        <w:tc>
          <w:tcPr>
            <w:tcW w:w="930" w:type="dxa"/>
            <w:vAlign w:val="center"/>
          </w:tcPr>
          <w:p w:rsidR="00A32067" w:rsidRPr="0002085C" w:rsidRDefault="00A32067" w:rsidP="0002085C">
            <w:pPr>
              <w:rPr>
                <w:color w:val="FF0000"/>
                <w:sz w:val="22"/>
                <w:szCs w:val="22"/>
              </w:rPr>
            </w:pPr>
            <w:r w:rsidRPr="0002085C">
              <w:rPr>
                <w:rFonts w:cs="宋体" w:hint="eastAsia"/>
                <w:color w:val="FF0000"/>
                <w:sz w:val="22"/>
                <w:szCs w:val="22"/>
              </w:rPr>
              <w:t xml:space="preserve">　</w:t>
            </w:r>
          </w:p>
        </w:tc>
      </w:tr>
      <w:tr w:rsidR="00A32067">
        <w:trPr>
          <w:trHeight w:hRule="exact" w:val="2974"/>
        </w:trPr>
        <w:tc>
          <w:tcPr>
            <w:tcW w:w="675" w:type="dxa"/>
            <w:vAlign w:val="center"/>
          </w:tcPr>
          <w:p w:rsidR="00A32067" w:rsidRPr="0002085C" w:rsidRDefault="00A32067" w:rsidP="0002085C">
            <w:pPr>
              <w:jc w:val="center"/>
              <w:rPr>
                <w:sz w:val="22"/>
                <w:szCs w:val="22"/>
              </w:rPr>
            </w:pPr>
            <w:r w:rsidRPr="0002085C">
              <w:rPr>
                <w:sz w:val="22"/>
                <w:szCs w:val="22"/>
              </w:rPr>
              <w:t>16</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专利及专有技术使用费</w:t>
            </w:r>
          </w:p>
        </w:tc>
        <w:tc>
          <w:tcPr>
            <w:tcW w:w="4110" w:type="dxa"/>
            <w:vAlign w:val="center"/>
          </w:tcPr>
          <w:p w:rsidR="00A32067" w:rsidRPr="0002085C" w:rsidRDefault="00A32067" w:rsidP="0002085C">
            <w:pPr>
              <w:rPr>
                <w:sz w:val="22"/>
                <w:szCs w:val="22"/>
              </w:rPr>
            </w:pPr>
            <w:r w:rsidRPr="0002085C">
              <w:rPr>
                <w:rFonts w:cs="宋体" w:hint="eastAsia"/>
                <w:sz w:val="22"/>
                <w:szCs w:val="22"/>
              </w:rPr>
              <w:t>专利和专有技术使用费是指建设期内为取得专利、专业技术、商标权、商誉、特许经营权等发生的费用。费用内容包括：</w:t>
            </w:r>
            <w:r w:rsidRPr="0002085C">
              <w:rPr>
                <w:sz w:val="22"/>
                <w:szCs w:val="22"/>
              </w:rPr>
              <w:br/>
            </w:r>
            <w:r w:rsidRPr="0002085C">
              <w:rPr>
                <w:rFonts w:cs="宋体" w:hint="eastAsia"/>
                <w:sz w:val="22"/>
                <w:szCs w:val="22"/>
              </w:rPr>
              <w:t>（</w:t>
            </w:r>
            <w:r w:rsidRPr="0002085C">
              <w:rPr>
                <w:sz w:val="22"/>
                <w:szCs w:val="22"/>
              </w:rPr>
              <w:t>1</w:t>
            </w:r>
            <w:r w:rsidRPr="0002085C">
              <w:rPr>
                <w:rFonts w:cs="宋体" w:hint="eastAsia"/>
                <w:sz w:val="22"/>
                <w:szCs w:val="22"/>
              </w:rPr>
              <w:t>）国内有效专利、自有技术使用费</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）商标使用费、商誉、特许经营权费等</w:t>
            </w:r>
            <w:r w:rsidRPr="0002085C">
              <w:rPr>
                <w:sz w:val="22"/>
                <w:szCs w:val="22"/>
              </w:rPr>
              <w:br/>
            </w:r>
            <w:r w:rsidRPr="0002085C">
              <w:rPr>
                <w:rFonts w:cs="宋体" w:hint="eastAsia"/>
                <w:sz w:val="22"/>
                <w:szCs w:val="22"/>
              </w:rPr>
              <w:t>（</w:t>
            </w:r>
            <w:r w:rsidRPr="0002085C">
              <w:rPr>
                <w:sz w:val="22"/>
                <w:szCs w:val="22"/>
              </w:rPr>
              <w:t>3</w:t>
            </w:r>
            <w:r w:rsidRPr="0002085C">
              <w:rPr>
                <w:rFonts w:cs="宋体" w:hint="eastAsia"/>
                <w:sz w:val="22"/>
                <w:szCs w:val="22"/>
              </w:rPr>
              <w:t>）引进有效专利、专有技术使用费和技术保密费；国外设计及技术资料费等</w:t>
            </w:r>
          </w:p>
        </w:tc>
        <w:tc>
          <w:tcPr>
            <w:tcW w:w="5245" w:type="dxa"/>
            <w:vAlign w:val="center"/>
          </w:tcPr>
          <w:p w:rsidR="00A32067" w:rsidRPr="0002085C" w:rsidRDefault="00A32067" w:rsidP="0002085C">
            <w:pPr>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）按专利使用许可协议和专有技术使用合同的规定计列；</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）专有技术的界定应以省、部级鉴定批准为依据；</w:t>
            </w:r>
            <w:r w:rsidRPr="0002085C">
              <w:rPr>
                <w:sz w:val="22"/>
                <w:szCs w:val="22"/>
              </w:rPr>
              <w:br/>
            </w:r>
            <w:r w:rsidRPr="0002085C">
              <w:rPr>
                <w:rFonts w:cs="宋体" w:hint="eastAsia"/>
                <w:sz w:val="22"/>
                <w:szCs w:val="22"/>
              </w:rPr>
              <w:t>（</w:t>
            </w:r>
            <w:r w:rsidRPr="0002085C">
              <w:rPr>
                <w:sz w:val="22"/>
                <w:szCs w:val="22"/>
              </w:rPr>
              <w:t>3</w:t>
            </w:r>
            <w:r w:rsidRPr="0002085C">
              <w:rPr>
                <w:rFonts w:cs="宋体" w:hint="eastAsia"/>
                <w:sz w:val="22"/>
                <w:szCs w:val="22"/>
              </w:rPr>
              <w:t>）项目投资中只计需在项目建设期支付的专利及专有技术使用费。协议或合同规定在生产期支付的使用费应在成本核算中计列</w:t>
            </w:r>
          </w:p>
        </w:tc>
        <w:tc>
          <w:tcPr>
            <w:tcW w:w="2268" w:type="dxa"/>
            <w:vAlign w:val="center"/>
          </w:tcPr>
          <w:p w:rsidR="00A32067" w:rsidRPr="0002085C" w:rsidRDefault="00A32067" w:rsidP="0002085C">
            <w:pPr>
              <w:rPr>
                <w:sz w:val="22"/>
                <w:szCs w:val="22"/>
              </w:rPr>
            </w:pPr>
            <w:r w:rsidRPr="0002085C">
              <w:rPr>
                <w:rFonts w:cs="宋体" w:hint="eastAsia"/>
                <w:sz w:val="22"/>
                <w:szCs w:val="22"/>
              </w:rPr>
              <w:t xml:space="preserve">　</w:t>
            </w:r>
          </w:p>
        </w:tc>
        <w:tc>
          <w:tcPr>
            <w:tcW w:w="930" w:type="dxa"/>
            <w:vAlign w:val="center"/>
          </w:tcPr>
          <w:p w:rsidR="00A32067" w:rsidRPr="0002085C" w:rsidRDefault="00A32067" w:rsidP="0002085C">
            <w:pPr>
              <w:rPr>
                <w:sz w:val="22"/>
                <w:szCs w:val="22"/>
              </w:rPr>
            </w:pPr>
            <w:r w:rsidRPr="0002085C">
              <w:rPr>
                <w:rFonts w:cs="宋体" w:hint="eastAsia"/>
                <w:sz w:val="22"/>
                <w:szCs w:val="22"/>
              </w:rPr>
              <w:t xml:space="preserve">　</w:t>
            </w:r>
          </w:p>
        </w:tc>
      </w:tr>
    </w:tbl>
    <w:p w:rsidR="00A32067" w:rsidRDefault="00A32067">
      <w:pPr>
        <w:widowControl/>
        <w:jc w:val="center"/>
        <w:outlineLvl w:val="0"/>
        <w:rPr>
          <w:b/>
          <w:bCs/>
          <w:sz w:val="36"/>
          <w:szCs w:val="36"/>
        </w:rPr>
      </w:pPr>
    </w:p>
    <w:p w:rsidR="00A32067" w:rsidRDefault="00A32067">
      <w:pPr>
        <w:widowControl/>
        <w:jc w:val="center"/>
        <w:rPr>
          <w:b/>
          <w:bCs/>
          <w:sz w:val="36"/>
          <w:szCs w:val="36"/>
        </w:rPr>
      </w:pPr>
      <w:r>
        <w:rPr>
          <w:b/>
          <w:bCs/>
          <w:sz w:val="36"/>
          <w:szCs w:val="36"/>
        </w:rPr>
        <w:br w:type="page"/>
      </w:r>
      <w:r>
        <w:rPr>
          <w:rFonts w:cs="宋体" w:hint="eastAsia"/>
          <w:b/>
          <w:bCs/>
          <w:sz w:val="36"/>
          <w:szCs w:val="36"/>
        </w:rPr>
        <w:t>河北省建设项目概算其它费用的内容、标准及计算依据和方法</w:t>
      </w:r>
    </w:p>
    <w:tbl>
      <w:tblPr>
        <w:tblpPr w:leftFromText="180" w:rightFromText="180" w:vertAnchor="page" w:horzAnchor="page" w:tblpX="1109" w:tblpY="2231"/>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4110"/>
        <w:gridCol w:w="4111"/>
        <w:gridCol w:w="3402"/>
        <w:gridCol w:w="930"/>
      </w:tblGrid>
      <w:tr w:rsidR="00A32067">
        <w:trPr>
          <w:trHeight w:val="553"/>
        </w:trPr>
        <w:tc>
          <w:tcPr>
            <w:tcW w:w="675"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560"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4110"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4111"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3402"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930"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hRule="exact" w:val="864"/>
        </w:trPr>
        <w:tc>
          <w:tcPr>
            <w:tcW w:w="675" w:type="dxa"/>
            <w:vAlign w:val="center"/>
          </w:tcPr>
          <w:p w:rsidR="00A32067" w:rsidRPr="0002085C" w:rsidRDefault="00A32067" w:rsidP="0002085C">
            <w:pPr>
              <w:jc w:val="center"/>
            </w:pPr>
            <w:r w:rsidRPr="0002085C">
              <w:rPr>
                <w:sz w:val="22"/>
                <w:szCs w:val="22"/>
              </w:rPr>
              <w:t>17</w:t>
            </w:r>
          </w:p>
        </w:tc>
        <w:tc>
          <w:tcPr>
            <w:tcW w:w="1560" w:type="dxa"/>
            <w:vAlign w:val="center"/>
          </w:tcPr>
          <w:p w:rsidR="00A32067" w:rsidRPr="0002085C" w:rsidRDefault="00A32067" w:rsidP="0002085C">
            <w:pPr>
              <w:jc w:val="center"/>
            </w:pPr>
            <w:r w:rsidRPr="0002085C">
              <w:rPr>
                <w:rFonts w:cs="宋体" w:hint="eastAsia"/>
                <w:sz w:val="22"/>
                <w:szCs w:val="22"/>
              </w:rPr>
              <w:t>引进技术和引进设备其他费</w:t>
            </w:r>
          </w:p>
        </w:tc>
        <w:tc>
          <w:tcPr>
            <w:tcW w:w="4110" w:type="dxa"/>
            <w:vAlign w:val="center"/>
          </w:tcPr>
          <w:p w:rsidR="00A32067" w:rsidRPr="0002085C" w:rsidRDefault="00A32067" w:rsidP="0002085C">
            <w:r w:rsidRPr="0002085C">
              <w:rPr>
                <w:rFonts w:cs="宋体" w:hint="eastAsia"/>
                <w:sz w:val="22"/>
                <w:szCs w:val="22"/>
              </w:rPr>
              <w:t>引进技术和设备发生的但未计入设备购置费中的费用</w:t>
            </w:r>
          </w:p>
        </w:tc>
        <w:tc>
          <w:tcPr>
            <w:tcW w:w="4111" w:type="dxa"/>
            <w:vAlign w:val="center"/>
          </w:tcPr>
          <w:p w:rsidR="00A32067" w:rsidRPr="0002085C" w:rsidRDefault="00A32067" w:rsidP="0002085C"/>
        </w:tc>
        <w:tc>
          <w:tcPr>
            <w:tcW w:w="3402" w:type="dxa"/>
            <w:vAlign w:val="center"/>
          </w:tcPr>
          <w:p w:rsidR="00A32067" w:rsidRPr="0002085C" w:rsidRDefault="00A32067" w:rsidP="0002085C">
            <w:pPr>
              <w:rPr>
                <w:rFonts w:eastAsia="楷体_GB2312"/>
                <w:color w:val="FF0000"/>
              </w:rPr>
            </w:pPr>
          </w:p>
        </w:tc>
        <w:tc>
          <w:tcPr>
            <w:tcW w:w="930" w:type="dxa"/>
            <w:vAlign w:val="center"/>
          </w:tcPr>
          <w:p w:rsidR="00A32067" w:rsidRPr="0002085C" w:rsidRDefault="00A32067" w:rsidP="0002085C">
            <w:pPr>
              <w:jc w:val="center"/>
              <w:rPr>
                <w:sz w:val="22"/>
                <w:szCs w:val="22"/>
              </w:rPr>
            </w:pPr>
          </w:p>
        </w:tc>
      </w:tr>
      <w:tr w:rsidR="00A32067">
        <w:trPr>
          <w:trHeight w:hRule="exact" w:val="1413"/>
        </w:trPr>
        <w:tc>
          <w:tcPr>
            <w:tcW w:w="675" w:type="dxa"/>
            <w:vAlign w:val="center"/>
          </w:tcPr>
          <w:p w:rsidR="00A32067" w:rsidRPr="0002085C" w:rsidRDefault="00A32067" w:rsidP="0002085C">
            <w:pPr>
              <w:jc w:val="center"/>
              <w:rPr>
                <w:sz w:val="22"/>
                <w:szCs w:val="22"/>
              </w:rPr>
            </w:pPr>
            <w:r w:rsidRPr="0002085C">
              <w:rPr>
                <w:sz w:val="22"/>
                <w:szCs w:val="22"/>
              </w:rPr>
              <w:t>17.1</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出国人员费用</w:t>
            </w:r>
          </w:p>
        </w:tc>
        <w:tc>
          <w:tcPr>
            <w:tcW w:w="4110" w:type="dxa"/>
            <w:vAlign w:val="center"/>
          </w:tcPr>
          <w:p w:rsidR="00A32067" w:rsidRPr="0002085C" w:rsidRDefault="00A32067" w:rsidP="0002085C">
            <w:pPr>
              <w:rPr>
                <w:sz w:val="22"/>
                <w:szCs w:val="22"/>
              </w:rPr>
            </w:pPr>
            <w:r w:rsidRPr="0002085C">
              <w:rPr>
                <w:rFonts w:cs="宋体" w:hint="eastAsia"/>
                <w:sz w:val="22"/>
                <w:szCs w:val="22"/>
              </w:rPr>
              <w:t>包括买方人员出国进行设计、联络、考察、联合设计、设备材料监检、培训等所发生的差旅费、生活费、制装费等</w:t>
            </w:r>
          </w:p>
        </w:tc>
        <w:tc>
          <w:tcPr>
            <w:tcW w:w="4111" w:type="dxa"/>
            <w:vAlign w:val="center"/>
          </w:tcPr>
          <w:p w:rsidR="00A32067" w:rsidRPr="0002085C" w:rsidRDefault="00A32067" w:rsidP="0002085C">
            <w:pPr>
              <w:rPr>
                <w:sz w:val="22"/>
                <w:szCs w:val="22"/>
              </w:rPr>
            </w:pPr>
            <w:r w:rsidRPr="0002085C">
              <w:rPr>
                <w:rFonts w:cs="宋体" w:hint="eastAsia"/>
                <w:sz w:val="22"/>
                <w:szCs w:val="22"/>
              </w:rPr>
              <w:t>依据合同规定的出国人次、期限和费用标准计算。生活费及制装费按财政部、外交部规定的现行标准计算，差旅费按中国民航公布的国际航线票价计算</w:t>
            </w:r>
          </w:p>
        </w:tc>
        <w:tc>
          <w:tcPr>
            <w:tcW w:w="3402" w:type="dxa"/>
            <w:vAlign w:val="center"/>
          </w:tcPr>
          <w:p w:rsidR="00A32067" w:rsidRPr="0002085C" w:rsidRDefault="00A32067" w:rsidP="0002085C">
            <w:pPr>
              <w:rPr>
                <w:rFonts w:eastAsia="楷体_GB2312"/>
                <w:color w:val="FF0000"/>
              </w:rPr>
            </w:pPr>
            <w:r w:rsidRPr="0002085C">
              <w:rPr>
                <w:rFonts w:eastAsia="楷体_GB2312" w:cs="楷体_GB2312" w:hint="eastAsia"/>
                <w:color w:val="FF0000"/>
              </w:rPr>
              <w:t xml:space="preserve">　</w:t>
            </w:r>
          </w:p>
        </w:tc>
        <w:tc>
          <w:tcPr>
            <w:tcW w:w="930" w:type="dxa"/>
            <w:vAlign w:val="center"/>
          </w:tcPr>
          <w:p w:rsidR="00A32067" w:rsidRPr="0002085C" w:rsidRDefault="00A32067" w:rsidP="0002085C">
            <w:pPr>
              <w:jc w:val="center"/>
              <w:rPr>
                <w:sz w:val="22"/>
                <w:szCs w:val="22"/>
              </w:rPr>
            </w:pPr>
            <w:r w:rsidRPr="0002085C">
              <w:rPr>
                <w:rFonts w:cs="宋体" w:hint="eastAsia"/>
                <w:sz w:val="22"/>
                <w:szCs w:val="22"/>
              </w:rPr>
              <w:t xml:space="preserve">　</w:t>
            </w:r>
          </w:p>
        </w:tc>
      </w:tr>
      <w:tr w:rsidR="00A32067">
        <w:trPr>
          <w:trHeight w:hRule="exact" w:val="1420"/>
        </w:trPr>
        <w:tc>
          <w:tcPr>
            <w:tcW w:w="675" w:type="dxa"/>
            <w:vAlign w:val="center"/>
          </w:tcPr>
          <w:p w:rsidR="00A32067" w:rsidRPr="0002085C" w:rsidRDefault="00A32067" w:rsidP="0002085C">
            <w:pPr>
              <w:jc w:val="center"/>
              <w:rPr>
                <w:sz w:val="22"/>
                <w:szCs w:val="22"/>
              </w:rPr>
            </w:pPr>
            <w:r w:rsidRPr="0002085C">
              <w:rPr>
                <w:sz w:val="22"/>
                <w:szCs w:val="22"/>
              </w:rPr>
              <w:t>17.2</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来华人员费用</w:t>
            </w:r>
          </w:p>
        </w:tc>
        <w:tc>
          <w:tcPr>
            <w:tcW w:w="4110" w:type="dxa"/>
            <w:vAlign w:val="center"/>
          </w:tcPr>
          <w:p w:rsidR="00A32067" w:rsidRPr="0002085C" w:rsidRDefault="00A32067" w:rsidP="0002085C">
            <w:pPr>
              <w:rPr>
                <w:sz w:val="22"/>
                <w:szCs w:val="22"/>
              </w:rPr>
            </w:pPr>
            <w:r w:rsidRPr="0002085C">
              <w:rPr>
                <w:rFonts w:cs="宋体" w:hint="eastAsia"/>
                <w:sz w:val="22"/>
                <w:szCs w:val="22"/>
              </w:rPr>
              <w:t>包括卖方来华工程技术人员的差旅费、现场办公费用、往返现场交通费、工资、食宿费用、接待费等</w:t>
            </w:r>
          </w:p>
        </w:tc>
        <w:tc>
          <w:tcPr>
            <w:tcW w:w="4111" w:type="dxa"/>
            <w:vAlign w:val="center"/>
          </w:tcPr>
          <w:p w:rsidR="00A32067" w:rsidRPr="0002085C" w:rsidRDefault="00A32067" w:rsidP="0002085C">
            <w:pPr>
              <w:rPr>
                <w:sz w:val="22"/>
                <w:szCs w:val="22"/>
              </w:rPr>
            </w:pPr>
            <w:r w:rsidRPr="0002085C">
              <w:rPr>
                <w:rFonts w:cs="宋体" w:hint="eastAsia"/>
                <w:sz w:val="22"/>
                <w:szCs w:val="22"/>
              </w:rPr>
              <w:t>应依据引进合同有关条款规定和来华技术人员派遣计划计算。来华人员接待费用可按人次费用标准计算。引进合同有关条款中已包括的费用内容不得重复计算</w:t>
            </w:r>
          </w:p>
        </w:tc>
        <w:tc>
          <w:tcPr>
            <w:tcW w:w="3402" w:type="dxa"/>
            <w:vAlign w:val="center"/>
          </w:tcPr>
          <w:p w:rsidR="00A32067" w:rsidRPr="0002085C" w:rsidRDefault="00A32067" w:rsidP="0002085C">
            <w:pPr>
              <w:rPr>
                <w:rFonts w:eastAsia="楷体_GB2312"/>
              </w:rPr>
            </w:pPr>
            <w:r w:rsidRPr="0002085C">
              <w:rPr>
                <w:rFonts w:eastAsia="楷体_GB2312" w:cs="楷体_GB2312" w:hint="eastAsia"/>
              </w:rPr>
              <w:t xml:space="preserve">　</w:t>
            </w:r>
          </w:p>
        </w:tc>
        <w:tc>
          <w:tcPr>
            <w:tcW w:w="930" w:type="dxa"/>
            <w:vAlign w:val="center"/>
          </w:tcPr>
          <w:p w:rsidR="00A32067" w:rsidRPr="0002085C" w:rsidRDefault="00A32067" w:rsidP="0002085C">
            <w:pPr>
              <w:jc w:val="center"/>
              <w:rPr>
                <w:sz w:val="22"/>
                <w:szCs w:val="22"/>
              </w:rPr>
            </w:pPr>
            <w:r w:rsidRPr="0002085C">
              <w:rPr>
                <w:rFonts w:cs="宋体" w:hint="eastAsia"/>
                <w:sz w:val="22"/>
                <w:szCs w:val="22"/>
              </w:rPr>
              <w:t xml:space="preserve">　</w:t>
            </w:r>
          </w:p>
        </w:tc>
      </w:tr>
      <w:tr w:rsidR="00A32067">
        <w:trPr>
          <w:trHeight w:hRule="exact" w:val="1126"/>
        </w:trPr>
        <w:tc>
          <w:tcPr>
            <w:tcW w:w="675" w:type="dxa"/>
            <w:vAlign w:val="center"/>
          </w:tcPr>
          <w:p w:rsidR="00A32067" w:rsidRPr="0002085C" w:rsidRDefault="00A32067" w:rsidP="0002085C">
            <w:pPr>
              <w:jc w:val="center"/>
              <w:rPr>
                <w:sz w:val="22"/>
                <w:szCs w:val="22"/>
              </w:rPr>
            </w:pPr>
            <w:r w:rsidRPr="0002085C">
              <w:rPr>
                <w:sz w:val="22"/>
                <w:szCs w:val="22"/>
              </w:rPr>
              <w:t>17.3</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银行担保及承诺费</w:t>
            </w:r>
          </w:p>
        </w:tc>
        <w:tc>
          <w:tcPr>
            <w:tcW w:w="4110" w:type="dxa"/>
            <w:vAlign w:val="center"/>
          </w:tcPr>
          <w:p w:rsidR="00A32067" w:rsidRPr="0002085C" w:rsidRDefault="00A32067" w:rsidP="0002085C">
            <w:pPr>
              <w:rPr>
                <w:sz w:val="22"/>
                <w:szCs w:val="22"/>
              </w:rPr>
            </w:pPr>
            <w:r w:rsidRPr="0002085C">
              <w:rPr>
                <w:rFonts w:cs="宋体" w:hint="eastAsia"/>
                <w:sz w:val="22"/>
                <w:szCs w:val="22"/>
              </w:rPr>
              <w:t>指引进项目由国内外金融机构出面承担风险和责任担保所发生的费用，以及支付贷款机构承诺费用</w:t>
            </w:r>
          </w:p>
        </w:tc>
        <w:tc>
          <w:tcPr>
            <w:tcW w:w="4111" w:type="dxa"/>
            <w:vAlign w:val="center"/>
          </w:tcPr>
          <w:p w:rsidR="00A32067" w:rsidRPr="0002085C" w:rsidRDefault="00A32067" w:rsidP="0002085C">
            <w:pPr>
              <w:rPr>
                <w:sz w:val="22"/>
                <w:szCs w:val="22"/>
              </w:rPr>
            </w:pPr>
            <w:r w:rsidRPr="0002085C">
              <w:rPr>
                <w:rFonts w:cs="宋体" w:hint="eastAsia"/>
                <w:sz w:val="22"/>
                <w:szCs w:val="22"/>
              </w:rPr>
              <w:t>应按担保或承诺协议计取。投资估算和概算编制时可以担保金额或承诺金额乘以费率计算</w:t>
            </w:r>
          </w:p>
        </w:tc>
        <w:tc>
          <w:tcPr>
            <w:tcW w:w="3402" w:type="dxa"/>
            <w:vAlign w:val="center"/>
          </w:tcPr>
          <w:p w:rsidR="00A32067" w:rsidRPr="0002085C" w:rsidRDefault="00A32067" w:rsidP="0002085C">
            <w:pPr>
              <w:rPr>
                <w:rFonts w:eastAsia="楷体_GB2312"/>
              </w:rPr>
            </w:pPr>
            <w:r w:rsidRPr="0002085C">
              <w:rPr>
                <w:rFonts w:eastAsia="楷体_GB2312" w:cs="楷体_GB2312" w:hint="eastAsia"/>
              </w:rPr>
              <w:t xml:space="preserve">　</w:t>
            </w:r>
          </w:p>
        </w:tc>
        <w:tc>
          <w:tcPr>
            <w:tcW w:w="930" w:type="dxa"/>
            <w:vAlign w:val="center"/>
          </w:tcPr>
          <w:p w:rsidR="00A32067" w:rsidRPr="0002085C" w:rsidRDefault="00A32067" w:rsidP="0002085C">
            <w:pPr>
              <w:jc w:val="center"/>
              <w:rPr>
                <w:sz w:val="22"/>
                <w:szCs w:val="22"/>
              </w:rPr>
            </w:pPr>
            <w:r w:rsidRPr="0002085C">
              <w:rPr>
                <w:rFonts w:cs="宋体" w:hint="eastAsia"/>
                <w:sz w:val="22"/>
                <w:szCs w:val="22"/>
              </w:rPr>
              <w:t xml:space="preserve">　</w:t>
            </w:r>
          </w:p>
        </w:tc>
      </w:tr>
      <w:tr w:rsidR="00A32067">
        <w:trPr>
          <w:trHeight w:hRule="exact" w:val="1130"/>
        </w:trPr>
        <w:tc>
          <w:tcPr>
            <w:tcW w:w="675" w:type="dxa"/>
            <w:vAlign w:val="center"/>
          </w:tcPr>
          <w:p w:rsidR="00A32067" w:rsidRPr="0002085C" w:rsidRDefault="00A32067" w:rsidP="0002085C">
            <w:pPr>
              <w:jc w:val="center"/>
              <w:rPr>
                <w:sz w:val="22"/>
                <w:szCs w:val="22"/>
              </w:rPr>
            </w:pPr>
            <w:r w:rsidRPr="0002085C">
              <w:rPr>
                <w:sz w:val="22"/>
                <w:szCs w:val="22"/>
              </w:rPr>
              <w:t>17.4</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其它费用</w:t>
            </w:r>
          </w:p>
        </w:tc>
        <w:tc>
          <w:tcPr>
            <w:tcW w:w="4110" w:type="dxa"/>
            <w:vAlign w:val="center"/>
          </w:tcPr>
          <w:p w:rsidR="00A32067" w:rsidRPr="0002085C" w:rsidRDefault="00A32067" w:rsidP="0002085C">
            <w:pPr>
              <w:rPr>
                <w:sz w:val="22"/>
                <w:szCs w:val="22"/>
              </w:rPr>
            </w:pPr>
            <w:r w:rsidRPr="0002085C">
              <w:rPr>
                <w:rFonts w:cs="宋体" w:hint="eastAsia"/>
                <w:sz w:val="22"/>
                <w:szCs w:val="22"/>
              </w:rPr>
              <w:t>引进项目图纸资料翻译复制费、备品备件测绘费</w:t>
            </w:r>
          </w:p>
        </w:tc>
        <w:tc>
          <w:tcPr>
            <w:tcW w:w="4111" w:type="dxa"/>
            <w:vAlign w:val="center"/>
          </w:tcPr>
          <w:p w:rsidR="00A32067" w:rsidRPr="0002085C" w:rsidRDefault="00A32067" w:rsidP="0002085C">
            <w:pPr>
              <w:rPr>
                <w:sz w:val="22"/>
                <w:szCs w:val="22"/>
              </w:rPr>
            </w:pPr>
            <w:r w:rsidRPr="0002085C">
              <w:rPr>
                <w:rFonts w:cs="宋体" w:hint="eastAsia"/>
                <w:sz w:val="22"/>
                <w:szCs w:val="22"/>
              </w:rPr>
              <w:t>据引进项目的具体情况计列或按引进贷价（</w:t>
            </w:r>
            <w:r w:rsidRPr="0002085C">
              <w:rPr>
                <w:sz w:val="22"/>
                <w:szCs w:val="22"/>
              </w:rPr>
              <w:t>FOB</w:t>
            </w:r>
            <w:r w:rsidRPr="0002085C">
              <w:rPr>
                <w:rFonts w:cs="宋体" w:hint="eastAsia"/>
                <w:sz w:val="22"/>
                <w:szCs w:val="22"/>
              </w:rPr>
              <w:t>）的比例估例；引进项目发生备品备件测绘费时按具体情况估列</w:t>
            </w:r>
          </w:p>
        </w:tc>
        <w:tc>
          <w:tcPr>
            <w:tcW w:w="3402" w:type="dxa"/>
            <w:vAlign w:val="center"/>
          </w:tcPr>
          <w:p w:rsidR="00A32067" w:rsidRPr="0002085C" w:rsidRDefault="00A32067" w:rsidP="0002085C">
            <w:pPr>
              <w:rPr>
                <w:rFonts w:eastAsia="楷体_GB2312"/>
              </w:rPr>
            </w:pPr>
            <w:r w:rsidRPr="0002085C">
              <w:rPr>
                <w:rFonts w:eastAsia="楷体_GB2312" w:cs="楷体_GB2312" w:hint="eastAsia"/>
              </w:rPr>
              <w:t xml:space="preserve">　</w:t>
            </w:r>
          </w:p>
        </w:tc>
        <w:tc>
          <w:tcPr>
            <w:tcW w:w="930" w:type="dxa"/>
            <w:vAlign w:val="center"/>
          </w:tcPr>
          <w:p w:rsidR="00A32067" w:rsidRPr="0002085C" w:rsidRDefault="00A32067" w:rsidP="0002085C">
            <w:pPr>
              <w:jc w:val="center"/>
              <w:rPr>
                <w:sz w:val="22"/>
                <w:szCs w:val="22"/>
              </w:rPr>
            </w:pPr>
            <w:r w:rsidRPr="0002085C">
              <w:rPr>
                <w:rFonts w:cs="宋体" w:hint="eastAsia"/>
                <w:sz w:val="22"/>
                <w:szCs w:val="22"/>
              </w:rPr>
              <w:t xml:space="preserve">　</w:t>
            </w:r>
          </w:p>
        </w:tc>
      </w:tr>
      <w:tr w:rsidR="00A32067">
        <w:trPr>
          <w:trHeight w:hRule="exact" w:val="1124"/>
        </w:trPr>
        <w:tc>
          <w:tcPr>
            <w:tcW w:w="675" w:type="dxa"/>
            <w:vAlign w:val="center"/>
          </w:tcPr>
          <w:p w:rsidR="00A32067" w:rsidRPr="0002085C" w:rsidRDefault="00A32067" w:rsidP="0002085C">
            <w:pPr>
              <w:jc w:val="center"/>
              <w:rPr>
                <w:sz w:val="22"/>
                <w:szCs w:val="22"/>
              </w:rPr>
            </w:pPr>
            <w:r w:rsidRPr="0002085C">
              <w:rPr>
                <w:sz w:val="22"/>
                <w:szCs w:val="22"/>
              </w:rPr>
              <w:t>18</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项目竣工财务决算编制费</w:t>
            </w:r>
          </w:p>
        </w:tc>
        <w:tc>
          <w:tcPr>
            <w:tcW w:w="4110" w:type="dxa"/>
            <w:vAlign w:val="center"/>
          </w:tcPr>
          <w:p w:rsidR="00A32067" w:rsidRPr="0002085C" w:rsidRDefault="00A32067" w:rsidP="0002085C">
            <w:pPr>
              <w:rPr>
                <w:sz w:val="22"/>
                <w:szCs w:val="22"/>
              </w:rPr>
            </w:pPr>
          </w:p>
        </w:tc>
        <w:tc>
          <w:tcPr>
            <w:tcW w:w="4111" w:type="dxa"/>
            <w:vAlign w:val="center"/>
          </w:tcPr>
          <w:p w:rsidR="00A32067" w:rsidRPr="0002085C" w:rsidRDefault="00A32067" w:rsidP="0002085C">
            <w:pPr>
              <w:rPr>
                <w:sz w:val="22"/>
                <w:szCs w:val="22"/>
              </w:rPr>
            </w:pPr>
            <w:r w:rsidRPr="0002085C">
              <w:rPr>
                <w:rFonts w:cs="宋体" w:hint="eastAsia"/>
                <w:sz w:val="22"/>
                <w:szCs w:val="22"/>
              </w:rPr>
              <w:t>该项服务价格市场化，可依据委托合同计算</w:t>
            </w:r>
          </w:p>
        </w:tc>
        <w:tc>
          <w:tcPr>
            <w:tcW w:w="3402" w:type="dxa"/>
            <w:vAlign w:val="center"/>
          </w:tcPr>
          <w:p w:rsidR="00A32067" w:rsidRPr="0002085C" w:rsidRDefault="00A32067" w:rsidP="0002085C">
            <w:pPr>
              <w:rPr>
                <w:sz w:val="22"/>
                <w:szCs w:val="22"/>
              </w:rPr>
            </w:pPr>
            <w:r w:rsidRPr="0002085C">
              <w:rPr>
                <w:rFonts w:cs="宋体" w:hint="eastAsia"/>
                <w:sz w:val="22"/>
                <w:szCs w:val="22"/>
              </w:rPr>
              <w:t>或参考省物价局和财政厅联合发文冀价经费【</w:t>
            </w:r>
            <w:r w:rsidRPr="0002085C">
              <w:rPr>
                <w:sz w:val="22"/>
                <w:szCs w:val="22"/>
              </w:rPr>
              <w:t>2012</w:t>
            </w:r>
            <w:r w:rsidRPr="0002085C">
              <w:rPr>
                <w:rFonts w:cs="宋体" w:hint="eastAsia"/>
                <w:sz w:val="22"/>
                <w:szCs w:val="22"/>
              </w:rPr>
              <w:t>】</w:t>
            </w:r>
            <w:r w:rsidRPr="0002085C">
              <w:rPr>
                <w:sz w:val="22"/>
                <w:szCs w:val="22"/>
              </w:rPr>
              <w:t>18</w:t>
            </w:r>
            <w:r w:rsidRPr="0002085C">
              <w:rPr>
                <w:rFonts w:cs="宋体" w:hint="eastAsia"/>
                <w:sz w:val="22"/>
                <w:szCs w:val="22"/>
              </w:rPr>
              <w:t>号《河北省会计师事务所收费管理办法》</w:t>
            </w:r>
          </w:p>
        </w:tc>
        <w:tc>
          <w:tcPr>
            <w:tcW w:w="930" w:type="dxa"/>
            <w:vAlign w:val="center"/>
          </w:tcPr>
          <w:p w:rsidR="00A32067" w:rsidRPr="0002085C" w:rsidRDefault="00A32067" w:rsidP="0002085C">
            <w:pPr>
              <w:jc w:val="center"/>
              <w:rPr>
                <w:sz w:val="22"/>
                <w:szCs w:val="22"/>
              </w:rPr>
            </w:pPr>
          </w:p>
        </w:tc>
      </w:tr>
      <w:tr w:rsidR="00A32067">
        <w:trPr>
          <w:trHeight w:hRule="exact" w:val="729"/>
        </w:trPr>
        <w:tc>
          <w:tcPr>
            <w:tcW w:w="675" w:type="dxa"/>
            <w:vAlign w:val="center"/>
          </w:tcPr>
          <w:p w:rsidR="00A32067" w:rsidRPr="0002085C" w:rsidRDefault="00A32067" w:rsidP="0002085C">
            <w:pPr>
              <w:jc w:val="center"/>
              <w:rPr>
                <w:sz w:val="22"/>
                <w:szCs w:val="22"/>
              </w:rPr>
            </w:pPr>
            <w:r w:rsidRPr="0002085C">
              <w:rPr>
                <w:sz w:val="22"/>
                <w:szCs w:val="22"/>
              </w:rPr>
              <w:t>19</w:t>
            </w:r>
          </w:p>
        </w:tc>
        <w:tc>
          <w:tcPr>
            <w:tcW w:w="1560" w:type="dxa"/>
            <w:vAlign w:val="center"/>
          </w:tcPr>
          <w:p w:rsidR="00A32067" w:rsidRPr="0002085C" w:rsidRDefault="00A32067" w:rsidP="0002085C">
            <w:pPr>
              <w:jc w:val="center"/>
              <w:rPr>
                <w:sz w:val="22"/>
                <w:szCs w:val="22"/>
              </w:rPr>
            </w:pPr>
            <w:r w:rsidRPr="0002085C">
              <w:rPr>
                <w:rFonts w:cs="宋体" w:hint="eastAsia"/>
                <w:sz w:val="22"/>
                <w:szCs w:val="22"/>
              </w:rPr>
              <w:t>与项目相关的其他费用</w:t>
            </w:r>
          </w:p>
        </w:tc>
        <w:tc>
          <w:tcPr>
            <w:tcW w:w="4110" w:type="dxa"/>
            <w:vAlign w:val="center"/>
          </w:tcPr>
          <w:p w:rsidR="00A32067" w:rsidRPr="0002085C" w:rsidRDefault="00A32067" w:rsidP="0002085C">
            <w:pPr>
              <w:rPr>
                <w:sz w:val="22"/>
                <w:szCs w:val="22"/>
              </w:rPr>
            </w:pPr>
            <w:r w:rsidRPr="0002085C">
              <w:rPr>
                <w:rFonts w:cs="宋体" w:hint="eastAsia"/>
                <w:sz w:val="22"/>
                <w:szCs w:val="22"/>
              </w:rPr>
              <w:t>其他未包括在以上费用中但又必须发生的费用</w:t>
            </w:r>
          </w:p>
        </w:tc>
        <w:tc>
          <w:tcPr>
            <w:tcW w:w="4111" w:type="dxa"/>
            <w:vAlign w:val="center"/>
          </w:tcPr>
          <w:p w:rsidR="00A32067" w:rsidRPr="0002085C" w:rsidRDefault="00A32067" w:rsidP="0002085C">
            <w:pPr>
              <w:rPr>
                <w:sz w:val="22"/>
                <w:szCs w:val="22"/>
              </w:rPr>
            </w:pPr>
          </w:p>
        </w:tc>
        <w:tc>
          <w:tcPr>
            <w:tcW w:w="3402" w:type="dxa"/>
            <w:vAlign w:val="center"/>
          </w:tcPr>
          <w:p w:rsidR="00A32067" w:rsidRPr="0002085C" w:rsidRDefault="00A32067" w:rsidP="0002085C">
            <w:pPr>
              <w:rPr>
                <w:rFonts w:eastAsia="楷体_GB2312"/>
              </w:rPr>
            </w:pPr>
          </w:p>
        </w:tc>
        <w:tc>
          <w:tcPr>
            <w:tcW w:w="930" w:type="dxa"/>
            <w:vAlign w:val="center"/>
          </w:tcPr>
          <w:p w:rsidR="00A32067" w:rsidRPr="0002085C" w:rsidRDefault="00A32067" w:rsidP="0002085C">
            <w:pPr>
              <w:jc w:val="center"/>
              <w:rPr>
                <w:sz w:val="22"/>
                <w:szCs w:val="22"/>
              </w:rPr>
            </w:pPr>
          </w:p>
        </w:tc>
      </w:tr>
    </w:tbl>
    <w:p w:rsidR="00A32067" w:rsidRDefault="00A32067">
      <w:pPr>
        <w:widowControl/>
        <w:jc w:val="center"/>
        <w:outlineLvl w:val="0"/>
        <w:rPr>
          <w:b/>
          <w:bCs/>
          <w:sz w:val="36"/>
          <w:szCs w:val="36"/>
        </w:rPr>
      </w:pPr>
      <w:r>
        <w:rPr>
          <w:b/>
          <w:bCs/>
          <w:sz w:val="36"/>
          <w:szCs w:val="36"/>
        </w:rPr>
        <w:br w:type="page"/>
      </w:r>
      <w:r>
        <w:rPr>
          <w:rFonts w:cs="宋体" w:hint="eastAsia"/>
          <w:b/>
          <w:bCs/>
          <w:sz w:val="36"/>
          <w:szCs w:val="36"/>
        </w:rPr>
        <w:t>河北省建设项目概算其它费用的内容、标准及计算依据和方法</w:t>
      </w:r>
    </w:p>
    <w:tbl>
      <w:tblPr>
        <w:tblpPr w:leftFromText="180" w:rightFromText="180" w:vertAnchor="page" w:horzAnchor="margin" w:tblpY="2371"/>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1171"/>
        <w:gridCol w:w="3195"/>
        <w:gridCol w:w="7229"/>
        <w:gridCol w:w="1751"/>
        <w:gridCol w:w="738"/>
      </w:tblGrid>
      <w:tr w:rsidR="00A32067">
        <w:trPr>
          <w:trHeight w:val="411"/>
        </w:trPr>
        <w:tc>
          <w:tcPr>
            <w:tcW w:w="704" w:type="dxa"/>
            <w:vAlign w:val="center"/>
          </w:tcPr>
          <w:p w:rsidR="00A32067" w:rsidRPr="0002085C" w:rsidRDefault="00A32067" w:rsidP="0002085C">
            <w:pPr>
              <w:jc w:val="center"/>
              <w:rPr>
                <w:b/>
                <w:bCs/>
                <w:sz w:val="22"/>
                <w:szCs w:val="22"/>
              </w:rPr>
            </w:pPr>
            <w:r w:rsidRPr="0002085C">
              <w:rPr>
                <w:rFonts w:cs="宋体" w:hint="eastAsia"/>
                <w:b/>
                <w:bCs/>
                <w:sz w:val="22"/>
                <w:szCs w:val="22"/>
              </w:rPr>
              <w:t>序号</w:t>
            </w:r>
          </w:p>
        </w:tc>
        <w:tc>
          <w:tcPr>
            <w:tcW w:w="1171" w:type="dxa"/>
            <w:vAlign w:val="center"/>
          </w:tcPr>
          <w:p w:rsidR="00A32067" w:rsidRPr="0002085C" w:rsidRDefault="00A32067" w:rsidP="0002085C">
            <w:pPr>
              <w:jc w:val="center"/>
              <w:rPr>
                <w:b/>
                <w:bCs/>
                <w:sz w:val="22"/>
                <w:szCs w:val="22"/>
              </w:rPr>
            </w:pPr>
            <w:r w:rsidRPr="0002085C">
              <w:rPr>
                <w:rFonts w:cs="宋体" w:hint="eastAsia"/>
                <w:b/>
                <w:bCs/>
                <w:sz w:val="22"/>
                <w:szCs w:val="22"/>
              </w:rPr>
              <w:t>费用名称</w:t>
            </w:r>
          </w:p>
        </w:tc>
        <w:tc>
          <w:tcPr>
            <w:tcW w:w="3195" w:type="dxa"/>
            <w:vAlign w:val="center"/>
          </w:tcPr>
          <w:p w:rsidR="00A32067" w:rsidRPr="0002085C" w:rsidRDefault="00A32067" w:rsidP="0002085C">
            <w:pPr>
              <w:jc w:val="center"/>
              <w:rPr>
                <w:b/>
                <w:bCs/>
                <w:sz w:val="22"/>
                <w:szCs w:val="22"/>
              </w:rPr>
            </w:pPr>
            <w:r w:rsidRPr="0002085C">
              <w:rPr>
                <w:rFonts w:cs="宋体" w:hint="eastAsia"/>
                <w:b/>
                <w:bCs/>
                <w:sz w:val="22"/>
                <w:szCs w:val="22"/>
              </w:rPr>
              <w:t>内容摘要</w:t>
            </w:r>
          </w:p>
        </w:tc>
        <w:tc>
          <w:tcPr>
            <w:tcW w:w="7229" w:type="dxa"/>
            <w:vAlign w:val="center"/>
          </w:tcPr>
          <w:p w:rsidR="00A32067" w:rsidRPr="0002085C" w:rsidRDefault="00A32067" w:rsidP="0002085C">
            <w:pPr>
              <w:jc w:val="center"/>
              <w:rPr>
                <w:b/>
                <w:bCs/>
                <w:sz w:val="22"/>
                <w:szCs w:val="22"/>
              </w:rPr>
            </w:pPr>
            <w:r w:rsidRPr="0002085C">
              <w:rPr>
                <w:rFonts w:cs="宋体" w:hint="eastAsia"/>
                <w:b/>
                <w:bCs/>
                <w:sz w:val="22"/>
                <w:szCs w:val="22"/>
              </w:rPr>
              <w:t>计算方法及指标</w:t>
            </w:r>
          </w:p>
        </w:tc>
        <w:tc>
          <w:tcPr>
            <w:tcW w:w="1751" w:type="dxa"/>
            <w:vAlign w:val="center"/>
          </w:tcPr>
          <w:p w:rsidR="00A32067" w:rsidRPr="0002085C" w:rsidRDefault="00A32067" w:rsidP="0002085C">
            <w:pPr>
              <w:jc w:val="center"/>
              <w:rPr>
                <w:b/>
                <w:bCs/>
                <w:sz w:val="22"/>
                <w:szCs w:val="22"/>
              </w:rPr>
            </w:pPr>
            <w:r w:rsidRPr="0002085C">
              <w:rPr>
                <w:rFonts w:cs="宋体" w:hint="eastAsia"/>
                <w:b/>
                <w:bCs/>
                <w:sz w:val="22"/>
                <w:szCs w:val="22"/>
              </w:rPr>
              <w:t>依据文件</w:t>
            </w:r>
          </w:p>
        </w:tc>
        <w:tc>
          <w:tcPr>
            <w:tcW w:w="738" w:type="dxa"/>
            <w:vAlign w:val="center"/>
          </w:tcPr>
          <w:p w:rsidR="00A32067" w:rsidRPr="0002085C" w:rsidRDefault="00A32067" w:rsidP="0002085C">
            <w:pPr>
              <w:jc w:val="center"/>
              <w:rPr>
                <w:b/>
                <w:bCs/>
                <w:sz w:val="22"/>
                <w:szCs w:val="22"/>
              </w:rPr>
            </w:pPr>
            <w:r w:rsidRPr="0002085C">
              <w:rPr>
                <w:rFonts w:cs="宋体" w:hint="eastAsia"/>
                <w:b/>
                <w:bCs/>
                <w:sz w:val="22"/>
                <w:szCs w:val="22"/>
              </w:rPr>
              <w:t>备注</w:t>
            </w:r>
          </w:p>
        </w:tc>
      </w:tr>
      <w:tr w:rsidR="00A32067">
        <w:trPr>
          <w:trHeight w:val="557"/>
        </w:trPr>
        <w:tc>
          <w:tcPr>
            <w:tcW w:w="14788" w:type="dxa"/>
            <w:gridSpan w:val="6"/>
          </w:tcPr>
          <w:p w:rsidR="00A32067" w:rsidRPr="0002085C" w:rsidRDefault="00A32067" w:rsidP="0002085C">
            <w:pPr>
              <w:pStyle w:val="Heading2"/>
              <w:spacing w:before="120" w:after="0" w:line="240" w:lineRule="auto"/>
              <w:rPr>
                <w:rFonts w:ascii="Times New Roman" w:hAnsi="Times New Roman" w:cs="Times New Roman"/>
                <w:sz w:val="24"/>
                <w:szCs w:val="24"/>
              </w:rPr>
            </w:pPr>
            <w:bookmarkStart w:id="4" w:name="_Toc519872247"/>
            <w:r w:rsidRPr="0002085C">
              <w:rPr>
                <w:rFonts w:ascii="Times New Roman" w:hAnsi="Times New Roman" w:cs="宋体" w:hint="eastAsia"/>
                <w:sz w:val="24"/>
                <w:szCs w:val="24"/>
              </w:rPr>
              <w:t>三、与未来生产经营有关的费用</w:t>
            </w:r>
            <w:bookmarkEnd w:id="4"/>
          </w:p>
        </w:tc>
      </w:tr>
      <w:tr w:rsidR="00A32067">
        <w:trPr>
          <w:trHeight w:val="2832"/>
        </w:trPr>
        <w:tc>
          <w:tcPr>
            <w:tcW w:w="704" w:type="dxa"/>
            <w:vAlign w:val="center"/>
          </w:tcPr>
          <w:p w:rsidR="00A32067" w:rsidRPr="0002085C" w:rsidRDefault="00A32067" w:rsidP="0002085C">
            <w:pPr>
              <w:jc w:val="center"/>
              <w:rPr>
                <w:sz w:val="22"/>
                <w:szCs w:val="22"/>
              </w:rPr>
            </w:pPr>
            <w:r w:rsidRPr="0002085C">
              <w:rPr>
                <w:sz w:val="22"/>
                <w:szCs w:val="22"/>
              </w:rPr>
              <w:t>1</w:t>
            </w:r>
          </w:p>
        </w:tc>
        <w:tc>
          <w:tcPr>
            <w:tcW w:w="1171" w:type="dxa"/>
            <w:vAlign w:val="center"/>
          </w:tcPr>
          <w:p w:rsidR="00A32067" w:rsidRPr="0002085C" w:rsidRDefault="00A32067" w:rsidP="0002085C">
            <w:pPr>
              <w:jc w:val="center"/>
              <w:rPr>
                <w:sz w:val="22"/>
                <w:szCs w:val="22"/>
              </w:rPr>
            </w:pPr>
            <w:r w:rsidRPr="0002085C">
              <w:rPr>
                <w:rFonts w:cs="宋体" w:hint="eastAsia"/>
                <w:sz w:val="22"/>
                <w:szCs w:val="22"/>
              </w:rPr>
              <w:t>生产准备费</w:t>
            </w:r>
          </w:p>
        </w:tc>
        <w:tc>
          <w:tcPr>
            <w:tcW w:w="3195" w:type="dxa"/>
            <w:vAlign w:val="center"/>
          </w:tcPr>
          <w:p w:rsidR="00A32067" w:rsidRPr="0002085C" w:rsidRDefault="00A32067" w:rsidP="0002085C">
            <w:pPr>
              <w:rPr>
                <w:sz w:val="22"/>
                <w:szCs w:val="22"/>
              </w:rPr>
            </w:pPr>
            <w:r w:rsidRPr="0002085C">
              <w:rPr>
                <w:rFonts w:cs="宋体" w:hint="eastAsia"/>
                <w:sz w:val="22"/>
                <w:szCs w:val="22"/>
              </w:rPr>
              <w:t>生产准备费是指建设单位为保证项目的正常生产而发生的人员培训费、提前进厂费，以及投产使用必备的办公、生活家具用具及工器具等的购置费用</w:t>
            </w:r>
          </w:p>
        </w:tc>
        <w:tc>
          <w:tcPr>
            <w:tcW w:w="7229" w:type="dxa"/>
            <w:vAlign w:val="center"/>
          </w:tcPr>
          <w:p w:rsidR="00A32067" w:rsidRPr="0002085C" w:rsidRDefault="00A32067" w:rsidP="0002085C">
            <w:pPr>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生产准备费。包括人员培训费及提前进厂费，指在项目交工验收前对工人、技术人员和管理人员自行组织培训、或委托其他单位培训的人员的工资、工资性补贴、职工福利费、差旅交通费、劳动保护费、学习资料费等、生产人员培训等。</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）办公、生活家具用具购置费。为保证建设项目初期正常生产、生活（或营业、使用）和管理所必需购置的办公、生活家具用具的费用。</w:t>
            </w:r>
            <w:r w:rsidRPr="0002085C">
              <w:rPr>
                <w:sz w:val="22"/>
                <w:szCs w:val="22"/>
              </w:rPr>
              <w:br/>
            </w:r>
            <w:r w:rsidRPr="0002085C">
              <w:rPr>
                <w:rFonts w:cs="宋体" w:hint="eastAsia"/>
                <w:sz w:val="22"/>
                <w:szCs w:val="22"/>
              </w:rPr>
              <w:t>新建设项目按设计定员为基数计算，改扩建项目按新增设计定员为基数计</w:t>
            </w:r>
            <w:r w:rsidRPr="0002085C">
              <w:rPr>
                <w:sz w:val="22"/>
                <w:szCs w:val="22"/>
              </w:rPr>
              <w:br/>
            </w:r>
            <w:r w:rsidRPr="0002085C">
              <w:rPr>
                <w:rFonts w:cs="宋体" w:hint="eastAsia"/>
                <w:sz w:val="22"/>
                <w:szCs w:val="22"/>
              </w:rPr>
              <w:t>算，乘以以上两项费用内容的分类指标计算。</w:t>
            </w:r>
            <w:r w:rsidRPr="0002085C">
              <w:rPr>
                <w:sz w:val="22"/>
                <w:szCs w:val="22"/>
              </w:rPr>
              <w:br/>
            </w:r>
            <w:r w:rsidRPr="0002085C">
              <w:rPr>
                <w:rFonts w:cs="宋体" w:hint="eastAsia"/>
                <w:sz w:val="22"/>
                <w:szCs w:val="22"/>
              </w:rPr>
              <w:t>生产准备费及开办费＝</w:t>
            </w:r>
            <w:r w:rsidRPr="0002085C">
              <w:rPr>
                <w:sz w:val="22"/>
                <w:szCs w:val="22"/>
              </w:rPr>
              <w:t>∑</w:t>
            </w:r>
            <w:r w:rsidRPr="0002085C">
              <w:rPr>
                <w:rFonts w:cs="宋体" w:hint="eastAsia"/>
                <w:sz w:val="22"/>
                <w:szCs w:val="22"/>
              </w:rPr>
              <w:t>（设计定员</w:t>
            </w:r>
            <w:r w:rsidRPr="0002085C">
              <w:rPr>
                <w:sz w:val="22"/>
                <w:szCs w:val="22"/>
              </w:rPr>
              <w:t>×</w:t>
            </w:r>
            <w:r w:rsidRPr="0002085C">
              <w:rPr>
                <w:rFonts w:cs="宋体" w:hint="eastAsia"/>
                <w:sz w:val="22"/>
                <w:szCs w:val="22"/>
              </w:rPr>
              <w:t>指标）（元</w:t>
            </w:r>
            <w:r w:rsidRPr="0002085C">
              <w:rPr>
                <w:sz w:val="22"/>
                <w:szCs w:val="22"/>
              </w:rPr>
              <w:t>/</w:t>
            </w:r>
            <w:r w:rsidRPr="0002085C">
              <w:rPr>
                <w:rFonts w:cs="宋体" w:hint="eastAsia"/>
                <w:sz w:val="22"/>
                <w:szCs w:val="22"/>
              </w:rPr>
              <w:t>人）</w:t>
            </w:r>
          </w:p>
        </w:tc>
        <w:tc>
          <w:tcPr>
            <w:tcW w:w="1751" w:type="dxa"/>
            <w:vAlign w:val="center"/>
          </w:tcPr>
          <w:p w:rsidR="00A32067" w:rsidRPr="0002085C" w:rsidRDefault="00A32067" w:rsidP="0002085C">
            <w:pPr>
              <w:rPr>
                <w:sz w:val="22"/>
                <w:szCs w:val="22"/>
              </w:rPr>
            </w:pPr>
            <w:r w:rsidRPr="0002085C">
              <w:rPr>
                <w:rFonts w:cs="宋体" w:hint="eastAsia"/>
                <w:sz w:val="22"/>
                <w:szCs w:val="22"/>
              </w:rPr>
              <w:t>《关于改进工程建设概预算定额管理工作的若干规定》（计标</w:t>
            </w:r>
            <w:r w:rsidRPr="0002085C">
              <w:rPr>
                <w:sz w:val="22"/>
                <w:szCs w:val="22"/>
              </w:rPr>
              <w:t>(85)352</w:t>
            </w:r>
            <w:r w:rsidRPr="0002085C">
              <w:rPr>
                <w:rFonts w:cs="宋体" w:hint="eastAsia"/>
                <w:sz w:val="22"/>
                <w:szCs w:val="22"/>
              </w:rPr>
              <w:t>号）</w:t>
            </w:r>
          </w:p>
        </w:tc>
        <w:tc>
          <w:tcPr>
            <w:tcW w:w="738" w:type="dxa"/>
          </w:tcPr>
          <w:p w:rsidR="00A32067" w:rsidRPr="0002085C" w:rsidRDefault="00A32067" w:rsidP="0002085C">
            <w:pPr>
              <w:widowControl/>
              <w:jc w:val="center"/>
              <w:rPr>
                <w:b/>
                <w:bCs/>
                <w:sz w:val="36"/>
                <w:szCs w:val="36"/>
              </w:rPr>
            </w:pPr>
          </w:p>
        </w:tc>
      </w:tr>
      <w:tr w:rsidR="00A32067">
        <w:trPr>
          <w:trHeight w:val="4516"/>
        </w:trPr>
        <w:tc>
          <w:tcPr>
            <w:tcW w:w="704" w:type="dxa"/>
            <w:vAlign w:val="center"/>
          </w:tcPr>
          <w:p w:rsidR="00A32067" w:rsidRPr="0002085C" w:rsidRDefault="00A32067" w:rsidP="0002085C">
            <w:pPr>
              <w:jc w:val="center"/>
              <w:rPr>
                <w:sz w:val="22"/>
                <w:szCs w:val="22"/>
              </w:rPr>
            </w:pPr>
            <w:r w:rsidRPr="0002085C">
              <w:rPr>
                <w:sz w:val="22"/>
                <w:szCs w:val="22"/>
              </w:rPr>
              <w:t>2</w:t>
            </w:r>
          </w:p>
        </w:tc>
        <w:tc>
          <w:tcPr>
            <w:tcW w:w="1171" w:type="dxa"/>
            <w:vAlign w:val="center"/>
          </w:tcPr>
          <w:p w:rsidR="00A32067" w:rsidRPr="0002085C" w:rsidRDefault="00A32067" w:rsidP="0002085C">
            <w:pPr>
              <w:jc w:val="center"/>
              <w:rPr>
                <w:sz w:val="22"/>
                <w:szCs w:val="22"/>
              </w:rPr>
            </w:pPr>
            <w:r w:rsidRPr="0002085C">
              <w:rPr>
                <w:rFonts w:cs="宋体" w:hint="eastAsia"/>
                <w:sz w:val="22"/>
                <w:szCs w:val="22"/>
              </w:rPr>
              <w:t>联合试运转费</w:t>
            </w:r>
          </w:p>
        </w:tc>
        <w:tc>
          <w:tcPr>
            <w:tcW w:w="3195" w:type="dxa"/>
            <w:vAlign w:val="center"/>
          </w:tcPr>
          <w:p w:rsidR="00A32067" w:rsidRPr="0002085C" w:rsidRDefault="00A32067" w:rsidP="0002085C">
            <w:pPr>
              <w:rPr>
                <w:sz w:val="22"/>
                <w:szCs w:val="22"/>
              </w:rPr>
            </w:pPr>
            <w:r w:rsidRPr="0002085C">
              <w:rPr>
                <w:rFonts w:cs="宋体" w:hint="eastAsia"/>
                <w:sz w:val="22"/>
                <w:szCs w:val="22"/>
              </w:rPr>
              <w:t>联合试运转费是指新建或新增加生产能力的工程项目，在交付生产前按照设计文件规定的工程质量标准和技术要求，对整个生产线或装置进行负荷联合试运转或局部联动试车所发生的费用支出（指付出大于试运转收入的差额部分）。费用内容包括：试运转所需的原材料、燃料及动力消耗、低值易耗品和其他物料的费用、机械使用费、工具用具使用费用，施工单位参加联合试运转人员的工资以及专家指导费等。试运转收入包括试运转期间的产品销售和其他收入</w:t>
            </w:r>
          </w:p>
        </w:tc>
        <w:tc>
          <w:tcPr>
            <w:tcW w:w="7229" w:type="dxa"/>
            <w:vAlign w:val="center"/>
          </w:tcPr>
          <w:p w:rsidR="00A32067" w:rsidRPr="0002085C" w:rsidRDefault="00A32067" w:rsidP="0002085C">
            <w:pPr>
              <w:rPr>
                <w:sz w:val="22"/>
                <w:szCs w:val="22"/>
              </w:rPr>
            </w:pPr>
            <w:r w:rsidRPr="0002085C">
              <w:rPr>
                <w:rFonts w:cs="宋体" w:hint="eastAsia"/>
                <w:sz w:val="22"/>
                <w:szCs w:val="22"/>
              </w:rPr>
              <w:t>（</w:t>
            </w:r>
            <w:r w:rsidRPr="0002085C">
              <w:rPr>
                <w:sz w:val="22"/>
                <w:szCs w:val="22"/>
              </w:rPr>
              <w:t>1</w:t>
            </w:r>
            <w:r w:rsidRPr="0002085C">
              <w:rPr>
                <w:rFonts w:cs="宋体" w:hint="eastAsia"/>
                <w:sz w:val="22"/>
                <w:szCs w:val="22"/>
              </w:rPr>
              <w:t>）不发生试运转或试运转收入大于（或等于）费用支出的工程、不列此项费用。</w:t>
            </w:r>
            <w:r w:rsidRPr="0002085C">
              <w:rPr>
                <w:sz w:val="22"/>
                <w:szCs w:val="22"/>
              </w:rPr>
              <w:br/>
            </w:r>
            <w:r w:rsidRPr="0002085C">
              <w:rPr>
                <w:rFonts w:cs="宋体" w:hint="eastAsia"/>
                <w:sz w:val="22"/>
                <w:szCs w:val="22"/>
              </w:rPr>
              <w:t>（</w:t>
            </w:r>
            <w:r w:rsidRPr="0002085C">
              <w:rPr>
                <w:sz w:val="22"/>
                <w:szCs w:val="22"/>
              </w:rPr>
              <w:t>2</w:t>
            </w:r>
            <w:r w:rsidRPr="0002085C">
              <w:rPr>
                <w:rFonts w:cs="宋体" w:hint="eastAsia"/>
                <w:sz w:val="22"/>
                <w:szCs w:val="22"/>
              </w:rPr>
              <w:t>）当联合试运转收入小于试运转支出时：</w:t>
            </w:r>
            <w:r w:rsidRPr="0002085C">
              <w:rPr>
                <w:sz w:val="22"/>
                <w:szCs w:val="22"/>
              </w:rPr>
              <w:br/>
            </w:r>
            <w:r w:rsidRPr="0002085C">
              <w:rPr>
                <w:rFonts w:cs="宋体" w:hint="eastAsia"/>
                <w:sz w:val="22"/>
                <w:szCs w:val="22"/>
              </w:rPr>
              <w:t>联合试运转费＝联合试运转费用支出－联合试运转收入</w:t>
            </w:r>
            <w:r w:rsidRPr="0002085C">
              <w:rPr>
                <w:sz w:val="22"/>
                <w:szCs w:val="22"/>
              </w:rPr>
              <w:br/>
            </w:r>
            <w:r w:rsidRPr="0002085C">
              <w:rPr>
                <w:rFonts w:cs="宋体" w:hint="eastAsia"/>
                <w:sz w:val="22"/>
                <w:szCs w:val="22"/>
              </w:rPr>
              <w:t>（</w:t>
            </w:r>
            <w:r w:rsidRPr="0002085C">
              <w:rPr>
                <w:sz w:val="22"/>
                <w:szCs w:val="22"/>
              </w:rPr>
              <w:t>3</w:t>
            </w:r>
            <w:r w:rsidRPr="0002085C">
              <w:rPr>
                <w:rFonts w:cs="宋体" w:hint="eastAsia"/>
                <w:sz w:val="22"/>
                <w:szCs w:val="22"/>
              </w:rPr>
              <w:t>）不包括应由设备安装工程费用开支的单台调试费及试车费用，以及在试运转中发现的因施工原因或设备缺陷等引起的修复处置用。</w:t>
            </w:r>
            <w:r w:rsidRPr="0002085C">
              <w:rPr>
                <w:sz w:val="22"/>
                <w:szCs w:val="22"/>
              </w:rPr>
              <w:br/>
            </w:r>
            <w:r w:rsidRPr="0002085C">
              <w:rPr>
                <w:rFonts w:cs="宋体" w:hint="eastAsia"/>
                <w:sz w:val="22"/>
                <w:szCs w:val="22"/>
              </w:rPr>
              <w:t>（</w:t>
            </w:r>
            <w:r w:rsidRPr="0002085C">
              <w:rPr>
                <w:sz w:val="22"/>
                <w:szCs w:val="22"/>
              </w:rPr>
              <w:t>4</w:t>
            </w:r>
            <w:r w:rsidRPr="0002085C">
              <w:rPr>
                <w:rFonts w:cs="宋体" w:hint="eastAsia"/>
                <w:sz w:val="22"/>
                <w:szCs w:val="22"/>
              </w:rPr>
              <w:t>）试运行期应按照批准的设计文件所规定的期限计算，引进项目应按建设合同中规定的期限计算。试运行期需要超过规定试运行期的，应报项目批准部门审批。</w:t>
            </w:r>
          </w:p>
        </w:tc>
        <w:tc>
          <w:tcPr>
            <w:tcW w:w="1751" w:type="dxa"/>
            <w:vAlign w:val="center"/>
          </w:tcPr>
          <w:p w:rsidR="00A32067" w:rsidRPr="0002085C" w:rsidRDefault="00A32067" w:rsidP="0002085C">
            <w:pPr>
              <w:rPr>
                <w:sz w:val="22"/>
                <w:szCs w:val="22"/>
              </w:rPr>
            </w:pPr>
            <w:r w:rsidRPr="0002085C">
              <w:rPr>
                <w:rFonts w:cs="宋体" w:hint="eastAsia"/>
                <w:sz w:val="22"/>
                <w:szCs w:val="22"/>
              </w:rPr>
              <w:t>《关于改进工程建设概预算定额管理工作的若干规定》（计标</w:t>
            </w:r>
            <w:r w:rsidRPr="0002085C">
              <w:rPr>
                <w:sz w:val="22"/>
                <w:szCs w:val="22"/>
              </w:rPr>
              <w:t>(85)352</w:t>
            </w:r>
            <w:r w:rsidRPr="0002085C">
              <w:rPr>
                <w:rFonts w:cs="宋体" w:hint="eastAsia"/>
                <w:sz w:val="22"/>
                <w:szCs w:val="22"/>
              </w:rPr>
              <w:t>号）</w:t>
            </w:r>
          </w:p>
        </w:tc>
        <w:tc>
          <w:tcPr>
            <w:tcW w:w="738" w:type="dxa"/>
          </w:tcPr>
          <w:p w:rsidR="00A32067" w:rsidRPr="0002085C" w:rsidRDefault="00A32067" w:rsidP="0002085C">
            <w:pPr>
              <w:widowControl/>
              <w:jc w:val="center"/>
              <w:rPr>
                <w:b/>
                <w:bCs/>
                <w:sz w:val="36"/>
                <w:szCs w:val="36"/>
              </w:rPr>
            </w:pPr>
          </w:p>
        </w:tc>
      </w:tr>
    </w:tbl>
    <w:p w:rsidR="00A32067" w:rsidRDefault="00A32067">
      <w:pPr>
        <w:widowControl/>
        <w:jc w:val="left"/>
        <w:rPr>
          <w:b/>
          <w:bCs/>
          <w:sz w:val="36"/>
          <w:szCs w:val="36"/>
        </w:rPr>
      </w:pPr>
    </w:p>
    <w:p w:rsidR="00A32067" w:rsidRDefault="00A32067">
      <w:pPr>
        <w:widowControl/>
        <w:jc w:val="left"/>
        <w:sectPr w:rsidR="00A32067">
          <w:headerReference w:type="even" r:id="rId29"/>
          <w:headerReference w:type="default" r:id="rId30"/>
          <w:footerReference w:type="even" r:id="rId31"/>
          <w:footerReference w:type="default" r:id="rId32"/>
          <w:pgSz w:w="16840" w:h="11907" w:orient="landscape"/>
          <w:pgMar w:top="1077" w:right="1134" w:bottom="1077" w:left="1134" w:header="794" w:footer="567" w:gutter="284"/>
          <w:pgNumType w:start="3"/>
          <w:cols w:space="720"/>
          <w:docGrid w:linePitch="312"/>
        </w:sectPr>
      </w:pPr>
    </w:p>
    <w:tbl>
      <w:tblPr>
        <w:tblW w:w="9923" w:type="dxa"/>
        <w:tblInd w:w="2" w:type="dxa"/>
        <w:tblLayout w:type="fixed"/>
        <w:tblLook w:val="00A0"/>
      </w:tblPr>
      <w:tblGrid>
        <w:gridCol w:w="539"/>
        <w:gridCol w:w="879"/>
        <w:gridCol w:w="3261"/>
        <w:gridCol w:w="1470"/>
        <w:gridCol w:w="2218"/>
        <w:gridCol w:w="1556"/>
      </w:tblGrid>
      <w:tr w:rsidR="00A32067">
        <w:trPr>
          <w:trHeight w:val="1002"/>
        </w:trPr>
        <w:tc>
          <w:tcPr>
            <w:tcW w:w="9923" w:type="dxa"/>
            <w:gridSpan w:val="6"/>
            <w:tcBorders>
              <w:top w:val="nil"/>
              <w:left w:val="nil"/>
              <w:bottom w:val="nil"/>
              <w:right w:val="nil"/>
            </w:tcBorders>
            <w:vAlign w:val="center"/>
          </w:tcPr>
          <w:p w:rsidR="00A32067" w:rsidRPr="0002085C" w:rsidRDefault="00A32067" w:rsidP="00A32067">
            <w:pPr>
              <w:pStyle w:val="Heading2"/>
              <w:spacing w:before="120" w:after="0" w:line="240" w:lineRule="auto"/>
              <w:ind w:left="31680" w:hangingChars="400" w:firstLine="31680"/>
              <w:rPr>
                <w:rFonts w:ascii="Times New Roman" w:hAnsi="Times New Roman" w:cs="Times New Roman"/>
                <w:kern w:val="0"/>
              </w:rPr>
            </w:pPr>
            <w:bookmarkStart w:id="5" w:name="_Toc519872248"/>
            <w:r w:rsidRPr="0002085C">
              <w:rPr>
                <w:rFonts w:ascii="Times New Roman" w:hAnsi="Times New Roman" w:cs="宋体" w:hint="eastAsia"/>
                <w:kern w:val="0"/>
                <w:sz w:val="24"/>
                <w:szCs w:val="24"/>
              </w:rPr>
              <w:t>附表：</w:t>
            </w:r>
            <w:r w:rsidRPr="0002085C">
              <w:rPr>
                <w:rFonts w:ascii="Times New Roman" w:hAnsi="Times New Roman" w:cs="Times New Roman"/>
                <w:kern w:val="0"/>
                <w:sz w:val="24"/>
                <w:szCs w:val="24"/>
              </w:rPr>
              <w:br/>
            </w:r>
            <w:r w:rsidRPr="0002085C">
              <w:rPr>
                <w:rFonts w:ascii="Times New Roman" w:hAnsi="Times New Roman" w:cs="宋体" w:hint="eastAsia"/>
                <w:kern w:val="0"/>
                <w:sz w:val="36"/>
                <w:szCs w:val="36"/>
              </w:rPr>
              <w:t>河北省各地市城市基础设施配套费收费标准汇总表</w:t>
            </w:r>
            <w:bookmarkEnd w:id="5"/>
          </w:p>
        </w:tc>
      </w:tr>
      <w:tr w:rsidR="00A32067">
        <w:trPr>
          <w:trHeight w:val="540"/>
        </w:trPr>
        <w:tc>
          <w:tcPr>
            <w:tcW w:w="539"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b/>
                <w:bCs/>
                <w:kern w:val="0"/>
              </w:rPr>
              <w:t>序号</w:t>
            </w:r>
          </w:p>
        </w:tc>
        <w:tc>
          <w:tcPr>
            <w:tcW w:w="879" w:type="dxa"/>
            <w:tcBorders>
              <w:top w:val="single" w:sz="4" w:space="0" w:color="auto"/>
              <w:left w:val="nil"/>
              <w:bottom w:val="single" w:sz="4" w:space="0" w:color="auto"/>
              <w:right w:val="single" w:sz="4" w:space="0" w:color="auto"/>
            </w:tcBorders>
            <w:vAlign w:val="center"/>
          </w:tcPr>
          <w:p w:rsidR="00A32067" w:rsidRDefault="00A32067">
            <w:pPr>
              <w:widowControl/>
              <w:jc w:val="center"/>
              <w:rPr>
                <w:b/>
                <w:bCs/>
                <w:kern w:val="0"/>
              </w:rPr>
            </w:pPr>
            <w:r>
              <w:rPr>
                <w:rFonts w:cs="宋体" w:hint="eastAsia"/>
                <w:b/>
                <w:bCs/>
                <w:kern w:val="0"/>
              </w:rPr>
              <w:t>市别</w:t>
            </w:r>
          </w:p>
        </w:tc>
        <w:tc>
          <w:tcPr>
            <w:tcW w:w="3261" w:type="dxa"/>
            <w:tcBorders>
              <w:top w:val="single" w:sz="4" w:space="0" w:color="auto"/>
              <w:left w:val="nil"/>
              <w:bottom w:val="single" w:sz="4" w:space="0" w:color="auto"/>
              <w:right w:val="single" w:sz="4" w:space="0" w:color="auto"/>
            </w:tcBorders>
            <w:vAlign w:val="center"/>
          </w:tcPr>
          <w:p w:rsidR="00A32067" w:rsidRDefault="00A32067">
            <w:pPr>
              <w:widowControl/>
              <w:jc w:val="center"/>
              <w:rPr>
                <w:b/>
                <w:bCs/>
                <w:kern w:val="0"/>
              </w:rPr>
            </w:pPr>
            <w:r>
              <w:rPr>
                <w:rFonts w:cs="宋体" w:hint="eastAsia"/>
                <w:b/>
                <w:bCs/>
                <w:kern w:val="0"/>
              </w:rPr>
              <w:t>文件名称</w:t>
            </w:r>
          </w:p>
        </w:tc>
        <w:tc>
          <w:tcPr>
            <w:tcW w:w="1470" w:type="dxa"/>
            <w:tcBorders>
              <w:top w:val="single" w:sz="4" w:space="0" w:color="auto"/>
              <w:left w:val="nil"/>
              <w:bottom w:val="single" w:sz="4" w:space="0" w:color="auto"/>
              <w:right w:val="single" w:sz="4" w:space="0" w:color="auto"/>
            </w:tcBorders>
            <w:vAlign w:val="center"/>
          </w:tcPr>
          <w:p w:rsidR="00A32067" w:rsidRDefault="00A32067">
            <w:pPr>
              <w:widowControl/>
              <w:jc w:val="center"/>
              <w:rPr>
                <w:b/>
                <w:bCs/>
                <w:kern w:val="0"/>
              </w:rPr>
            </w:pPr>
            <w:r>
              <w:rPr>
                <w:rFonts w:cs="宋体" w:hint="eastAsia"/>
                <w:b/>
                <w:bCs/>
                <w:kern w:val="0"/>
              </w:rPr>
              <w:t>文号</w:t>
            </w:r>
          </w:p>
        </w:tc>
        <w:tc>
          <w:tcPr>
            <w:tcW w:w="2218" w:type="dxa"/>
            <w:tcBorders>
              <w:top w:val="single" w:sz="4" w:space="0" w:color="auto"/>
              <w:left w:val="nil"/>
              <w:bottom w:val="single" w:sz="4" w:space="0" w:color="auto"/>
              <w:right w:val="single" w:sz="4" w:space="0" w:color="auto"/>
            </w:tcBorders>
            <w:vAlign w:val="center"/>
          </w:tcPr>
          <w:p w:rsidR="00A32067" w:rsidRDefault="00A32067">
            <w:pPr>
              <w:widowControl/>
              <w:jc w:val="center"/>
              <w:rPr>
                <w:b/>
                <w:bCs/>
                <w:kern w:val="0"/>
              </w:rPr>
            </w:pPr>
            <w:r>
              <w:rPr>
                <w:rFonts w:cs="宋体" w:hint="eastAsia"/>
                <w:b/>
                <w:bCs/>
                <w:kern w:val="0"/>
              </w:rPr>
              <w:t>市区标准</w:t>
            </w:r>
          </w:p>
          <w:p w:rsidR="00A32067" w:rsidRDefault="00A32067">
            <w:pPr>
              <w:widowControl/>
              <w:jc w:val="center"/>
              <w:rPr>
                <w:b/>
                <w:bCs/>
                <w:kern w:val="0"/>
              </w:rPr>
            </w:pPr>
            <w:r>
              <w:rPr>
                <w:rFonts w:cs="宋体" w:hint="eastAsia"/>
                <w:b/>
                <w:bCs/>
                <w:kern w:val="0"/>
              </w:rPr>
              <w:t>（</w:t>
            </w:r>
            <w:r>
              <w:rPr>
                <w:rFonts w:cs="宋体" w:hint="eastAsia"/>
                <w:kern w:val="0"/>
              </w:rPr>
              <w:t>新建建筑面积计算</w:t>
            </w:r>
            <w:r>
              <w:rPr>
                <w:rFonts w:cs="宋体" w:hint="eastAsia"/>
                <w:b/>
                <w:bCs/>
                <w:kern w:val="0"/>
              </w:rPr>
              <w:t>）</w:t>
            </w:r>
          </w:p>
        </w:tc>
        <w:tc>
          <w:tcPr>
            <w:tcW w:w="1556" w:type="dxa"/>
            <w:tcBorders>
              <w:top w:val="single" w:sz="4" w:space="0" w:color="auto"/>
              <w:left w:val="nil"/>
              <w:bottom w:val="single" w:sz="4" w:space="0" w:color="auto"/>
              <w:right w:val="single" w:sz="4" w:space="0" w:color="auto"/>
            </w:tcBorders>
            <w:vAlign w:val="center"/>
          </w:tcPr>
          <w:p w:rsidR="00A32067" w:rsidRDefault="00A32067">
            <w:pPr>
              <w:widowControl/>
              <w:jc w:val="center"/>
              <w:rPr>
                <w:b/>
                <w:bCs/>
                <w:kern w:val="0"/>
              </w:rPr>
            </w:pPr>
            <w:r>
              <w:rPr>
                <w:rFonts w:cs="宋体" w:hint="eastAsia"/>
                <w:b/>
                <w:bCs/>
                <w:kern w:val="0"/>
              </w:rPr>
              <w:t>实施日期</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石家庄</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石家庄市财政局关于调整城市基础设施配套费收费标准的通知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石财税〔</w:t>
            </w:r>
            <w:r>
              <w:rPr>
                <w:kern w:val="0"/>
              </w:rPr>
              <w:t>2017</w:t>
            </w:r>
            <w:r>
              <w:rPr>
                <w:rFonts w:cs="宋体" w:hint="eastAsia"/>
                <w:kern w:val="0"/>
              </w:rPr>
              <w:t>〕</w:t>
            </w:r>
            <w:r>
              <w:rPr>
                <w:kern w:val="0"/>
              </w:rPr>
              <w:t>4</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178</w:t>
            </w:r>
            <w:r>
              <w:rPr>
                <w:rFonts w:cs="宋体" w:hint="eastAsia"/>
                <w:kern w:val="0"/>
              </w:rPr>
              <w:t>元</w:t>
            </w:r>
            <w:r>
              <w:rPr>
                <w:kern w:val="0"/>
              </w:rPr>
              <w:t>/m</w:t>
            </w:r>
            <w:r>
              <w:rPr>
                <w:kern w:val="0"/>
                <w:vertAlign w:val="superscript"/>
              </w:rPr>
              <w:t>2</w:t>
            </w:r>
            <w:r>
              <w:rPr>
                <w:rFonts w:cs="宋体" w:hint="eastAsia"/>
                <w:kern w:val="0"/>
              </w:rPr>
              <w:t>，非住宅</w:t>
            </w:r>
            <w:r>
              <w:rPr>
                <w:kern w:val="0"/>
              </w:rPr>
              <w:t>158</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1080"/>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2</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唐山</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唐山市财政局关于转发《河北省财政厅关于唐山市城市基础设施配套费收费标准的批复》的通知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唐财税〔</w:t>
            </w:r>
            <w:r>
              <w:rPr>
                <w:kern w:val="0"/>
              </w:rPr>
              <w:t>2017</w:t>
            </w:r>
            <w:r>
              <w:rPr>
                <w:rFonts w:cs="宋体" w:hint="eastAsia"/>
                <w:kern w:val="0"/>
              </w:rPr>
              <w:t>〕</w:t>
            </w:r>
            <w:r>
              <w:rPr>
                <w:kern w:val="0"/>
              </w:rPr>
              <w:t>23</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118</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3</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邯郸</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邯郸市财政局转发（河北财政厅关于邯郸市城市基础设施配套费收费标准的批复）的通知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邯财综〔</w:t>
            </w:r>
            <w:r>
              <w:rPr>
                <w:kern w:val="0"/>
              </w:rPr>
              <w:t>2017</w:t>
            </w:r>
            <w:r>
              <w:rPr>
                <w:rFonts w:cs="宋体" w:hint="eastAsia"/>
                <w:kern w:val="0"/>
              </w:rPr>
              <w:t>〕</w:t>
            </w:r>
            <w:r>
              <w:rPr>
                <w:kern w:val="0"/>
              </w:rPr>
              <w:t>7</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148</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870"/>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4</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张家口</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河北省财政厅关于张家口市城市基础设施配套费收费标准的批复</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冀财税〔</w:t>
            </w:r>
            <w:r>
              <w:rPr>
                <w:kern w:val="0"/>
              </w:rPr>
              <w:t>2017</w:t>
            </w:r>
            <w:r>
              <w:rPr>
                <w:rFonts w:cs="宋体" w:hint="eastAsia"/>
                <w:kern w:val="0"/>
              </w:rPr>
              <w:t>〕</w:t>
            </w:r>
            <w:r>
              <w:rPr>
                <w:kern w:val="0"/>
              </w:rPr>
              <w:t>25</w:t>
            </w:r>
            <w:r>
              <w:rPr>
                <w:rFonts w:cs="宋体" w:hint="eastAsia"/>
                <w:kern w:val="0"/>
              </w:rPr>
              <w:t xml:space="preserve">号　</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160</w:t>
            </w:r>
            <w:r>
              <w:rPr>
                <w:rFonts w:cs="宋体" w:hint="eastAsia"/>
                <w:kern w:val="0"/>
              </w:rPr>
              <w:t>元</w:t>
            </w:r>
            <w:r>
              <w:rPr>
                <w:kern w:val="0"/>
              </w:rPr>
              <w:t>/</w:t>
            </w:r>
            <w:r>
              <w:rPr>
                <w:rFonts w:cs="宋体" w:hint="eastAsia"/>
                <w:kern w:val="0"/>
              </w:rPr>
              <w:t>㎡，非住宅</w:t>
            </w:r>
            <w:r>
              <w:rPr>
                <w:kern w:val="0"/>
              </w:rPr>
              <w:t>120</w:t>
            </w:r>
            <w:r>
              <w:rPr>
                <w:rFonts w:cs="宋体" w:hint="eastAsia"/>
                <w:kern w:val="0"/>
              </w:rPr>
              <w:t>元</w:t>
            </w:r>
            <w:r>
              <w:rPr>
                <w:kern w:val="0"/>
              </w:rPr>
              <w:t>/</w:t>
            </w:r>
            <w:r>
              <w:rPr>
                <w:rFonts w:cs="宋体" w:hint="eastAsia"/>
                <w:kern w:val="0"/>
              </w:rPr>
              <w:t xml:space="preserve">㎡　</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5</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保定</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保定市财政局关于转发《河北省财政厅关于保定市城市基础设施配套费收费标准的批复》的通知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保财税〔</w:t>
            </w:r>
            <w:r>
              <w:rPr>
                <w:kern w:val="0"/>
              </w:rPr>
              <w:t>2017</w:t>
            </w:r>
            <w:r>
              <w:rPr>
                <w:rFonts w:cs="宋体" w:hint="eastAsia"/>
                <w:kern w:val="0"/>
              </w:rPr>
              <w:t>〕</w:t>
            </w:r>
            <w:r>
              <w:rPr>
                <w:kern w:val="0"/>
              </w:rPr>
              <w:t>4</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148</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6</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沧州</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沧州市财政局关于转发《河北省财政厅关于沧州市城市基础设施配套费收费标准的批复》的通知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沧财税〔</w:t>
            </w:r>
            <w:r>
              <w:rPr>
                <w:kern w:val="0"/>
              </w:rPr>
              <w:t>2017</w:t>
            </w:r>
            <w:r>
              <w:rPr>
                <w:rFonts w:cs="宋体" w:hint="eastAsia"/>
                <w:kern w:val="0"/>
              </w:rPr>
              <w:t>〕</w:t>
            </w:r>
            <w:r>
              <w:rPr>
                <w:kern w:val="0"/>
              </w:rPr>
              <w:t>4</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148</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850"/>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7</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秦皇岛</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秦皇岛市财政局关于调整城市基础设施配套费收费标准的通知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秦财税〔</w:t>
            </w:r>
            <w:r>
              <w:rPr>
                <w:kern w:val="0"/>
              </w:rPr>
              <w:t>2017</w:t>
            </w:r>
            <w:r>
              <w:rPr>
                <w:rFonts w:cs="宋体" w:hint="eastAsia"/>
                <w:kern w:val="0"/>
              </w:rPr>
              <w:t>〕</w:t>
            </w:r>
            <w:r>
              <w:rPr>
                <w:kern w:val="0"/>
              </w:rPr>
              <w:t>3</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97</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8</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邢台</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河北省财政厅关于邢台市城市基础设施配套费收费标准的批复</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冀财税〔</w:t>
            </w:r>
            <w:r>
              <w:rPr>
                <w:kern w:val="0"/>
              </w:rPr>
              <w:t>2017</w:t>
            </w:r>
            <w:r>
              <w:rPr>
                <w:rFonts w:cs="宋体" w:hint="eastAsia"/>
                <w:kern w:val="0"/>
              </w:rPr>
              <w:t>〕</w:t>
            </w:r>
            <w:r>
              <w:rPr>
                <w:kern w:val="0"/>
              </w:rPr>
              <w:t>18</w:t>
            </w:r>
            <w:r>
              <w:rPr>
                <w:rFonts w:cs="宋体" w:hint="eastAsia"/>
                <w:kern w:val="0"/>
              </w:rPr>
              <w:t xml:space="preserve">号　　</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 xml:space="preserve">　住宅</w:t>
            </w:r>
            <w:r>
              <w:rPr>
                <w:kern w:val="0"/>
              </w:rPr>
              <w:t>120</w:t>
            </w:r>
            <w:r>
              <w:rPr>
                <w:rFonts w:cs="宋体" w:hint="eastAsia"/>
                <w:kern w:val="0"/>
              </w:rPr>
              <w:t>元</w:t>
            </w:r>
            <w:r>
              <w:rPr>
                <w:kern w:val="0"/>
              </w:rPr>
              <w:t>/m</w:t>
            </w:r>
            <w:r>
              <w:rPr>
                <w:kern w:val="0"/>
                <w:vertAlign w:val="superscript"/>
              </w:rPr>
              <w:t>2</w:t>
            </w:r>
            <w:r>
              <w:rPr>
                <w:rFonts w:cs="宋体" w:hint="eastAsia"/>
                <w:kern w:val="0"/>
              </w:rPr>
              <w:t>，非住宅</w:t>
            </w:r>
            <w:r>
              <w:rPr>
                <w:kern w:val="0"/>
              </w:rPr>
              <w:t>120</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9</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廊坊</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廊坊市人民政府办公室关于做好廊坊市城市基础设施配套费征理工作的通知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廊政办〔</w:t>
            </w:r>
            <w:r>
              <w:rPr>
                <w:kern w:val="0"/>
              </w:rPr>
              <w:t>2017</w:t>
            </w:r>
            <w:r>
              <w:rPr>
                <w:rFonts w:cs="宋体" w:hint="eastAsia"/>
                <w:kern w:val="0"/>
              </w:rPr>
              <w:t>〕</w:t>
            </w:r>
            <w:r>
              <w:rPr>
                <w:kern w:val="0"/>
              </w:rPr>
              <w:t>33</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120</w:t>
            </w:r>
            <w:r>
              <w:rPr>
                <w:rFonts w:cs="宋体" w:hint="eastAsia"/>
                <w:kern w:val="0"/>
              </w:rPr>
              <w:t>元</w:t>
            </w:r>
            <w:r>
              <w:rPr>
                <w:kern w:val="0"/>
              </w:rPr>
              <w:t>/m</w:t>
            </w:r>
            <w:r>
              <w:rPr>
                <w:kern w:val="0"/>
                <w:vertAlign w:val="superscript"/>
              </w:rPr>
              <w:t>2</w:t>
            </w:r>
            <w:r>
              <w:rPr>
                <w:rFonts w:cs="宋体" w:hint="eastAsia"/>
                <w:kern w:val="0"/>
              </w:rPr>
              <w:t>，非住宅</w:t>
            </w:r>
            <w:r>
              <w:rPr>
                <w:kern w:val="0"/>
              </w:rPr>
              <w:t>110</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10</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承德</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承德市人民政府办公室关于城市基础设施配套费征收过程中有关事项的通知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承市政办字〔</w:t>
            </w:r>
            <w:r>
              <w:rPr>
                <w:kern w:val="0"/>
              </w:rPr>
              <w:t>2017</w:t>
            </w:r>
            <w:r>
              <w:rPr>
                <w:rFonts w:cs="宋体" w:hint="eastAsia"/>
                <w:kern w:val="0"/>
              </w:rPr>
              <w:t>〕</w:t>
            </w:r>
            <w:r>
              <w:rPr>
                <w:kern w:val="0"/>
              </w:rPr>
              <w:t>96</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148</w:t>
            </w:r>
            <w:r>
              <w:rPr>
                <w:rFonts w:cs="宋体" w:hint="eastAsia"/>
                <w:kern w:val="0"/>
              </w:rPr>
              <w:t>元</w:t>
            </w:r>
            <w:r>
              <w:rPr>
                <w:kern w:val="0"/>
              </w:rPr>
              <w:t>/m</w:t>
            </w:r>
            <w:r>
              <w:rPr>
                <w:kern w:val="0"/>
                <w:vertAlign w:val="superscript"/>
              </w:rPr>
              <w:t>2</w:t>
            </w:r>
            <w:r>
              <w:rPr>
                <w:rFonts w:cs="宋体" w:hint="eastAsia"/>
                <w:kern w:val="0"/>
              </w:rPr>
              <w:t>，非住宅</w:t>
            </w:r>
            <w:r>
              <w:rPr>
                <w:kern w:val="0"/>
              </w:rPr>
              <w:t>110</w:t>
            </w:r>
            <w:r>
              <w:rPr>
                <w:rFonts w:cs="宋体" w:hint="eastAsia"/>
                <w:kern w:val="0"/>
              </w:rPr>
              <w:t>元</w:t>
            </w:r>
            <w:r>
              <w:rPr>
                <w:kern w:val="0"/>
              </w:rPr>
              <w:t>/ m</w:t>
            </w:r>
            <w:r>
              <w:rPr>
                <w:kern w:val="0"/>
                <w:vertAlign w:val="superscript"/>
              </w:rPr>
              <w:t>2</w:t>
            </w:r>
            <w:r>
              <w:rPr>
                <w:rFonts w:cs="宋体" w:hint="eastAsia"/>
                <w:kern w:val="0"/>
              </w:rPr>
              <w:t xml:space="preserve">　</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850"/>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11</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衡水</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衡水市财政局《关于城市基础设施配套费收费标准的批复》</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衡财综〔</w:t>
            </w:r>
            <w:r>
              <w:rPr>
                <w:kern w:val="0"/>
              </w:rPr>
              <w:t>2017</w:t>
            </w:r>
            <w:r>
              <w:rPr>
                <w:rFonts w:cs="宋体" w:hint="eastAsia"/>
                <w:kern w:val="0"/>
              </w:rPr>
              <w:t>〕</w:t>
            </w:r>
            <w:r>
              <w:rPr>
                <w:kern w:val="0"/>
              </w:rPr>
              <w:t>13</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收费标准为每平方米建筑面积</w:t>
            </w:r>
            <w:r>
              <w:rPr>
                <w:kern w:val="0"/>
              </w:rPr>
              <w:t>125</w:t>
            </w:r>
            <w:r>
              <w:rPr>
                <w:rFonts w:cs="宋体" w:hint="eastAsia"/>
                <w:kern w:val="0"/>
              </w:rPr>
              <w:t>元</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70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12</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定州</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定州市人民政府关于调整城市基础设施配套费的通知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定政发〔</w:t>
            </w:r>
            <w:r>
              <w:rPr>
                <w:kern w:val="0"/>
              </w:rPr>
              <w:t>2017</w:t>
            </w:r>
            <w:r>
              <w:rPr>
                <w:rFonts w:cs="宋体" w:hint="eastAsia"/>
                <w:kern w:val="0"/>
              </w:rPr>
              <w:t>〕</w:t>
            </w:r>
            <w:r>
              <w:rPr>
                <w:kern w:val="0"/>
              </w:rPr>
              <w:t>32</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市区</w:t>
            </w:r>
            <w:r>
              <w:rPr>
                <w:kern w:val="0"/>
              </w:rPr>
              <w:t>100</w:t>
            </w:r>
            <w:r>
              <w:rPr>
                <w:rFonts w:cs="宋体" w:hint="eastAsia"/>
                <w:kern w:val="0"/>
              </w:rPr>
              <w:t>元</w:t>
            </w:r>
            <w:r>
              <w:rPr>
                <w:kern w:val="0"/>
              </w:rPr>
              <w:t>/m</w:t>
            </w:r>
            <w:r>
              <w:rPr>
                <w:kern w:val="0"/>
                <w:vertAlign w:val="superscript"/>
              </w:rPr>
              <w:t>2</w:t>
            </w:r>
            <w:r>
              <w:rPr>
                <w:rFonts w:cs="宋体" w:hint="eastAsia"/>
                <w:kern w:val="0"/>
              </w:rPr>
              <w:t>，建制镇</w:t>
            </w:r>
            <w:r>
              <w:rPr>
                <w:kern w:val="0"/>
              </w:rPr>
              <w:t>25</w:t>
            </w:r>
            <w:r>
              <w:rPr>
                <w:rFonts w:cs="宋体" w:hint="eastAsia"/>
                <w:kern w:val="0"/>
              </w:rPr>
              <w:t>元</w:t>
            </w:r>
            <w:r>
              <w:rPr>
                <w:kern w:val="0"/>
              </w:rPr>
              <w:t>/m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r w:rsidR="00A32067">
        <w:trPr>
          <w:trHeight w:val="979"/>
        </w:trPr>
        <w:tc>
          <w:tcPr>
            <w:tcW w:w="539"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13</w:t>
            </w:r>
          </w:p>
        </w:tc>
        <w:tc>
          <w:tcPr>
            <w:tcW w:w="879"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辛集</w:t>
            </w:r>
          </w:p>
        </w:tc>
        <w:tc>
          <w:tcPr>
            <w:tcW w:w="3261"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辛集市人民政府关于调整城建基础设施配套费收费标准的通知</w:t>
            </w:r>
          </w:p>
        </w:tc>
        <w:tc>
          <w:tcPr>
            <w:tcW w:w="1470"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辛政字〔</w:t>
            </w:r>
            <w:r>
              <w:rPr>
                <w:kern w:val="0"/>
              </w:rPr>
              <w:t>2017</w:t>
            </w:r>
            <w:r>
              <w:rPr>
                <w:rFonts w:cs="宋体" w:hint="eastAsia"/>
                <w:kern w:val="0"/>
              </w:rPr>
              <w:t>〕</w:t>
            </w:r>
            <w:r>
              <w:rPr>
                <w:kern w:val="0"/>
              </w:rPr>
              <w:t>4</w:t>
            </w:r>
            <w:r>
              <w:rPr>
                <w:rFonts w:cs="宋体" w:hint="eastAsia"/>
                <w:kern w:val="0"/>
              </w:rPr>
              <w:t>号</w:t>
            </w:r>
          </w:p>
        </w:tc>
        <w:tc>
          <w:tcPr>
            <w:tcW w:w="2218"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住宅</w:t>
            </w:r>
            <w:r>
              <w:rPr>
                <w:kern w:val="0"/>
              </w:rPr>
              <w:t>100</w:t>
            </w:r>
            <w:r>
              <w:rPr>
                <w:rFonts w:cs="宋体" w:hint="eastAsia"/>
                <w:kern w:val="0"/>
              </w:rPr>
              <w:t>元</w:t>
            </w:r>
            <w:r>
              <w:rPr>
                <w:kern w:val="0"/>
              </w:rPr>
              <w:t>/m</w:t>
            </w:r>
            <w:r>
              <w:rPr>
                <w:kern w:val="0"/>
                <w:vertAlign w:val="superscript"/>
              </w:rPr>
              <w:t>2</w:t>
            </w:r>
            <w:r>
              <w:rPr>
                <w:rFonts w:cs="宋体" w:hint="eastAsia"/>
                <w:kern w:val="0"/>
              </w:rPr>
              <w:t>，非住宅</w:t>
            </w:r>
            <w:r>
              <w:rPr>
                <w:kern w:val="0"/>
              </w:rPr>
              <w:t>80</w:t>
            </w:r>
            <w:r>
              <w:rPr>
                <w:rFonts w:cs="宋体" w:hint="eastAsia"/>
                <w:kern w:val="0"/>
              </w:rPr>
              <w:t>元</w:t>
            </w:r>
            <w:r>
              <w:rPr>
                <w:kern w:val="0"/>
              </w:rPr>
              <w:t>/ m</w:t>
            </w:r>
            <w:r>
              <w:rPr>
                <w:kern w:val="0"/>
                <w:vertAlign w:val="superscript"/>
              </w:rPr>
              <w:t>2</w:t>
            </w:r>
          </w:p>
        </w:tc>
        <w:tc>
          <w:tcPr>
            <w:tcW w:w="1556" w:type="dxa"/>
            <w:tcBorders>
              <w:top w:val="nil"/>
              <w:left w:val="nil"/>
              <w:bottom w:val="single" w:sz="4" w:space="0" w:color="auto"/>
              <w:right w:val="single" w:sz="4" w:space="0" w:color="auto"/>
            </w:tcBorders>
            <w:vAlign w:val="center"/>
          </w:tcPr>
          <w:p w:rsidR="00A32067" w:rsidRDefault="00A32067">
            <w:pPr>
              <w:widowControl/>
              <w:jc w:val="center"/>
              <w:rPr>
                <w:spacing w:val="-20"/>
                <w:kern w:val="0"/>
              </w:rPr>
            </w:pPr>
            <w:r>
              <w:rPr>
                <w:spacing w:val="-20"/>
                <w:kern w:val="0"/>
              </w:rPr>
              <w:t>2017</w:t>
            </w:r>
            <w:r>
              <w:rPr>
                <w:rFonts w:cs="宋体" w:hint="eastAsia"/>
                <w:spacing w:val="-20"/>
                <w:kern w:val="0"/>
              </w:rPr>
              <w:t>年</w:t>
            </w:r>
            <w:r>
              <w:rPr>
                <w:spacing w:val="-20"/>
                <w:kern w:val="0"/>
              </w:rPr>
              <w:t>4</w:t>
            </w:r>
            <w:r>
              <w:rPr>
                <w:rFonts w:cs="宋体" w:hint="eastAsia"/>
                <w:spacing w:val="-20"/>
                <w:kern w:val="0"/>
              </w:rPr>
              <w:t>月</w:t>
            </w:r>
            <w:r>
              <w:rPr>
                <w:spacing w:val="-20"/>
                <w:kern w:val="0"/>
              </w:rPr>
              <w:t>1</w:t>
            </w:r>
            <w:r>
              <w:rPr>
                <w:rFonts w:cs="宋体" w:hint="eastAsia"/>
                <w:spacing w:val="-20"/>
                <w:kern w:val="0"/>
              </w:rPr>
              <w:t>日</w:t>
            </w:r>
          </w:p>
        </w:tc>
      </w:tr>
    </w:tbl>
    <w:p w:rsidR="00A32067" w:rsidRDefault="00A32067">
      <w:pPr>
        <w:widowControl/>
        <w:jc w:val="left"/>
        <w:rPr>
          <w:b/>
          <w:bCs/>
          <w:kern w:val="0"/>
          <w:sz w:val="36"/>
          <w:szCs w:val="36"/>
        </w:rPr>
      </w:pPr>
    </w:p>
    <w:p w:rsidR="00A32067" w:rsidRDefault="00A32067" w:rsidP="0002085C">
      <w:pPr>
        <w:widowControl/>
        <w:shd w:val="clear" w:color="auto" w:fill="FFFFFF"/>
        <w:spacing w:beforeLines="50" w:afterLines="50" w:line="360" w:lineRule="auto"/>
        <w:jc w:val="center"/>
        <w:outlineLvl w:val="0"/>
        <w:rPr>
          <w:b/>
          <w:bCs/>
          <w:kern w:val="0"/>
          <w:sz w:val="36"/>
          <w:szCs w:val="36"/>
        </w:rPr>
        <w:sectPr w:rsidR="00A32067">
          <w:headerReference w:type="even" r:id="rId33"/>
          <w:headerReference w:type="default" r:id="rId34"/>
          <w:footerReference w:type="even" r:id="rId35"/>
          <w:footerReference w:type="default" r:id="rId36"/>
          <w:pgSz w:w="11907" w:h="16840"/>
          <w:pgMar w:top="1134" w:right="1077" w:bottom="1134" w:left="1077" w:header="794" w:footer="567" w:gutter="284"/>
          <w:pgNumType w:start="16"/>
          <w:cols w:space="720"/>
          <w:docGrid w:linePitch="312"/>
        </w:sectPr>
      </w:pPr>
      <w:bookmarkStart w:id="6" w:name="_Toc519872249"/>
    </w:p>
    <w:p w:rsidR="00A32067" w:rsidRDefault="00A32067" w:rsidP="0002085C">
      <w:pPr>
        <w:widowControl/>
        <w:shd w:val="clear" w:color="auto" w:fill="FFFFFF"/>
        <w:spacing w:beforeLines="50" w:afterLines="50" w:line="360" w:lineRule="auto"/>
        <w:jc w:val="center"/>
        <w:outlineLvl w:val="0"/>
        <w:rPr>
          <w:b/>
          <w:bCs/>
          <w:kern w:val="0"/>
          <w:sz w:val="36"/>
          <w:szCs w:val="36"/>
        </w:rPr>
      </w:pPr>
      <w:r>
        <w:rPr>
          <w:rFonts w:cs="宋体" w:hint="eastAsia"/>
          <w:b/>
          <w:bCs/>
          <w:kern w:val="0"/>
          <w:sz w:val="36"/>
          <w:szCs w:val="36"/>
        </w:rPr>
        <w:t>第二部分附录</w:t>
      </w:r>
      <w:bookmarkEnd w:id="6"/>
    </w:p>
    <w:p w:rsidR="00A32067" w:rsidRDefault="00A32067" w:rsidP="0002085C">
      <w:pPr>
        <w:widowControl/>
        <w:shd w:val="clear" w:color="auto" w:fill="FFFFFF"/>
        <w:spacing w:beforeLines="50" w:afterLines="50" w:line="360" w:lineRule="auto"/>
        <w:jc w:val="left"/>
        <w:outlineLvl w:val="0"/>
        <w:rPr>
          <w:b/>
          <w:bCs/>
          <w:color w:val="000000"/>
          <w:sz w:val="28"/>
          <w:szCs w:val="28"/>
        </w:rPr>
      </w:pPr>
      <w:bookmarkStart w:id="7" w:name="_Toc519872250"/>
      <w:r>
        <w:rPr>
          <w:rFonts w:cs="宋体" w:hint="eastAsia"/>
          <w:b/>
          <w:bCs/>
          <w:color w:val="000000"/>
          <w:sz w:val="28"/>
          <w:szCs w:val="28"/>
        </w:rPr>
        <w:t>附录一：</w:t>
      </w:r>
      <w:r>
        <w:rPr>
          <w:rFonts w:cs="宋体" w:hint="eastAsia"/>
          <w:b/>
          <w:bCs/>
          <w:kern w:val="0"/>
          <w:sz w:val="28"/>
          <w:szCs w:val="28"/>
        </w:rPr>
        <w:t>建设项目概算总投资除工程费用、设备购置费和其他费用以外的费用</w:t>
      </w:r>
      <w:bookmarkEnd w:id="7"/>
    </w:p>
    <w:p w:rsidR="00A32067" w:rsidRDefault="00A32067">
      <w:pPr>
        <w:widowControl/>
        <w:numPr>
          <w:ilvl w:val="0"/>
          <w:numId w:val="4"/>
        </w:numPr>
        <w:shd w:val="clear" w:color="auto" w:fill="FFFFFF"/>
        <w:spacing w:line="360" w:lineRule="auto"/>
        <w:ind w:left="0" w:firstLine="510"/>
        <w:outlineLvl w:val="1"/>
        <w:rPr>
          <w:b/>
          <w:bCs/>
          <w:kern w:val="0"/>
          <w:sz w:val="24"/>
          <w:szCs w:val="24"/>
        </w:rPr>
      </w:pPr>
      <w:bookmarkStart w:id="8" w:name="_Toc519872251"/>
      <w:r>
        <w:rPr>
          <w:rFonts w:cs="宋体" w:hint="eastAsia"/>
          <w:b/>
          <w:bCs/>
          <w:kern w:val="0"/>
          <w:sz w:val="24"/>
          <w:szCs w:val="24"/>
        </w:rPr>
        <w:t>预备费</w:t>
      </w:r>
      <w:bookmarkEnd w:id="8"/>
    </w:p>
    <w:p w:rsidR="00A32067" w:rsidRDefault="00A32067" w:rsidP="005431C7">
      <w:pPr>
        <w:widowControl/>
        <w:shd w:val="clear" w:color="auto" w:fill="FFFFFF"/>
        <w:spacing w:line="360" w:lineRule="auto"/>
        <w:ind w:firstLineChars="200" w:firstLine="31680"/>
        <w:jc w:val="left"/>
        <w:rPr>
          <w:kern w:val="0"/>
          <w:sz w:val="24"/>
          <w:szCs w:val="24"/>
        </w:rPr>
      </w:pPr>
      <w:r>
        <w:rPr>
          <w:rFonts w:cs="宋体" w:hint="eastAsia"/>
          <w:kern w:val="0"/>
          <w:sz w:val="24"/>
          <w:szCs w:val="24"/>
        </w:rPr>
        <w:t>现行建设项目概算中计取的预备费包括基本预备费和价差预备费。</w:t>
      </w:r>
    </w:p>
    <w:p w:rsidR="00A32067" w:rsidRDefault="00A32067" w:rsidP="005431C7">
      <w:pPr>
        <w:widowControl/>
        <w:shd w:val="clear" w:color="auto" w:fill="FFFFFF"/>
        <w:spacing w:line="360" w:lineRule="auto"/>
        <w:ind w:firstLineChars="200" w:firstLine="31680"/>
        <w:rPr>
          <w:b/>
          <w:bCs/>
          <w:kern w:val="0"/>
          <w:sz w:val="24"/>
          <w:szCs w:val="24"/>
        </w:rPr>
      </w:pPr>
      <w:r>
        <w:rPr>
          <w:b/>
          <w:bCs/>
          <w:kern w:val="0"/>
          <w:sz w:val="24"/>
          <w:szCs w:val="24"/>
        </w:rPr>
        <w:t>1.</w:t>
      </w:r>
      <w:r>
        <w:rPr>
          <w:rFonts w:cs="宋体" w:hint="eastAsia"/>
          <w:b/>
          <w:bCs/>
          <w:kern w:val="0"/>
          <w:sz w:val="24"/>
          <w:szCs w:val="24"/>
        </w:rPr>
        <w:t>基本预备费</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基本预备费是指在项目实施过程中可能发生难以预料的支出，需要事先预留的费用，又称不可预见费。主要指设计变更及施工过程中可能增加工程量的费用。基本预备费一般由以下三部分构成：</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w:t>
      </w:r>
      <w:r>
        <w:rPr>
          <w:kern w:val="0"/>
          <w:sz w:val="24"/>
          <w:szCs w:val="24"/>
        </w:rPr>
        <w:t>1</w:t>
      </w:r>
      <w:r>
        <w:rPr>
          <w:rFonts w:cs="宋体" w:hint="eastAsia"/>
          <w:kern w:val="0"/>
          <w:sz w:val="24"/>
          <w:szCs w:val="24"/>
        </w:rPr>
        <w:t>）在批准的初步设计范围内，技术设计、施工图设计及施工过程中所增加的工程和费用；设计变更、材料代用、局部处理等增加的费用。</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w:t>
      </w:r>
      <w:r>
        <w:rPr>
          <w:kern w:val="0"/>
          <w:sz w:val="24"/>
          <w:szCs w:val="24"/>
        </w:rPr>
        <w:t>2</w:t>
      </w:r>
      <w:r>
        <w:rPr>
          <w:rFonts w:cs="宋体" w:hint="eastAsia"/>
          <w:kern w:val="0"/>
          <w:sz w:val="24"/>
          <w:szCs w:val="24"/>
        </w:rPr>
        <w:t>）一般自然灾害造成的损失和预防自然灾害所采取的措施费用。实行工程保险的工程，该费用应适当降低。</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w:t>
      </w:r>
      <w:r>
        <w:rPr>
          <w:kern w:val="0"/>
          <w:sz w:val="24"/>
          <w:szCs w:val="24"/>
        </w:rPr>
        <w:t>3</w:t>
      </w:r>
      <w:r>
        <w:rPr>
          <w:rFonts w:cs="宋体" w:hint="eastAsia"/>
          <w:kern w:val="0"/>
          <w:sz w:val="24"/>
          <w:szCs w:val="24"/>
        </w:rPr>
        <w:t>）竣工验收时因鉴定工程质量对隐蔽工程进行必要的挖掘和修复的费用。</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基本预备费以建设投资（包括工程费用和工程建设其他费用）为基础乘以基本预备费率进行计算。</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基本预备费＝（工程费用</w:t>
      </w:r>
      <w:r>
        <w:rPr>
          <w:kern w:val="0"/>
          <w:sz w:val="24"/>
          <w:szCs w:val="24"/>
        </w:rPr>
        <w:t>+</w:t>
      </w:r>
      <w:r>
        <w:rPr>
          <w:rFonts w:cs="宋体" w:hint="eastAsia"/>
          <w:kern w:val="0"/>
          <w:sz w:val="24"/>
          <w:szCs w:val="24"/>
        </w:rPr>
        <w:t>工程建设其他费用）</w:t>
      </w:r>
      <w:r>
        <w:rPr>
          <w:kern w:val="0"/>
          <w:sz w:val="24"/>
          <w:szCs w:val="24"/>
        </w:rPr>
        <w:t>×</w:t>
      </w:r>
      <w:r>
        <w:rPr>
          <w:rFonts w:cs="宋体" w:hint="eastAsia"/>
          <w:kern w:val="0"/>
          <w:sz w:val="24"/>
          <w:szCs w:val="24"/>
        </w:rPr>
        <w:t>预备费费率</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基本预备费率取值应按国家及有关部门的规定，如没有规定时，一般可根据工程具体情况在初步设计概算阶段按</w:t>
      </w:r>
      <w:r>
        <w:rPr>
          <w:kern w:val="0"/>
          <w:sz w:val="24"/>
          <w:szCs w:val="24"/>
        </w:rPr>
        <w:t>5%</w:t>
      </w:r>
      <w:r>
        <w:rPr>
          <w:rFonts w:cs="宋体" w:hint="eastAsia"/>
          <w:kern w:val="0"/>
          <w:sz w:val="24"/>
          <w:szCs w:val="24"/>
        </w:rPr>
        <w:t>～</w:t>
      </w:r>
      <w:r>
        <w:rPr>
          <w:kern w:val="0"/>
          <w:sz w:val="24"/>
          <w:szCs w:val="24"/>
        </w:rPr>
        <w:t>10%</w:t>
      </w:r>
      <w:r>
        <w:rPr>
          <w:rFonts w:cs="宋体" w:hint="eastAsia"/>
          <w:kern w:val="0"/>
          <w:sz w:val="24"/>
          <w:szCs w:val="24"/>
        </w:rPr>
        <w:t>计取，在技术设计修正阶段取</w:t>
      </w:r>
      <w:r>
        <w:rPr>
          <w:kern w:val="0"/>
          <w:sz w:val="24"/>
          <w:szCs w:val="24"/>
        </w:rPr>
        <w:t>4-6%</w:t>
      </w:r>
      <w:r>
        <w:rPr>
          <w:rFonts w:cs="宋体" w:hint="eastAsia"/>
          <w:kern w:val="0"/>
          <w:sz w:val="24"/>
          <w:szCs w:val="24"/>
        </w:rPr>
        <w:t>，根据不同工程在概算审查时核定。</w:t>
      </w:r>
    </w:p>
    <w:p w:rsidR="00A32067" w:rsidRDefault="00A32067" w:rsidP="005431C7">
      <w:pPr>
        <w:widowControl/>
        <w:shd w:val="clear" w:color="auto" w:fill="FFFFFF"/>
        <w:spacing w:line="360" w:lineRule="auto"/>
        <w:ind w:firstLineChars="200" w:firstLine="31680"/>
        <w:rPr>
          <w:b/>
          <w:bCs/>
          <w:kern w:val="0"/>
          <w:sz w:val="24"/>
          <w:szCs w:val="24"/>
        </w:rPr>
      </w:pPr>
      <w:r>
        <w:rPr>
          <w:b/>
          <w:bCs/>
          <w:kern w:val="0"/>
          <w:sz w:val="24"/>
          <w:szCs w:val="24"/>
        </w:rPr>
        <w:t>2.</w:t>
      </w:r>
      <w:r>
        <w:rPr>
          <w:rFonts w:cs="宋体" w:hint="eastAsia"/>
          <w:b/>
          <w:bCs/>
          <w:kern w:val="0"/>
          <w:sz w:val="24"/>
          <w:szCs w:val="24"/>
        </w:rPr>
        <w:t>价差预备费</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价差预备费是指针对建设期间内由于工程的人工、材料、设备的价格可能发生变化引起工程投资变化，而事先预留的费用。此费用属工程造价的动态因素，应在总预备费用中单独列出。</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价差预备费一般根据国家规定的投资综合价格指数，以估算年份价格水平的投资额为基数，采用复利方法计算。计算公式为：</w:t>
      </w:r>
    </w:p>
    <w:p w:rsidR="00A32067" w:rsidRDefault="00A32067" w:rsidP="005431C7">
      <w:pPr>
        <w:widowControl/>
        <w:shd w:val="clear" w:color="auto" w:fill="FFFFFF"/>
        <w:spacing w:line="360" w:lineRule="auto"/>
        <w:ind w:firstLineChars="200" w:firstLine="31680"/>
        <w:rPr>
          <w:kern w:val="0"/>
          <w:sz w:val="24"/>
          <w:szCs w:val="24"/>
        </w:rPr>
      </w:pPr>
      <w:r w:rsidRPr="0002085C">
        <w:rPr>
          <w:noProof/>
          <w:kern w:val="0"/>
          <w:sz w:val="24"/>
          <w:szCs w:val="24"/>
        </w:rPr>
        <w:pict>
          <v:shape id="_x0000_i1026" type="#_x0000_t75" style="width:315pt;height:36pt;visibility:visible">
            <v:imagedata r:id="rId37" o:title=""/>
          </v:shape>
        </w:pict>
      </w:r>
    </w:p>
    <w:p w:rsidR="00A32067" w:rsidRDefault="00A32067">
      <w:pPr>
        <w:widowControl/>
        <w:spacing w:line="360" w:lineRule="auto"/>
        <w:rPr>
          <w:kern w:val="0"/>
          <w:sz w:val="24"/>
          <w:szCs w:val="24"/>
        </w:rPr>
      </w:pPr>
      <w:r>
        <w:rPr>
          <w:rFonts w:cs="宋体" w:hint="eastAsia"/>
          <w:kern w:val="0"/>
          <w:sz w:val="24"/>
          <w:szCs w:val="24"/>
        </w:rPr>
        <w:t>式中</w:t>
      </w:r>
      <w:r>
        <w:rPr>
          <w:i/>
          <w:iCs/>
          <w:kern w:val="0"/>
          <w:sz w:val="24"/>
          <w:szCs w:val="24"/>
        </w:rPr>
        <w:t>P</w:t>
      </w:r>
      <w:r>
        <w:rPr>
          <w:kern w:val="0"/>
          <w:sz w:val="24"/>
          <w:szCs w:val="24"/>
        </w:rPr>
        <w:t>——</w:t>
      </w:r>
      <w:r>
        <w:rPr>
          <w:rFonts w:cs="宋体" w:hint="eastAsia"/>
          <w:kern w:val="0"/>
          <w:sz w:val="24"/>
          <w:szCs w:val="24"/>
        </w:rPr>
        <w:t>价差预备费；</w:t>
      </w:r>
    </w:p>
    <w:p w:rsidR="00A32067" w:rsidRDefault="00A32067" w:rsidP="005431C7">
      <w:pPr>
        <w:widowControl/>
        <w:spacing w:line="360" w:lineRule="auto"/>
        <w:ind w:firstLineChars="200" w:firstLine="31680"/>
        <w:rPr>
          <w:kern w:val="0"/>
          <w:sz w:val="24"/>
          <w:szCs w:val="24"/>
        </w:rPr>
      </w:pPr>
      <w:r>
        <w:rPr>
          <w:i/>
          <w:iCs/>
          <w:kern w:val="0"/>
          <w:sz w:val="24"/>
          <w:szCs w:val="24"/>
        </w:rPr>
        <w:t>n</w:t>
      </w:r>
      <w:r>
        <w:rPr>
          <w:kern w:val="0"/>
          <w:sz w:val="24"/>
          <w:szCs w:val="24"/>
        </w:rPr>
        <w:t>——</w:t>
      </w:r>
      <w:r>
        <w:rPr>
          <w:rFonts w:cs="宋体" w:hint="eastAsia"/>
          <w:kern w:val="0"/>
          <w:sz w:val="24"/>
          <w:szCs w:val="24"/>
        </w:rPr>
        <w:t>建设期年份数；</w:t>
      </w:r>
    </w:p>
    <w:p w:rsidR="00A32067" w:rsidRDefault="00A32067" w:rsidP="005431C7">
      <w:pPr>
        <w:widowControl/>
        <w:spacing w:line="360" w:lineRule="auto"/>
        <w:ind w:firstLineChars="200" w:firstLine="31680"/>
        <w:rPr>
          <w:kern w:val="0"/>
          <w:sz w:val="24"/>
          <w:szCs w:val="24"/>
        </w:rPr>
      </w:pPr>
      <w:r>
        <w:rPr>
          <w:i/>
          <w:iCs/>
          <w:kern w:val="0"/>
          <w:sz w:val="24"/>
          <w:szCs w:val="24"/>
        </w:rPr>
        <w:t>I</w:t>
      </w:r>
      <w:r>
        <w:rPr>
          <w:i/>
          <w:iCs/>
          <w:kern w:val="0"/>
          <w:sz w:val="24"/>
          <w:szCs w:val="24"/>
          <w:vertAlign w:val="subscript"/>
        </w:rPr>
        <w:t>t</w:t>
      </w:r>
      <w:r>
        <w:rPr>
          <w:kern w:val="0"/>
          <w:sz w:val="24"/>
          <w:szCs w:val="24"/>
        </w:rPr>
        <w:t>——</w:t>
      </w:r>
      <w:r>
        <w:rPr>
          <w:rFonts w:cs="宋体" w:hint="eastAsia"/>
          <w:kern w:val="0"/>
          <w:sz w:val="24"/>
          <w:szCs w:val="24"/>
        </w:rPr>
        <w:t>建设期第</w:t>
      </w:r>
      <w:r>
        <w:rPr>
          <w:i/>
          <w:iCs/>
          <w:kern w:val="0"/>
          <w:sz w:val="24"/>
          <w:szCs w:val="24"/>
        </w:rPr>
        <w:t>t</w:t>
      </w:r>
      <w:r>
        <w:rPr>
          <w:rFonts w:cs="宋体" w:hint="eastAsia"/>
          <w:kern w:val="0"/>
          <w:sz w:val="24"/>
          <w:szCs w:val="24"/>
        </w:rPr>
        <w:t>年的投资计划额，包括工程费用、工程建设其他费用及基本预备费，即第</w:t>
      </w:r>
      <w:r>
        <w:rPr>
          <w:i/>
          <w:iCs/>
          <w:kern w:val="0"/>
          <w:sz w:val="24"/>
          <w:szCs w:val="24"/>
        </w:rPr>
        <w:t>t</w:t>
      </w:r>
      <w:r>
        <w:rPr>
          <w:rFonts w:cs="宋体" w:hint="eastAsia"/>
          <w:kern w:val="0"/>
          <w:sz w:val="24"/>
          <w:szCs w:val="24"/>
        </w:rPr>
        <w:t>年的静态投资计划额；</w:t>
      </w:r>
    </w:p>
    <w:p w:rsidR="00A32067" w:rsidRDefault="00A32067" w:rsidP="005431C7">
      <w:pPr>
        <w:widowControl/>
        <w:spacing w:line="360" w:lineRule="auto"/>
        <w:ind w:firstLineChars="200" w:firstLine="31680"/>
        <w:rPr>
          <w:kern w:val="0"/>
          <w:sz w:val="24"/>
          <w:szCs w:val="24"/>
        </w:rPr>
      </w:pPr>
      <w:r>
        <w:rPr>
          <w:i/>
          <w:iCs/>
          <w:kern w:val="0"/>
          <w:sz w:val="24"/>
          <w:szCs w:val="24"/>
        </w:rPr>
        <w:t>f</w:t>
      </w:r>
      <w:r>
        <w:rPr>
          <w:kern w:val="0"/>
          <w:sz w:val="24"/>
          <w:szCs w:val="24"/>
        </w:rPr>
        <w:t>——</w:t>
      </w:r>
      <w:r>
        <w:rPr>
          <w:rFonts w:cs="宋体" w:hint="eastAsia"/>
          <w:kern w:val="0"/>
          <w:sz w:val="24"/>
          <w:szCs w:val="24"/>
        </w:rPr>
        <w:t>年均投资价格指数；</w:t>
      </w:r>
    </w:p>
    <w:p w:rsidR="00A32067" w:rsidRDefault="00A32067" w:rsidP="005431C7">
      <w:pPr>
        <w:widowControl/>
        <w:spacing w:line="360" w:lineRule="auto"/>
        <w:ind w:firstLineChars="200" w:firstLine="31680"/>
        <w:rPr>
          <w:kern w:val="0"/>
          <w:sz w:val="24"/>
          <w:szCs w:val="24"/>
        </w:rPr>
      </w:pPr>
      <w:r>
        <w:rPr>
          <w:i/>
          <w:iCs/>
          <w:kern w:val="0"/>
          <w:sz w:val="24"/>
          <w:szCs w:val="24"/>
        </w:rPr>
        <w:t>t</w:t>
      </w:r>
      <w:r>
        <w:rPr>
          <w:kern w:val="0"/>
          <w:sz w:val="24"/>
          <w:szCs w:val="24"/>
        </w:rPr>
        <w:t>——</w:t>
      </w:r>
      <w:r>
        <w:rPr>
          <w:rFonts w:cs="宋体" w:hint="eastAsia"/>
          <w:kern w:val="0"/>
          <w:sz w:val="24"/>
          <w:szCs w:val="24"/>
        </w:rPr>
        <w:t>建设期第</w:t>
      </w:r>
      <w:r>
        <w:rPr>
          <w:i/>
          <w:iCs/>
          <w:kern w:val="0"/>
          <w:sz w:val="24"/>
          <w:szCs w:val="24"/>
        </w:rPr>
        <w:t>t</w:t>
      </w:r>
      <w:r>
        <w:rPr>
          <w:rFonts w:cs="宋体" w:hint="eastAsia"/>
          <w:kern w:val="0"/>
          <w:sz w:val="24"/>
          <w:szCs w:val="24"/>
        </w:rPr>
        <w:t>年；</w:t>
      </w:r>
    </w:p>
    <w:p w:rsidR="00A32067" w:rsidRDefault="00A32067" w:rsidP="005431C7">
      <w:pPr>
        <w:widowControl/>
        <w:spacing w:line="360" w:lineRule="auto"/>
        <w:ind w:firstLineChars="200" w:firstLine="31680"/>
        <w:rPr>
          <w:kern w:val="0"/>
          <w:sz w:val="24"/>
          <w:szCs w:val="24"/>
        </w:rPr>
      </w:pPr>
      <w:r>
        <w:rPr>
          <w:i/>
          <w:iCs/>
          <w:kern w:val="0"/>
          <w:sz w:val="24"/>
          <w:szCs w:val="24"/>
        </w:rPr>
        <w:t>m</w:t>
      </w:r>
      <w:r>
        <w:rPr>
          <w:kern w:val="0"/>
          <w:sz w:val="24"/>
          <w:szCs w:val="24"/>
        </w:rPr>
        <w:t>——</w:t>
      </w:r>
      <w:r>
        <w:rPr>
          <w:rFonts w:cs="宋体" w:hint="eastAsia"/>
          <w:kern w:val="0"/>
          <w:sz w:val="24"/>
          <w:szCs w:val="24"/>
        </w:rPr>
        <w:t>建设前期年限（从编制概算到开工建设年数，单位：年）。</w:t>
      </w:r>
    </w:p>
    <w:p w:rsidR="00A32067" w:rsidRDefault="00A32067" w:rsidP="005431C7">
      <w:pPr>
        <w:widowControl/>
        <w:shd w:val="clear" w:color="auto" w:fill="FFFFFF"/>
        <w:spacing w:beforeLines="50" w:afterLines="50" w:line="360" w:lineRule="auto"/>
        <w:ind w:firstLineChars="200" w:firstLine="31680"/>
        <w:jc w:val="left"/>
        <w:rPr>
          <w:kern w:val="0"/>
          <w:sz w:val="24"/>
          <w:szCs w:val="24"/>
        </w:rPr>
      </w:pPr>
      <w:r>
        <w:rPr>
          <w:rFonts w:cs="宋体" w:hint="eastAsia"/>
          <w:kern w:val="0"/>
          <w:sz w:val="24"/>
          <w:szCs w:val="24"/>
        </w:rPr>
        <w:t>价差预备费中的投资价格指数按国家颁布的计取，当前暂时为零，计算式中（</w:t>
      </w:r>
      <w:r>
        <w:rPr>
          <w:kern w:val="0"/>
          <w:sz w:val="24"/>
          <w:szCs w:val="24"/>
        </w:rPr>
        <w:t>1+</w:t>
      </w:r>
      <w:r>
        <w:rPr>
          <w:i/>
          <w:iCs/>
          <w:kern w:val="0"/>
          <w:sz w:val="24"/>
          <w:szCs w:val="24"/>
        </w:rPr>
        <w:t>f</w:t>
      </w:r>
      <w:r>
        <w:rPr>
          <w:rFonts w:cs="宋体" w:hint="eastAsia"/>
          <w:kern w:val="0"/>
          <w:sz w:val="24"/>
          <w:szCs w:val="24"/>
        </w:rPr>
        <w:t>）</w:t>
      </w:r>
      <w:r>
        <w:rPr>
          <w:kern w:val="0"/>
          <w:sz w:val="24"/>
          <w:szCs w:val="24"/>
          <w:vertAlign w:val="superscript"/>
        </w:rPr>
        <w:t>0.5</w:t>
      </w:r>
      <w:r>
        <w:rPr>
          <w:rFonts w:cs="宋体" w:hint="eastAsia"/>
          <w:kern w:val="0"/>
          <w:sz w:val="24"/>
          <w:szCs w:val="24"/>
        </w:rPr>
        <w:t>表示建设期第</w:t>
      </w:r>
      <w:r>
        <w:rPr>
          <w:i/>
          <w:iCs/>
          <w:kern w:val="0"/>
          <w:sz w:val="24"/>
          <w:szCs w:val="24"/>
        </w:rPr>
        <w:t>t</w:t>
      </w:r>
      <w:r>
        <w:rPr>
          <w:rFonts w:cs="宋体" w:hint="eastAsia"/>
          <w:kern w:val="0"/>
          <w:sz w:val="24"/>
          <w:szCs w:val="24"/>
        </w:rPr>
        <w:t>年当年投资分期均匀投入考虑涨价的幅度，对设计建设周期较短的项目价差预备费计算公式可简化处理。特殊项目或必要时可进行项目未来价差分析预测，确定各时期投资价格指数。</w:t>
      </w:r>
    </w:p>
    <w:p w:rsidR="00A32067" w:rsidRDefault="00A32067" w:rsidP="005431C7">
      <w:pPr>
        <w:widowControl/>
        <w:shd w:val="clear" w:color="auto" w:fill="FFFFFF"/>
        <w:spacing w:beforeLines="50" w:afterLines="50" w:line="360" w:lineRule="auto"/>
        <w:ind w:firstLineChars="200" w:firstLine="31680"/>
        <w:jc w:val="left"/>
        <w:rPr>
          <w:kern w:val="0"/>
          <w:sz w:val="24"/>
          <w:szCs w:val="24"/>
        </w:rPr>
      </w:pPr>
    </w:p>
    <w:p w:rsidR="00A32067" w:rsidRDefault="00A32067" w:rsidP="005431C7">
      <w:pPr>
        <w:widowControl/>
        <w:shd w:val="clear" w:color="auto" w:fill="FFFFFF"/>
        <w:spacing w:beforeLines="50" w:afterLines="50" w:line="360" w:lineRule="auto"/>
        <w:ind w:firstLineChars="200" w:firstLine="31680"/>
        <w:jc w:val="left"/>
        <w:outlineLvl w:val="1"/>
        <w:rPr>
          <w:kern w:val="0"/>
          <w:sz w:val="24"/>
          <w:szCs w:val="24"/>
        </w:rPr>
      </w:pPr>
      <w:bookmarkStart w:id="9" w:name="_Toc519872252"/>
      <w:r>
        <w:rPr>
          <w:rFonts w:cs="宋体" w:hint="eastAsia"/>
          <w:b/>
          <w:bCs/>
          <w:kern w:val="0"/>
          <w:sz w:val="24"/>
          <w:szCs w:val="24"/>
        </w:rPr>
        <w:t>二、建设期利息</w:t>
      </w:r>
      <w:bookmarkEnd w:id="9"/>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建设期利息是指在建设期内发生的为工程项目筹措资金的融资费用及债务资金利息。并按规定允许在投产后计入固定值产原值。建设期利息包括各种机构借款、集资、建设债券和外汇贷款的利息以及其他融资费用等。</w:t>
      </w:r>
    </w:p>
    <w:p w:rsidR="00A32067" w:rsidRDefault="00A32067" w:rsidP="005431C7">
      <w:pPr>
        <w:widowControl/>
        <w:shd w:val="clear" w:color="auto" w:fill="FFFFFF"/>
        <w:spacing w:line="360" w:lineRule="auto"/>
        <w:ind w:firstLineChars="200" w:firstLine="31680"/>
        <w:rPr>
          <w:b/>
          <w:bCs/>
          <w:kern w:val="0"/>
          <w:sz w:val="24"/>
          <w:szCs w:val="24"/>
        </w:rPr>
      </w:pPr>
      <w:r>
        <w:rPr>
          <w:rFonts w:cs="宋体" w:hint="eastAsia"/>
          <w:b/>
          <w:bCs/>
          <w:kern w:val="0"/>
          <w:sz w:val="24"/>
          <w:szCs w:val="24"/>
        </w:rPr>
        <w:t>计算方法：</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根据不同的资金来源，建设期贷款利息可按以下方法分别计算。</w:t>
      </w:r>
    </w:p>
    <w:p w:rsidR="00A32067" w:rsidRDefault="00A32067" w:rsidP="005431C7">
      <w:pPr>
        <w:widowControl/>
        <w:shd w:val="clear" w:color="auto" w:fill="FFFFFF"/>
        <w:spacing w:line="360" w:lineRule="auto"/>
        <w:ind w:firstLineChars="200" w:firstLine="31680"/>
        <w:rPr>
          <w:kern w:val="0"/>
          <w:sz w:val="24"/>
          <w:szCs w:val="24"/>
        </w:rPr>
      </w:pPr>
      <w:r>
        <w:rPr>
          <w:kern w:val="0"/>
          <w:sz w:val="24"/>
          <w:szCs w:val="24"/>
        </w:rPr>
        <w:t>1.</w:t>
      </w:r>
      <w:r>
        <w:rPr>
          <w:rFonts w:cs="宋体" w:hint="eastAsia"/>
          <w:kern w:val="0"/>
          <w:sz w:val="24"/>
          <w:szCs w:val="24"/>
        </w:rPr>
        <w:t>贷款总额一次性贷出且利率固定时</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贷款利息</w:t>
      </w:r>
      <w:r>
        <w:rPr>
          <w:kern w:val="0"/>
          <w:sz w:val="24"/>
          <w:szCs w:val="24"/>
        </w:rPr>
        <w:t>=</w:t>
      </w:r>
      <w:r>
        <w:rPr>
          <w:rFonts w:cs="宋体" w:hint="eastAsia"/>
          <w:kern w:val="0"/>
          <w:sz w:val="24"/>
          <w:szCs w:val="24"/>
        </w:rPr>
        <w:t>贷款总额</w:t>
      </w:r>
      <w:r>
        <w:rPr>
          <w:kern w:val="0"/>
          <w:sz w:val="24"/>
          <w:szCs w:val="24"/>
        </w:rPr>
        <w:t>×{</w:t>
      </w:r>
      <w:r>
        <w:rPr>
          <w:rFonts w:cs="宋体" w:hint="eastAsia"/>
          <w:kern w:val="0"/>
          <w:sz w:val="24"/>
          <w:szCs w:val="24"/>
        </w:rPr>
        <w:t>（</w:t>
      </w:r>
      <w:r>
        <w:rPr>
          <w:kern w:val="0"/>
          <w:sz w:val="24"/>
          <w:szCs w:val="24"/>
        </w:rPr>
        <w:t>1+</w:t>
      </w:r>
      <w:r>
        <w:rPr>
          <w:rFonts w:cs="宋体" w:hint="eastAsia"/>
          <w:kern w:val="0"/>
          <w:sz w:val="24"/>
          <w:szCs w:val="24"/>
        </w:rPr>
        <w:t>年利率）</w:t>
      </w:r>
      <w:r>
        <w:rPr>
          <w:kern w:val="0"/>
          <w:sz w:val="24"/>
          <w:szCs w:val="24"/>
        </w:rPr>
        <w:t>n-1}</w:t>
      </w:r>
    </w:p>
    <w:p w:rsidR="00A32067" w:rsidRDefault="00A32067" w:rsidP="005431C7">
      <w:pPr>
        <w:widowControl/>
        <w:shd w:val="clear" w:color="auto" w:fill="FFFFFF"/>
        <w:spacing w:line="360" w:lineRule="auto"/>
        <w:ind w:firstLineChars="200" w:firstLine="31680"/>
        <w:rPr>
          <w:kern w:val="0"/>
          <w:sz w:val="24"/>
          <w:szCs w:val="24"/>
        </w:rPr>
      </w:pPr>
      <w:r>
        <w:rPr>
          <w:kern w:val="0"/>
          <w:sz w:val="24"/>
          <w:szCs w:val="24"/>
        </w:rPr>
        <w:t>2.</w:t>
      </w:r>
      <w:r>
        <w:rPr>
          <w:rFonts w:cs="宋体" w:hint="eastAsia"/>
          <w:kern w:val="0"/>
          <w:sz w:val="24"/>
          <w:szCs w:val="24"/>
        </w:rPr>
        <w:t>总贷款分年均衡发放时，建设期利息的计算可按当年借款在年中支用考虑，即当年贷款按半年计，上年贷款按全年计息。</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贷款利息＝</w:t>
      </w:r>
      <w:r>
        <w:rPr>
          <w:kern w:val="0"/>
          <w:sz w:val="24"/>
          <w:szCs w:val="24"/>
        </w:rPr>
        <w:t>∑{</w:t>
      </w:r>
      <w:r>
        <w:rPr>
          <w:rFonts w:cs="宋体" w:hint="eastAsia"/>
          <w:kern w:val="0"/>
          <w:sz w:val="24"/>
          <w:szCs w:val="24"/>
        </w:rPr>
        <w:t>本年度初需付息贷款本息累计</w:t>
      </w:r>
      <w:r>
        <w:rPr>
          <w:kern w:val="0"/>
          <w:sz w:val="24"/>
          <w:szCs w:val="24"/>
        </w:rPr>
        <w:t>+</w:t>
      </w:r>
      <w:r>
        <w:rPr>
          <w:rFonts w:cs="宋体" w:hint="eastAsia"/>
          <w:kern w:val="0"/>
          <w:sz w:val="24"/>
          <w:szCs w:val="24"/>
        </w:rPr>
        <w:t>（本年度付息贷款</w:t>
      </w:r>
      <w:r>
        <w:rPr>
          <w:kern w:val="0"/>
          <w:sz w:val="24"/>
          <w:szCs w:val="24"/>
        </w:rPr>
        <w:t>÷2</w:t>
      </w:r>
      <w:r>
        <w:rPr>
          <w:rFonts w:cs="宋体" w:hint="eastAsia"/>
          <w:kern w:val="0"/>
          <w:sz w:val="24"/>
          <w:szCs w:val="24"/>
        </w:rPr>
        <w:t>）</w:t>
      </w:r>
      <w:r>
        <w:rPr>
          <w:kern w:val="0"/>
          <w:sz w:val="24"/>
          <w:szCs w:val="24"/>
        </w:rPr>
        <w:t>}×</w:t>
      </w:r>
      <w:r>
        <w:rPr>
          <w:rFonts w:cs="宋体" w:hint="eastAsia"/>
          <w:kern w:val="0"/>
          <w:sz w:val="24"/>
          <w:szCs w:val="24"/>
        </w:rPr>
        <w:t>年利率</w:t>
      </w:r>
    </w:p>
    <w:p w:rsidR="00A32067" w:rsidRDefault="00A32067" w:rsidP="005431C7">
      <w:pPr>
        <w:widowControl/>
        <w:shd w:val="clear" w:color="auto" w:fill="FFFFFF"/>
        <w:spacing w:line="360" w:lineRule="auto"/>
        <w:ind w:firstLineChars="200" w:firstLine="31680"/>
        <w:rPr>
          <w:kern w:val="0"/>
          <w:sz w:val="24"/>
          <w:szCs w:val="24"/>
        </w:rPr>
      </w:pPr>
      <w:r>
        <w:rPr>
          <w:kern w:val="0"/>
          <w:sz w:val="24"/>
          <w:szCs w:val="24"/>
        </w:rPr>
        <w:t>3.</w:t>
      </w:r>
      <w:r>
        <w:rPr>
          <w:rFonts w:cs="宋体" w:hint="eastAsia"/>
          <w:kern w:val="0"/>
          <w:sz w:val="24"/>
          <w:szCs w:val="24"/>
        </w:rPr>
        <w:t>如建设单位与贷款方达成协议采用其他方式计算，则按实际达成的协议方式计算。</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融资费用是指某些债务融资中发生的手续费、承诺费、管理费、信贷保险费等融资费用。一般应将其单独计算并计入建设期利息，如该费用已计入工程其他费用时，则不再计算。</w:t>
      </w: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rPr>
          <w:kern w:val="0"/>
          <w:sz w:val="24"/>
          <w:szCs w:val="24"/>
        </w:rPr>
      </w:pPr>
    </w:p>
    <w:p w:rsidR="00A32067" w:rsidRDefault="00A32067" w:rsidP="005431C7">
      <w:pPr>
        <w:widowControl/>
        <w:shd w:val="clear" w:color="auto" w:fill="FFFFFF"/>
        <w:spacing w:line="360" w:lineRule="auto"/>
        <w:ind w:firstLineChars="200" w:firstLine="31680"/>
        <w:jc w:val="left"/>
        <w:outlineLvl w:val="1"/>
        <w:rPr>
          <w:b/>
          <w:bCs/>
          <w:kern w:val="0"/>
          <w:sz w:val="24"/>
          <w:szCs w:val="24"/>
        </w:rPr>
      </w:pPr>
      <w:bookmarkStart w:id="10" w:name="_Toc519872253"/>
      <w:r>
        <w:rPr>
          <w:rFonts w:cs="宋体" w:hint="eastAsia"/>
          <w:b/>
          <w:bCs/>
          <w:kern w:val="0"/>
          <w:sz w:val="24"/>
          <w:szCs w:val="24"/>
        </w:rPr>
        <w:t>三、流动资金</w:t>
      </w:r>
      <w:bookmarkEnd w:id="10"/>
    </w:p>
    <w:p w:rsidR="00A32067" w:rsidRDefault="00A32067" w:rsidP="005431C7">
      <w:pPr>
        <w:widowControl/>
        <w:shd w:val="clear" w:color="auto" w:fill="FFFFFF"/>
        <w:spacing w:line="360" w:lineRule="auto"/>
        <w:ind w:firstLineChars="200" w:firstLine="31680"/>
        <w:jc w:val="left"/>
        <w:rPr>
          <w:kern w:val="0"/>
          <w:sz w:val="24"/>
          <w:szCs w:val="24"/>
        </w:rPr>
      </w:pPr>
      <w:r>
        <w:rPr>
          <w:rFonts w:cs="宋体" w:hint="eastAsia"/>
          <w:kern w:val="0"/>
          <w:sz w:val="24"/>
          <w:szCs w:val="24"/>
        </w:rPr>
        <w:t>流动资金是指项目建成投产所需的启动流动资金，生产经营性项目为保证投产后正常的生产营运，按其所需流动资金的</w:t>
      </w:r>
      <w:r>
        <w:rPr>
          <w:kern w:val="0"/>
          <w:sz w:val="24"/>
          <w:szCs w:val="24"/>
        </w:rPr>
        <w:t>30%</w:t>
      </w:r>
      <w:r>
        <w:rPr>
          <w:rFonts w:cs="宋体" w:hint="eastAsia"/>
          <w:kern w:val="0"/>
          <w:sz w:val="24"/>
          <w:szCs w:val="24"/>
        </w:rPr>
        <w:t>作为流动资金计入建设项目总概算。</w:t>
      </w:r>
    </w:p>
    <w:p w:rsidR="00A32067" w:rsidRDefault="00A32067" w:rsidP="005431C7">
      <w:pPr>
        <w:widowControl/>
        <w:shd w:val="clear" w:color="auto" w:fill="FFFFFF"/>
        <w:spacing w:line="360" w:lineRule="auto"/>
        <w:ind w:firstLineChars="200" w:firstLine="31680"/>
        <w:jc w:val="left"/>
        <w:rPr>
          <w:kern w:val="0"/>
          <w:sz w:val="24"/>
          <w:szCs w:val="24"/>
        </w:rPr>
      </w:pPr>
      <w:r>
        <w:rPr>
          <w:rFonts w:cs="宋体" w:hint="eastAsia"/>
          <w:kern w:val="0"/>
          <w:sz w:val="24"/>
          <w:szCs w:val="24"/>
        </w:rPr>
        <w:t>流动资金可采用下述方法估算。</w:t>
      </w:r>
    </w:p>
    <w:p w:rsidR="00A32067" w:rsidRDefault="00A32067" w:rsidP="005431C7">
      <w:pPr>
        <w:widowControl/>
        <w:shd w:val="clear" w:color="auto" w:fill="FFFFFF"/>
        <w:spacing w:line="360" w:lineRule="auto"/>
        <w:ind w:firstLineChars="200" w:firstLine="31680"/>
        <w:rPr>
          <w:b/>
          <w:bCs/>
          <w:kern w:val="0"/>
          <w:sz w:val="24"/>
          <w:szCs w:val="24"/>
        </w:rPr>
      </w:pPr>
      <w:r>
        <w:rPr>
          <w:b/>
          <w:bCs/>
          <w:kern w:val="0"/>
          <w:sz w:val="24"/>
          <w:szCs w:val="24"/>
        </w:rPr>
        <w:t>1.</w:t>
      </w:r>
      <w:r>
        <w:rPr>
          <w:rFonts w:cs="宋体" w:hint="eastAsia"/>
          <w:b/>
          <w:bCs/>
          <w:kern w:val="0"/>
          <w:sz w:val="24"/>
          <w:szCs w:val="24"/>
        </w:rPr>
        <w:t>扩大指标估算法</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扩大指标估算法一般可参照同类生产企业流动资金占营业收入或经营成本的比例，或者单位产量占用流动资金的比率进行估算。</w:t>
      </w:r>
    </w:p>
    <w:p w:rsidR="00A32067" w:rsidRDefault="00A32067" w:rsidP="005431C7">
      <w:pPr>
        <w:widowControl/>
        <w:shd w:val="clear" w:color="auto" w:fill="FFFFFF"/>
        <w:spacing w:line="360" w:lineRule="auto"/>
        <w:ind w:firstLineChars="200" w:firstLine="31680"/>
        <w:rPr>
          <w:b/>
          <w:bCs/>
          <w:kern w:val="0"/>
          <w:sz w:val="24"/>
          <w:szCs w:val="24"/>
        </w:rPr>
      </w:pPr>
      <w:r>
        <w:rPr>
          <w:b/>
          <w:bCs/>
          <w:kern w:val="0"/>
          <w:sz w:val="24"/>
          <w:szCs w:val="24"/>
        </w:rPr>
        <w:t>2.</w:t>
      </w:r>
      <w:r>
        <w:rPr>
          <w:rFonts w:cs="宋体" w:hint="eastAsia"/>
          <w:b/>
          <w:bCs/>
          <w:kern w:val="0"/>
          <w:sz w:val="24"/>
          <w:szCs w:val="24"/>
        </w:rPr>
        <w:t>分项详细估算法</w:t>
      </w:r>
    </w:p>
    <w:p w:rsidR="00A32067" w:rsidRDefault="00A32067" w:rsidP="005431C7">
      <w:pPr>
        <w:widowControl/>
        <w:shd w:val="clear" w:color="auto" w:fill="FFFFFF"/>
        <w:spacing w:line="360" w:lineRule="auto"/>
        <w:ind w:firstLineChars="200" w:firstLine="31680"/>
        <w:rPr>
          <w:kern w:val="0"/>
          <w:sz w:val="24"/>
          <w:szCs w:val="24"/>
        </w:rPr>
      </w:pPr>
      <w:r>
        <w:rPr>
          <w:rFonts w:cs="宋体" w:hint="eastAsia"/>
          <w:kern w:val="0"/>
          <w:sz w:val="24"/>
          <w:szCs w:val="24"/>
        </w:rPr>
        <w:t>分项详细估算法一般是将流动资产与流动负债的构成要素进行分析估算出建设项目占用的流动资金。也可根据建设单位提供的数值或可行性研究报告估算数值计列。</w:t>
      </w:r>
    </w:p>
    <w:p w:rsidR="00A32067" w:rsidRDefault="00A32067" w:rsidP="0002085C">
      <w:pPr>
        <w:spacing w:beforeLines="50" w:afterLines="50" w:line="360" w:lineRule="auto"/>
        <w:jc w:val="left"/>
        <w:outlineLvl w:val="0"/>
        <w:rPr>
          <w:kern w:val="0"/>
          <w:sz w:val="24"/>
          <w:szCs w:val="24"/>
        </w:rPr>
        <w:sectPr w:rsidR="00A32067">
          <w:footerReference w:type="even" r:id="rId38"/>
          <w:footerReference w:type="default" r:id="rId39"/>
          <w:pgSz w:w="11907" w:h="16840"/>
          <w:pgMar w:top="1134" w:right="1077" w:bottom="1134" w:left="1077" w:header="794" w:footer="567" w:gutter="284"/>
          <w:pgNumType w:start="17"/>
          <w:cols w:space="720"/>
          <w:docGrid w:linePitch="312"/>
        </w:sectPr>
      </w:pPr>
    </w:p>
    <w:p w:rsidR="00A32067" w:rsidRDefault="00A32067" w:rsidP="005431C7">
      <w:pPr>
        <w:spacing w:beforeLines="50" w:afterLines="50" w:line="360" w:lineRule="auto"/>
        <w:jc w:val="left"/>
        <w:outlineLvl w:val="0"/>
        <w:rPr>
          <w:b/>
          <w:bCs/>
          <w:kern w:val="0"/>
          <w:sz w:val="32"/>
          <w:szCs w:val="32"/>
        </w:rPr>
      </w:pPr>
      <w:bookmarkStart w:id="11" w:name="_Toc519872254"/>
    </w:p>
    <w:p w:rsidR="00A32067" w:rsidRDefault="00A32067" w:rsidP="0002085C">
      <w:pPr>
        <w:spacing w:beforeLines="50" w:afterLines="50" w:line="360" w:lineRule="auto"/>
        <w:jc w:val="left"/>
        <w:outlineLvl w:val="0"/>
        <w:rPr>
          <w:b/>
          <w:bCs/>
          <w:color w:val="000000"/>
          <w:sz w:val="32"/>
          <w:szCs w:val="32"/>
        </w:rPr>
      </w:pPr>
      <w:r>
        <w:rPr>
          <w:rFonts w:cs="宋体" w:hint="eastAsia"/>
          <w:b/>
          <w:bCs/>
          <w:kern w:val="0"/>
          <w:sz w:val="32"/>
          <w:szCs w:val="32"/>
        </w:rPr>
        <w:t>附录二：</w:t>
      </w:r>
      <w:r>
        <w:rPr>
          <w:rFonts w:cs="宋体" w:hint="eastAsia"/>
          <w:b/>
          <w:bCs/>
          <w:color w:val="000000"/>
          <w:sz w:val="32"/>
          <w:szCs w:val="32"/>
        </w:rPr>
        <w:t>建设项目概算费用构成表</w:t>
      </w:r>
      <w:bookmarkEnd w:id="11"/>
    </w:p>
    <w:p w:rsidR="00A32067" w:rsidRDefault="00A32067" w:rsidP="0002085C">
      <w:pPr>
        <w:spacing w:beforeLines="50" w:afterLines="50" w:line="360" w:lineRule="auto"/>
        <w:jc w:val="center"/>
        <w:outlineLvl w:val="0"/>
        <w:rPr>
          <w:rFonts w:ascii="宋体" w:cs="宋体"/>
          <w:b/>
          <w:bCs/>
          <w:kern w:val="0"/>
          <w:sz w:val="24"/>
          <w:szCs w:val="24"/>
        </w:rPr>
      </w:pPr>
      <w:r>
        <w:rPr>
          <w:rFonts w:ascii="宋体" w:hAnsi="宋体" w:cs="宋体" w:hint="eastAsia"/>
          <w:b/>
          <w:bCs/>
          <w:color w:val="000000"/>
          <w:sz w:val="24"/>
          <w:szCs w:val="24"/>
        </w:rPr>
        <w:t>建设项目概算费用构成表</w:t>
      </w:r>
    </w:p>
    <w:tbl>
      <w:tblPr>
        <w:tblW w:w="94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5"/>
        <w:gridCol w:w="965"/>
        <w:gridCol w:w="918"/>
        <w:gridCol w:w="1262"/>
        <w:gridCol w:w="1680"/>
        <w:gridCol w:w="3216"/>
        <w:gridCol w:w="456"/>
        <w:gridCol w:w="456"/>
      </w:tblGrid>
      <w:tr w:rsidR="00A32067">
        <w:trPr>
          <w:trHeight w:val="270"/>
        </w:trPr>
        <w:tc>
          <w:tcPr>
            <w:tcW w:w="525"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建设项目概算费用构成</w:t>
            </w:r>
          </w:p>
        </w:tc>
        <w:tc>
          <w:tcPr>
            <w:tcW w:w="965" w:type="dxa"/>
            <w:vAlign w:val="center"/>
          </w:tcPr>
          <w:p w:rsidR="00A32067" w:rsidRDefault="00A32067">
            <w:pPr>
              <w:widowControl/>
              <w:jc w:val="center"/>
              <w:rPr>
                <w:color w:val="000000"/>
                <w:kern w:val="0"/>
                <w:sz w:val="22"/>
                <w:szCs w:val="22"/>
              </w:rPr>
            </w:pPr>
            <w:r>
              <w:rPr>
                <w:rFonts w:cs="宋体" w:hint="eastAsia"/>
                <w:color w:val="000000"/>
                <w:kern w:val="0"/>
                <w:sz w:val="22"/>
                <w:szCs w:val="22"/>
              </w:rPr>
              <w:t>投资</w:t>
            </w:r>
          </w:p>
          <w:p w:rsidR="00A32067" w:rsidRDefault="00A32067">
            <w:pPr>
              <w:widowControl/>
              <w:jc w:val="center"/>
              <w:rPr>
                <w:color w:val="000000"/>
                <w:kern w:val="0"/>
                <w:sz w:val="22"/>
                <w:szCs w:val="22"/>
              </w:rPr>
            </w:pPr>
            <w:r>
              <w:rPr>
                <w:rFonts w:cs="宋体" w:hint="eastAsia"/>
                <w:color w:val="000000"/>
                <w:kern w:val="0"/>
                <w:sz w:val="22"/>
                <w:szCs w:val="22"/>
              </w:rPr>
              <w:t>类别</w:t>
            </w:r>
          </w:p>
        </w:tc>
        <w:tc>
          <w:tcPr>
            <w:tcW w:w="2180" w:type="dxa"/>
            <w:gridSpan w:val="2"/>
            <w:vAlign w:val="center"/>
          </w:tcPr>
          <w:p w:rsidR="00A32067" w:rsidRDefault="00A32067">
            <w:pPr>
              <w:widowControl/>
              <w:jc w:val="center"/>
              <w:rPr>
                <w:color w:val="000000"/>
                <w:kern w:val="0"/>
                <w:sz w:val="22"/>
                <w:szCs w:val="22"/>
              </w:rPr>
            </w:pPr>
            <w:r>
              <w:rPr>
                <w:rFonts w:cs="宋体" w:hint="eastAsia"/>
                <w:color w:val="000000"/>
                <w:kern w:val="0"/>
                <w:sz w:val="22"/>
                <w:szCs w:val="22"/>
              </w:rPr>
              <w:t>费用项目类别</w:t>
            </w:r>
          </w:p>
        </w:tc>
        <w:tc>
          <w:tcPr>
            <w:tcW w:w="1680" w:type="dxa"/>
            <w:vAlign w:val="center"/>
          </w:tcPr>
          <w:p w:rsidR="00A32067" w:rsidRDefault="00A32067">
            <w:pPr>
              <w:widowControl/>
              <w:jc w:val="center"/>
              <w:rPr>
                <w:color w:val="000000"/>
                <w:kern w:val="0"/>
                <w:sz w:val="22"/>
                <w:szCs w:val="22"/>
              </w:rPr>
            </w:pPr>
            <w:r>
              <w:rPr>
                <w:rFonts w:cs="宋体" w:hint="eastAsia"/>
                <w:color w:val="000000"/>
                <w:kern w:val="0"/>
                <w:sz w:val="22"/>
                <w:szCs w:val="22"/>
              </w:rPr>
              <w:t>费用项目构成</w:t>
            </w:r>
          </w:p>
        </w:tc>
        <w:tc>
          <w:tcPr>
            <w:tcW w:w="3216" w:type="dxa"/>
            <w:vAlign w:val="center"/>
          </w:tcPr>
          <w:p w:rsidR="00A32067" w:rsidRDefault="00A32067">
            <w:pPr>
              <w:widowControl/>
              <w:jc w:val="center"/>
              <w:rPr>
                <w:color w:val="000000"/>
                <w:kern w:val="0"/>
                <w:sz w:val="22"/>
                <w:szCs w:val="22"/>
              </w:rPr>
            </w:pPr>
            <w:r>
              <w:rPr>
                <w:rFonts w:cs="宋体" w:hint="eastAsia"/>
                <w:color w:val="000000"/>
                <w:kern w:val="0"/>
                <w:sz w:val="22"/>
                <w:szCs w:val="22"/>
              </w:rPr>
              <w:t>费用内容</w:t>
            </w:r>
          </w:p>
        </w:tc>
        <w:tc>
          <w:tcPr>
            <w:tcW w:w="912" w:type="dxa"/>
            <w:gridSpan w:val="2"/>
            <w:vAlign w:val="center"/>
          </w:tcPr>
          <w:p w:rsidR="00A32067" w:rsidRDefault="00A32067">
            <w:pPr>
              <w:widowControl/>
              <w:jc w:val="center"/>
              <w:rPr>
                <w:color w:val="000000"/>
                <w:kern w:val="0"/>
                <w:sz w:val="22"/>
                <w:szCs w:val="22"/>
              </w:rPr>
            </w:pPr>
            <w:r>
              <w:rPr>
                <w:rFonts w:cs="宋体" w:hint="eastAsia"/>
                <w:color w:val="000000"/>
                <w:kern w:val="0"/>
                <w:sz w:val="22"/>
                <w:szCs w:val="22"/>
              </w:rPr>
              <w:t>投资</w:t>
            </w:r>
          </w:p>
          <w:p w:rsidR="00A32067" w:rsidRDefault="00A32067">
            <w:pPr>
              <w:widowControl/>
              <w:jc w:val="center"/>
              <w:rPr>
                <w:color w:val="000000"/>
                <w:kern w:val="0"/>
                <w:sz w:val="22"/>
                <w:szCs w:val="22"/>
              </w:rPr>
            </w:pPr>
            <w:r>
              <w:rPr>
                <w:rFonts w:cs="宋体" w:hint="eastAsia"/>
                <w:color w:val="000000"/>
                <w:kern w:val="0"/>
                <w:sz w:val="22"/>
                <w:szCs w:val="22"/>
              </w:rPr>
              <w:t>状态</w:t>
            </w:r>
          </w:p>
        </w:tc>
      </w:tr>
      <w:tr w:rsidR="00A32067">
        <w:trPr>
          <w:trHeight w:val="480"/>
        </w:trPr>
        <w:tc>
          <w:tcPr>
            <w:tcW w:w="525" w:type="dxa"/>
            <w:vMerge/>
            <w:vAlign w:val="center"/>
          </w:tcPr>
          <w:p w:rsidR="00A32067" w:rsidRDefault="00A32067">
            <w:pPr>
              <w:widowControl/>
              <w:jc w:val="left"/>
              <w:rPr>
                <w:color w:val="000000"/>
                <w:kern w:val="0"/>
                <w:sz w:val="22"/>
                <w:szCs w:val="22"/>
              </w:rPr>
            </w:pPr>
          </w:p>
        </w:tc>
        <w:tc>
          <w:tcPr>
            <w:tcW w:w="965"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固定资产投资</w:t>
            </w:r>
          </w:p>
        </w:tc>
        <w:tc>
          <w:tcPr>
            <w:tcW w:w="918"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建设投资</w:t>
            </w:r>
          </w:p>
        </w:tc>
        <w:tc>
          <w:tcPr>
            <w:tcW w:w="1262"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第一部分工程费用</w:t>
            </w:r>
          </w:p>
        </w:tc>
        <w:tc>
          <w:tcPr>
            <w:tcW w:w="1680" w:type="dxa"/>
            <w:vMerge w:val="restart"/>
            <w:vAlign w:val="center"/>
          </w:tcPr>
          <w:p w:rsidR="00A32067" w:rsidRDefault="00A32067">
            <w:pPr>
              <w:widowControl/>
              <w:jc w:val="center"/>
              <w:rPr>
                <w:color w:val="000000"/>
                <w:kern w:val="0"/>
                <w:sz w:val="22"/>
                <w:szCs w:val="22"/>
              </w:rPr>
            </w:pPr>
            <w:r>
              <w:rPr>
                <w:color w:val="000000"/>
                <w:kern w:val="0"/>
                <w:sz w:val="22"/>
                <w:szCs w:val="22"/>
              </w:rPr>
              <w:t>1.</w:t>
            </w:r>
            <w:r>
              <w:rPr>
                <w:rFonts w:cs="宋体" w:hint="eastAsia"/>
                <w:color w:val="000000"/>
                <w:kern w:val="0"/>
                <w:sz w:val="22"/>
                <w:szCs w:val="22"/>
              </w:rPr>
              <w:t>建筑工程费</w:t>
            </w:r>
            <w:r>
              <w:rPr>
                <w:color w:val="000000"/>
                <w:kern w:val="0"/>
                <w:sz w:val="22"/>
                <w:szCs w:val="22"/>
              </w:rPr>
              <w:t>2.</w:t>
            </w:r>
            <w:r>
              <w:rPr>
                <w:rFonts w:cs="宋体" w:hint="eastAsia"/>
                <w:color w:val="000000"/>
                <w:kern w:val="0"/>
                <w:sz w:val="22"/>
                <w:szCs w:val="22"/>
              </w:rPr>
              <w:t>安装工程费</w:t>
            </w:r>
          </w:p>
        </w:tc>
        <w:tc>
          <w:tcPr>
            <w:tcW w:w="3216" w:type="dxa"/>
            <w:vAlign w:val="center"/>
          </w:tcPr>
          <w:p w:rsidR="00A32067" w:rsidRDefault="00A32067" w:rsidP="00A32067">
            <w:pPr>
              <w:widowControl/>
              <w:ind w:left="31680" w:hangingChars="200" w:firstLine="31680"/>
              <w:rPr>
                <w:color w:val="000000"/>
                <w:kern w:val="0"/>
                <w:sz w:val="22"/>
                <w:szCs w:val="22"/>
              </w:rPr>
            </w:pPr>
            <w:r>
              <w:rPr>
                <w:color w:val="000000"/>
                <w:kern w:val="0"/>
                <w:sz w:val="22"/>
                <w:szCs w:val="22"/>
              </w:rPr>
              <w:t>1</w:t>
            </w:r>
            <w:r>
              <w:rPr>
                <w:rFonts w:cs="宋体" w:hint="eastAsia"/>
                <w:color w:val="000000"/>
                <w:kern w:val="0"/>
                <w:sz w:val="22"/>
                <w:szCs w:val="22"/>
              </w:rPr>
              <w:t>）人工费、材料费、施工机械使用费</w:t>
            </w:r>
          </w:p>
        </w:tc>
        <w:tc>
          <w:tcPr>
            <w:tcW w:w="456"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静态投资</w:t>
            </w:r>
          </w:p>
        </w:tc>
        <w:tc>
          <w:tcPr>
            <w:tcW w:w="456"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动态投资</w:t>
            </w:r>
          </w:p>
        </w:tc>
      </w:tr>
      <w:tr w:rsidR="00A32067">
        <w:trPr>
          <w:trHeight w:val="393"/>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ign w:val="center"/>
          </w:tcPr>
          <w:p w:rsidR="00A32067" w:rsidRDefault="00A32067">
            <w:pPr>
              <w:widowControl/>
              <w:jc w:val="left"/>
              <w:rPr>
                <w:color w:val="000000"/>
                <w:kern w:val="0"/>
                <w:sz w:val="22"/>
                <w:szCs w:val="22"/>
              </w:rPr>
            </w:pPr>
          </w:p>
        </w:tc>
        <w:tc>
          <w:tcPr>
            <w:tcW w:w="3216" w:type="dxa"/>
            <w:vAlign w:val="center"/>
          </w:tcPr>
          <w:p w:rsidR="00A32067" w:rsidRDefault="00A32067">
            <w:pPr>
              <w:widowControl/>
              <w:rPr>
                <w:color w:val="000000"/>
                <w:kern w:val="0"/>
                <w:sz w:val="22"/>
                <w:szCs w:val="22"/>
              </w:rPr>
            </w:pPr>
            <w:r>
              <w:rPr>
                <w:color w:val="000000"/>
                <w:kern w:val="0"/>
                <w:sz w:val="22"/>
                <w:szCs w:val="22"/>
              </w:rPr>
              <w:t>2</w:t>
            </w:r>
            <w:r>
              <w:rPr>
                <w:rFonts w:cs="宋体" w:hint="eastAsia"/>
                <w:color w:val="000000"/>
                <w:kern w:val="0"/>
                <w:sz w:val="22"/>
                <w:szCs w:val="22"/>
              </w:rPr>
              <w:t>）管理费、利润</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398"/>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ign w:val="center"/>
          </w:tcPr>
          <w:p w:rsidR="00A32067" w:rsidRDefault="00A32067">
            <w:pPr>
              <w:widowControl/>
              <w:jc w:val="left"/>
              <w:rPr>
                <w:color w:val="000000"/>
                <w:kern w:val="0"/>
                <w:sz w:val="22"/>
                <w:szCs w:val="22"/>
              </w:rPr>
            </w:pPr>
          </w:p>
        </w:tc>
        <w:tc>
          <w:tcPr>
            <w:tcW w:w="3216" w:type="dxa"/>
            <w:vAlign w:val="center"/>
          </w:tcPr>
          <w:p w:rsidR="00A32067" w:rsidRDefault="00A32067">
            <w:pPr>
              <w:widowControl/>
              <w:rPr>
                <w:color w:val="000000"/>
                <w:kern w:val="0"/>
                <w:sz w:val="22"/>
                <w:szCs w:val="22"/>
              </w:rPr>
            </w:pPr>
            <w:r>
              <w:rPr>
                <w:color w:val="000000"/>
                <w:kern w:val="0"/>
                <w:sz w:val="22"/>
                <w:szCs w:val="22"/>
              </w:rPr>
              <w:t>3</w:t>
            </w:r>
            <w:r>
              <w:rPr>
                <w:rFonts w:cs="宋体" w:hint="eastAsia"/>
                <w:color w:val="000000"/>
                <w:kern w:val="0"/>
                <w:sz w:val="22"/>
                <w:szCs w:val="22"/>
              </w:rPr>
              <w:t>）规费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401"/>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ign w:val="center"/>
          </w:tcPr>
          <w:p w:rsidR="00A32067" w:rsidRDefault="00A32067">
            <w:pPr>
              <w:widowControl/>
              <w:jc w:val="left"/>
              <w:rPr>
                <w:color w:val="000000"/>
                <w:kern w:val="0"/>
                <w:sz w:val="22"/>
                <w:szCs w:val="22"/>
              </w:rPr>
            </w:pPr>
          </w:p>
        </w:tc>
        <w:tc>
          <w:tcPr>
            <w:tcW w:w="3216" w:type="dxa"/>
            <w:vAlign w:val="center"/>
          </w:tcPr>
          <w:p w:rsidR="00A32067" w:rsidRDefault="00A32067">
            <w:pPr>
              <w:widowControl/>
              <w:rPr>
                <w:color w:val="000000"/>
                <w:kern w:val="0"/>
                <w:sz w:val="22"/>
                <w:szCs w:val="22"/>
              </w:rPr>
            </w:pPr>
            <w:r>
              <w:rPr>
                <w:color w:val="000000"/>
                <w:kern w:val="0"/>
                <w:sz w:val="22"/>
                <w:szCs w:val="22"/>
              </w:rPr>
              <w:t>4</w:t>
            </w:r>
            <w:r>
              <w:rPr>
                <w:rFonts w:cs="宋体" w:hint="eastAsia"/>
                <w:color w:val="000000"/>
                <w:kern w:val="0"/>
                <w:sz w:val="22"/>
                <w:szCs w:val="22"/>
              </w:rPr>
              <w:t>）税金</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453"/>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restart"/>
            <w:vAlign w:val="center"/>
          </w:tcPr>
          <w:p w:rsidR="00A32067" w:rsidRDefault="00A32067">
            <w:pPr>
              <w:widowControl/>
              <w:rPr>
                <w:color w:val="000000"/>
                <w:kern w:val="0"/>
                <w:sz w:val="22"/>
                <w:szCs w:val="22"/>
              </w:rPr>
            </w:pPr>
            <w:r>
              <w:rPr>
                <w:color w:val="000000"/>
                <w:kern w:val="0"/>
                <w:sz w:val="22"/>
                <w:szCs w:val="22"/>
              </w:rPr>
              <w:t>3.</w:t>
            </w:r>
            <w:r>
              <w:rPr>
                <w:rFonts w:cs="宋体" w:hint="eastAsia"/>
                <w:color w:val="000000"/>
                <w:kern w:val="0"/>
                <w:sz w:val="22"/>
                <w:szCs w:val="22"/>
              </w:rPr>
              <w:t>设备购置费</w:t>
            </w:r>
          </w:p>
        </w:tc>
        <w:tc>
          <w:tcPr>
            <w:tcW w:w="3216" w:type="dxa"/>
            <w:vAlign w:val="center"/>
          </w:tcPr>
          <w:p w:rsidR="00A32067" w:rsidRDefault="00A32067">
            <w:pPr>
              <w:widowControl/>
              <w:rPr>
                <w:color w:val="000000"/>
                <w:kern w:val="0"/>
                <w:sz w:val="22"/>
                <w:szCs w:val="22"/>
              </w:rPr>
            </w:pPr>
            <w:r>
              <w:rPr>
                <w:color w:val="000000"/>
                <w:kern w:val="0"/>
                <w:sz w:val="22"/>
                <w:szCs w:val="22"/>
              </w:rPr>
              <w:t>1</w:t>
            </w:r>
            <w:r>
              <w:rPr>
                <w:rFonts w:cs="宋体" w:hint="eastAsia"/>
                <w:color w:val="000000"/>
                <w:kern w:val="0"/>
                <w:sz w:val="22"/>
                <w:szCs w:val="22"/>
              </w:rPr>
              <w:t>）设备、工器具购置费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417"/>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ign w:val="center"/>
          </w:tcPr>
          <w:p w:rsidR="00A32067" w:rsidRDefault="00A32067">
            <w:pPr>
              <w:widowControl/>
              <w:jc w:val="left"/>
              <w:rPr>
                <w:color w:val="000000"/>
                <w:kern w:val="0"/>
                <w:sz w:val="22"/>
                <w:szCs w:val="22"/>
              </w:rPr>
            </w:pPr>
          </w:p>
        </w:tc>
        <w:tc>
          <w:tcPr>
            <w:tcW w:w="3216" w:type="dxa"/>
            <w:vAlign w:val="center"/>
          </w:tcPr>
          <w:p w:rsidR="00A32067" w:rsidRDefault="00A32067">
            <w:pPr>
              <w:widowControl/>
              <w:rPr>
                <w:color w:val="000000"/>
                <w:kern w:val="0"/>
                <w:sz w:val="22"/>
                <w:szCs w:val="22"/>
              </w:rPr>
            </w:pPr>
            <w:r>
              <w:rPr>
                <w:color w:val="000000"/>
                <w:kern w:val="0"/>
                <w:sz w:val="22"/>
                <w:szCs w:val="22"/>
              </w:rPr>
              <w:t>2</w:t>
            </w:r>
            <w:r>
              <w:rPr>
                <w:rFonts w:cs="宋体" w:hint="eastAsia"/>
                <w:color w:val="000000"/>
                <w:kern w:val="0"/>
                <w:sz w:val="22"/>
                <w:szCs w:val="22"/>
              </w:rPr>
              <w:t>）交通运输设备购置费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399"/>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Merge/>
            <w:vAlign w:val="center"/>
          </w:tcPr>
          <w:p w:rsidR="00A32067" w:rsidRDefault="00A32067">
            <w:pPr>
              <w:widowControl/>
              <w:jc w:val="left"/>
              <w:rPr>
                <w:color w:val="000000"/>
                <w:kern w:val="0"/>
                <w:sz w:val="22"/>
                <w:szCs w:val="22"/>
              </w:rPr>
            </w:pPr>
          </w:p>
        </w:tc>
        <w:tc>
          <w:tcPr>
            <w:tcW w:w="3216" w:type="dxa"/>
            <w:vAlign w:val="center"/>
          </w:tcPr>
          <w:p w:rsidR="00A32067" w:rsidRDefault="00A32067">
            <w:pPr>
              <w:widowControl/>
              <w:rPr>
                <w:color w:val="000000"/>
                <w:kern w:val="0"/>
                <w:sz w:val="22"/>
                <w:szCs w:val="22"/>
              </w:rPr>
            </w:pPr>
            <w:r>
              <w:rPr>
                <w:color w:val="000000"/>
                <w:kern w:val="0"/>
                <w:sz w:val="22"/>
                <w:szCs w:val="22"/>
              </w:rPr>
              <w:t>3</w:t>
            </w:r>
            <w:r>
              <w:rPr>
                <w:rFonts w:cs="宋体" w:hint="eastAsia"/>
                <w:color w:val="000000"/>
                <w:kern w:val="0"/>
                <w:sz w:val="22"/>
                <w:szCs w:val="22"/>
              </w:rPr>
              <w:t>）生产家具购置费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970"/>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第二部分工程建设其他费用</w:t>
            </w:r>
          </w:p>
        </w:tc>
        <w:tc>
          <w:tcPr>
            <w:tcW w:w="1680" w:type="dxa"/>
            <w:vAlign w:val="center"/>
          </w:tcPr>
          <w:p w:rsidR="00A32067" w:rsidRDefault="00A32067">
            <w:pPr>
              <w:widowControl/>
              <w:rPr>
                <w:color w:val="000000"/>
                <w:kern w:val="0"/>
                <w:sz w:val="22"/>
                <w:szCs w:val="22"/>
              </w:rPr>
            </w:pPr>
            <w:r>
              <w:rPr>
                <w:color w:val="000000"/>
                <w:kern w:val="0"/>
                <w:sz w:val="22"/>
                <w:szCs w:val="22"/>
              </w:rPr>
              <w:t>1.</w:t>
            </w:r>
            <w:r>
              <w:rPr>
                <w:rFonts w:cs="宋体" w:hint="eastAsia"/>
                <w:color w:val="000000"/>
                <w:kern w:val="0"/>
                <w:sz w:val="22"/>
                <w:szCs w:val="22"/>
              </w:rPr>
              <w:t>与土地使用权取得有关的费用</w:t>
            </w:r>
          </w:p>
        </w:tc>
        <w:tc>
          <w:tcPr>
            <w:tcW w:w="3216" w:type="dxa"/>
            <w:vAlign w:val="center"/>
          </w:tcPr>
          <w:p w:rsidR="00A32067" w:rsidRDefault="00A32067">
            <w:pPr>
              <w:widowControl/>
              <w:rPr>
                <w:color w:val="000000"/>
                <w:kern w:val="0"/>
                <w:sz w:val="22"/>
                <w:szCs w:val="22"/>
              </w:rPr>
            </w:pPr>
            <w:r>
              <w:rPr>
                <w:rFonts w:cs="宋体" w:hint="eastAsia"/>
                <w:color w:val="000000"/>
                <w:kern w:val="0"/>
                <w:sz w:val="22"/>
                <w:szCs w:val="22"/>
              </w:rPr>
              <w:t>建设用地费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3898"/>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Align w:val="center"/>
          </w:tcPr>
          <w:p w:rsidR="00A32067" w:rsidRDefault="00A32067">
            <w:pPr>
              <w:widowControl/>
              <w:rPr>
                <w:color w:val="000000"/>
                <w:kern w:val="0"/>
                <w:sz w:val="22"/>
                <w:szCs w:val="22"/>
              </w:rPr>
            </w:pPr>
            <w:r>
              <w:rPr>
                <w:color w:val="000000"/>
                <w:kern w:val="0"/>
                <w:sz w:val="22"/>
                <w:szCs w:val="22"/>
              </w:rPr>
              <w:t>2.</w:t>
            </w:r>
            <w:r>
              <w:rPr>
                <w:rFonts w:cs="宋体" w:hint="eastAsia"/>
                <w:color w:val="000000"/>
                <w:kern w:val="0"/>
                <w:sz w:val="22"/>
                <w:szCs w:val="22"/>
              </w:rPr>
              <w:t>与整个工程项目建设有关的费用</w:t>
            </w:r>
          </w:p>
        </w:tc>
        <w:tc>
          <w:tcPr>
            <w:tcW w:w="3216" w:type="dxa"/>
            <w:vAlign w:val="center"/>
          </w:tcPr>
          <w:p w:rsidR="00A32067" w:rsidRDefault="00A32067">
            <w:pPr>
              <w:widowControl/>
              <w:jc w:val="left"/>
              <w:rPr>
                <w:color w:val="000000"/>
                <w:kern w:val="0"/>
                <w:sz w:val="22"/>
                <w:szCs w:val="22"/>
              </w:rPr>
            </w:pPr>
            <w:r>
              <w:rPr>
                <w:rFonts w:cs="宋体" w:hint="eastAsia"/>
                <w:color w:val="000000"/>
                <w:kern w:val="0"/>
                <w:sz w:val="22"/>
                <w:szCs w:val="22"/>
              </w:rPr>
              <w:t>项目建设管理费、建设项目场地准备及建设单位临时设施费、建设项目前期工作咨询费、环境影响评价费、劳动安全卫生评价费、勘察设计费、施工图纸审查费、研究试验费、工程造价咨询费、招标代理费、工程建设监理费、特殊设备安全监督检验费、城市基础设施配套费、防空地下室易地建设费、工程保险费、专利及专有技术使用费、引进技术和引进设备其他费、项目竣工财务决算编制费、与项目相关的其他费用</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690"/>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1680" w:type="dxa"/>
            <w:vAlign w:val="center"/>
          </w:tcPr>
          <w:p w:rsidR="00A32067" w:rsidRDefault="00A32067">
            <w:pPr>
              <w:widowControl/>
              <w:rPr>
                <w:color w:val="000000"/>
                <w:kern w:val="0"/>
                <w:sz w:val="22"/>
                <w:szCs w:val="22"/>
              </w:rPr>
            </w:pPr>
            <w:r>
              <w:rPr>
                <w:color w:val="000000"/>
                <w:kern w:val="0"/>
                <w:sz w:val="22"/>
                <w:szCs w:val="22"/>
              </w:rPr>
              <w:t>3.</w:t>
            </w:r>
            <w:r>
              <w:rPr>
                <w:rFonts w:cs="宋体" w:hint="eastAsia"/>
                <w:color w:val="000000"/>
                <w:kern w:val="0"/>
                <w:sz w:val="22"/>
                <w:szCs w:val="22"/>
              </w:rPr>
              <w:t>与未来生产经营有关的费用</w:t>
            </w:r>
          </w:p>
        </w:tc>
        <w:tc>
          <w:tcPr>
            <w:tcW w:w="3216" w:type="dxa"/>
            <w:vAlign w:val="center"/>
          </w:tcPr>
          <w:p w:rsidR="00A32067" w:rsidRDefault="00A32067">
            <w:pPr>
              <w:widowControl/>
              <w:rPr>
                <w:color w:val="000000"/>
                <w:kern w:val="0"/>
                <w:sz w:val="22"/>
                <w:szCs w:val="22"/>
              </w:rPr>
            </w:pPr>
            <w:r>
              <w:rPr>
                <w:rFonts w:cs="宋体" w:hint="eastAsia"/>
                <w:color w:val="000000"/>
                <w:kern w:val="0"/>
                <w:sz w:val="22"/>
                <w:szCs w:val="22"/>
              </w:rPr>
              <w:t>生产准备费、联合试运转费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616"/>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restart"/>
            <w:vAlign w:val="center"/>
          </w:tcPr>
          <w:p w:rsidR="00A32067" w:rsidRDefault="00A32067">
            <w:pPr>
              <w:widowControl/>
              <w:jc w:val="center"/>
              <w:rPr>
                <w:color w:val="000000"/>
                <w:kern w:val="0"/>
                <w:sz w:val="22"/>
                <w:szCs w:val="22"/>
              </w:rPr>
            </w:pPr>
            <w:r>
              <w:rPr>
                <w:rFonts w:cs="宋体" w:hint="eastAsia"/>
                <w:color w:val="000000"/>
                <w:kern w:val="0"/>
                <w:sz w:val="22"/>
                <w:szCs w:val="22"/>
              </w:rPr>
              <w:t>第三部分预备费</w:t>
            </w:r>
          </w:p>
        </w:tc>
        <w:tc>
          <w:tcPr>
            <w:tcW w:w="4896" w:type="dxa"/>
            <w:gridSpan w:val="2"/>
            <w:vAlign w:val="center"/>
          </w:tcPr>
          <w:p w:rsidR="00A32067" w:rsidRDefault="00A32067">
            <w:pPr>
              <w:widowControl/>
              <w:rPr>
                <w:color w:val="000000"/>
                <w:kern w:val="0"/>
                <w:sz w:val="22"/>
                <w:szCs w:val="22"/>
              </w:rPr>
            </w:pPr>
            <w:r>
              <w:rPr>
                <w:color w:val="000000"/>
                <w:kern w:val="0"/>
                <w:sz w:val="22"/>
                <w:szCs w:val="22"/>
              </w:rPr>
              <w:t>1.</w:t>
            </w:r>
            <w:r>
              <w:rPr>
                <w:rFonts w:cs="宋体" w:hint="eastAsia"/>
                <w:color w:val="000000"/>
                <w:kern w:val="0"/>
                <w:sz w:val="22"/>
                <w:szCs w:val="22"/>
              </w:rPr>
              <w:t>基本预备费</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552"/>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Merge/>
            <w:vAlign w:val="center"/>
          </w:tcPr>
          <w:p w:rsidR="00A32067" w:rsidRDefault="00A32067">
            <w:pPr>
              <w:widowControl/>
              <w:jc w:val="left"/>
              <w:rPr>
                <w:color w:val="000000"/>
                <w:kern w:val="0"/>
                <w:sz w:val="22"/>
                <w:szCs w:val="22"/>
              </w:rPr>
            </w:pPr>
          </w:p>
        </w:tc>
        <w:tc>
          <w:tcPr>
            <w:tcW w:w="1262" w:type="dxa"/>
            <w:vMerge/>
            <w:vAlign w:val="center"/>
          </w:tcPr>
          <w:p w:rsidR="00A32067" w:rsidRDefault="00A32067">
            <w:pPr>
              <w:widowControl/>
              <w:jc w:val="left"/>
              <w:rPr>
                <w:color w:val="000000"/>
                <w:kern w:val="0"/>
                <w:sz w:val="22"/>
                <w:szCs w:val="22"/>
              </w:rPr>
            </w:pPr>
          </w:p>
        </w:tc>
        <w:tc>
          <w:tcPr>
            <w:tcW w:w="4896" w:type="dxa"/>
            <w:gridSpan w:val="2"/>
            <w:vAlign w:val="center"/>
          </w:tcPr>
          <w:p w:rsidR="00A32067" w:rsidRDefault="00A32067">
            <w:pPr>
              <w:widowControl/>
              <w:rPr>
                <w:color w:val="000000"/>
                <w:kern w:val="0"/>
                <w:sz w:val="22"/>
                <w:szCs w:val="22"/>
              </w:rPr>
            </w:pPr>
            <w:r>
              <w:rPr>
                <w:color w:val="000000"/>
                <w:kern w:val="0"/>
                <w:sz w:val="22"/>
                <w:szCs w:val="22"/>
              </w:rPr>
              <w:t>2.</w:t>
            </w:r>
            <w:r>
              <w:rPr>
                <w:rFonts w:cs="宋体" w:hint="eastAsia"/>
                <w:color w:val="000000"/>
                <w:kern w:val="0"/>
                <w:sz w:val="22"/>
                <w:szCs w:val="22"/>
              </w:rPr>
              <w:t>价差预备费</w:t>
            </w:r>
          </w:p>
        </w:tc>
        <w:tc>
          <w:tcPr>
            <w:tcW w:w="456" w:type="dxa"/>
            <w:vMerge w:val="restart"/>
            <w:vAlign w:val="center"/>
          </w:tcPr>
          <w:p w:rsidR="00A32067" w:rsidRDefault="00A32067">
            <w:pPr>
              <w:widowControl/>
              <w:jc w:val="center"/>
              <w:rPr>
                <w:color w:val="000000"/>
                <w:kern w:val="0"/>
                <w:sz w:val="22"/>
                <w:szCs w:val="22"/>
              </w:rPr>
            </w:pPr>
          </w:p>
        </w:tc>
        <w:tc>
          <w:tcPr>
            <w:tcW w:w="456" w:type="dxa"/>
            <w:vMerge/>
          </w:tcPr>
          <w:p w:rsidR="00A32067" w:rsidRDefault="00A32067">
            <w:pPr>
              <w:widowControl/>
              <w:jc w:val="center"/>
              <w:rPr>
                <w:color w:val="000000"/>
                <w:kern w:val="0"/>
                <w:sz w:val="22"/>
                <w:szCs w:val="22"/>
              </w:rPr>
            </w:pPr>
          </w:p>
        </w:tc>
      </w:tr>
      <w:tr w:rsidR="00A32067">
        <w:trPr>
          <w:trHeight w:val="797"/>
        </w:trPr>
        <w:tc>
          <w:tcPr>
            <w:tcW w:w="525" w:type="dxa"/>
            <w:vMerge/>
            <w:vAlign w:val="center"/>
          </w:tcPr>
          <w:p w:rsidR="00A32067" w:rsidRDefault="00A32067">
            <w:pPr>
              <w:widowControl/>
              <w:jc w:val="left"/>
              <w:rPr>
                <w:color w:val="000000"/>
                <w:kern w:val="0"/>
                <w:sz w:val="22"/>
                <w:szCs w:val="22"/>
              </w:rPr>
            </w:pPr>
          </w:p>
        </w:tc>
        <w:tc>
          <w:tcPr>
            <w:tcW w:w="965" w:type="dxa"/>
            <w:vMerge/>
            <w:vAlign w:val="center"/>
          </w:tcPr>
          <w:p w:rsidR="00A32067" w:rsidRDefault="00A32067">
            <w:pPr>
              <w:widowControl/>
              <w:jc w:val="left"/>
              <w:rPr>
                <w:color w:val="000000"/>
                <w:kern w:val="0"/>
                <w:sz w:val="22"/>
                <w:szCs w:val="22"/>
              </w:rPr>
            </w:pPr>
          </w:p>
        </w:tc>
        <w:tc>
          <w:tcPr>
            <w:tcW w:w="918" w:type="dxa"/>
            <w:vAlign w:val="center"/>
          </w:tcPr>
          <w:p w:rsidR="00A32067" w:rsidRDefault="00A32067">
            <w:pPr>
              <w:widowControl/>
              <w:jc w:val="center"/>
              <w:rPr>
                <w:color w:val="000000"/>
                <w:kern w:val="0"/>
                <w:sz w:val="22"/>
                <w:szCs w:val="22"/>
              </w:rPr>
            </w:pPr>
            <w:r>
              <w:rPr>
                <w:rFonts w:cs="宋体" w:hint="eastAsia"/>
                <w:color w:val="000000"/>
                <w:kern w:val="0"/>
                <w:sz w:val="22"/>
                <w:szCs w:val="22"/>
              </w:rPr>
              <w:t>建设期利息</w:t>
            </w:r>
          </w:p>
        </w:tc>
        <w:tc>
          <w:tcPr>
            <w:tcW w:w="6158" w:type="dxa"/>
            <w:gridSpan w:val="3"/>
            <w:vAlign w:val="center"/>
          </w:tcPr>
          <w:p w:rsidR="00A32067" w:rsidRDefault="00A32067">
            <w:pPr>
              <w:widowControl/>
              <w:rPr>
                <w:color w:val="000000"/>
                <w:kern w:val="0"/>
                <w:sz w:val="22"/>
                <w:szCs w:val="22"/>
              </w:rPr>
            </w:pPr>
            <w:r>
              <w:rPr>
                <w:rFonts w:cs="宋体" w:hint="eastAsia"/>
                <w:color w:val="000000"/>
                <w:kern w:val="0"/>
                <w:sz w:val="22"/>
                <w:szCs w:val="22"/>
              </w:rPr>
              <w:t>第四部分建设期利息</w:t>
            </w:r>
          </w:p>
        </w:tc>
        <w:tc>
          <w:tcPr>
            <w:tcW w:w="456" w:type="dxa"/>
            <w:vMerge/>
            <w:vAlign w:val="center"/>
          </w:tcPr>
          <w:p w:rsidR="00A32067" w:rsidRDefault="00A32067">
            <w:pPr>
              <w:widowControl/>
              <w:jc w:val="left"/>
              <w:rPr>
                <w:color w:val="000000"/>
                <w:kern w:val="0"/>
                <w:sz w:val="22"/>
                <w:szCs w:val="22"/>
              </w:rPr>
            </w:pPr>
          </w:p>
        </w:tc>
        <w:tc>
          <w:tcPr>
            <w:tcW w:w="456" w:type="dxa"/>
            <w:vMerge/>
          </w:tcPr>
          <w:p w:rsidR="00A32067" w:rsidRDefault="00A32067">
            <w:pPr>
              <w:widowControl/>
              <w:jc w:val="left"/>
              <w:rPr>
                <w:color w:val="000000"/>
                <w:kern w:val="0"/>
                <w:sz w:val="22"/>
                <w:szCs w:val="22"/>
              </w:rPr>
            </w:pPr>
          </w:p>
        </w:tc>
      </w:tr>
      <w:tr w:rsidR="00A32067">
        <w:trPr>
          <w:trHeight w:val="926"/>
        </w:trPr>
        <w:tc>
          <w:tcPr>
            <w:tcW w:w="525" w:type="dxa"/>
            <w:vMerge/>
            <w:vAlign w:val="center"/>
          </w:tcPr>
          <w:p w:rsidR="00A32067" w:rsidRDefault="00A32067">
            <w:pPr>
              <w:widowControl/>
              <w:jc w:val="left"/>
              <w:rPr>
                <w:color w:val="000000"/>
                <w:kern w:val="0"/>
                <w:sz w:val="22"/>
                <w:szCs w:val="22"/>
              </w:rPr>
            </w:pPr>
          </w:p>
        </w:tc>
        <w:tc>
          <w:tcPr>
            <w:tcW w:w="965" w:type="dxa"/>
            <w:vAlign w:val="center"/>
          </w:tcPr>
          <w:p w:rsidR="00A32067" w:rsidRDefault="00A32067">
            <w:pPr>
              <w:widowControl/>
              <w:jc w:val="center"/>
              <w:rPr>
                <w:color w:val="000000"/>
                <w:kern w:val="0"/>
                <w:sz w:val="22"/>
                <w:szCs w:val="22"/>
              </w:rPr>
            </w:pPr>
            <w:r>
              <w:rPr>
                <w:rFonts w:cs="宋体" w:hint="eastAsia"/>
                <w:color w:val="000000"/>
                <w:kern w:val="0"/>
                <w:sz w:val="22"/>
                <w:szCs w:val="22"/>
              </w:rPr>
              <w:t>流动资产投资</w:t>
            </w:r>
          </w:p>
        </w:tc>
        <w:tc>
          <w:tcPr>
            <w:tcW w:w="918" w:type="dxa"/>
            <w:vAlign w:val="center"/>
          </w:tcPr>
          <w:p w:rsidR="00A32067" w:rsidRDefault="00A32067">
            <w:pPr>
              <w:widowControl/>
              <w:jc w:val="center"/>
              <w:rPr>
                <w:color w:val="000000"/>
                <w:kern w:val="0"/>
                <w:sz w:val="22"/>
                <w:szCs w:val="22"/>
              </w:rPr>
            </w:pPr>
            <w:r>
              <w:rPr>
                <w:rFonts w:cs="宋体" w:hint="eastAsia"/>
                <w:color w:val="000000"/>
                <w:kern w:val="0"/>
                <w:sz w:val="22"/>
                <w:szCs w:val="22"/>
              </w:rPr>
              <w:t>流动资金</w:t>
            </w:r>
          </w:p>
        </w:tc>
        <w:tc>
          <w:tcPr>
            <w:tcW w:w="6158" w:type="dxa"/>
            <w:gridSpan w:val="3"/>
            <w:vAlign w:val="center"/>
          </w:tcPr>
          <w:p w:rsidR="00A32067" w:rsidRDefault="00A32067">
            <w:pPr>
              <w:widowControl/>
              <w:rPr>
                <w:color w:val="000000"/>
                <w:kern w:val="0"/>
                <w:sz w:val="22"/>
                <w:szCs w:val="22"/>
              </w:rPr>
            </w:pPr>
            <w:r>
              <w:rPr>
                <w:rFonts w:cs="宋体" w:hint="eastAsia"/>
                <w:color w:val="000000"/>
                <w:kern w:val="0"/>
                <w:sz w:val="22"/>
                <w:szCs w:val="22"/>
              </w:rPr>
              <w:t>第五部分流动资金</w:t>
            </w:r>
          </w:p>
        </w:tc>
        <w:tc>
          <w:tcPr>
            <w:tcW w:w="456" w:type="dxa"/>
            <w:vAlign w:val="center"/>
          </w:tcPr>
          <w:p w:rsidR="00A32067" w:rsidRDefault="00A32067">
            <w:pPr>
              <w:widowControl/>
              <w:jc w:val="left"/>
              <w:rPr>
                <w:color w:val="000000"/>
                <w:kern w:val="0"/>
                <w:sz w:val="22"/>
                <w:szCs w:val="22"/>
              </w:rPr>
            </w:pPr>
          </w:p>
        </w:tc>
        <w:tc>
          <w:tcPr>
            <w:tcW w:w="456" w:type="dxa"/>
          </w:tcPr>
          <w:p w:rsidR="00A32067" w:rsidRDefault="00A32067">
            <w:pPr>
              <w:widowControl/>
              <w:jc w:val="left"/>
              <w:rPr>
                <w:color w:val="000000"/>
                <w:kern w:val="0"/>
                <w:sz w:val="22"/>
                <w:szCs w:val="22"/>
              </w:rPr>
            </w:pPr>
          </w:p>
        </w:tc>
      </w:tr>
    </w:tbl>
    <w:p w:rsidR="00A32067" w:rsidRDefault="00A32067">
      <w:pPr>
        <w:spacing w:line="220" w:lineRule="atLeast"/>
        <w:rPr>
          <w:b/>
          <w:bCs/>
          <w:kern w:val="0"/>
          <w:sz w:val="32"/>
          <w:szCs w:val="32"/>
        </w:rPr>
      </w:pPr>
    </w:p>
    <w:p w:rsidR="00A32067" w:rsidRDefault="00A32067">
      <w:pPr>
        <w:spacing w:line="220" w:lineRule="atLeast"/>
        <w:outlineLvl w:val="0"/>
        <w:rPr>
          <w:b/>
          <w:bCs/>
          <w:color w:val="333333"/>
          <w:sz w:val="32"/>
          <w:szCs w:val="32"/>
        </w:rPr>
      </w:pPr>
      <w:bookmarkStart w:id="12" w:name="_Toc519872255"/>
      <w:r>
        <w:rPr>
          <w:rFonts w:cs="宋体" w:hint="eastAsia"/>
          <w:b/>
          <w:bCs/>
          <w:kern w:val="0"/>
          <w:sz w:val="32"/>
          <w:szCs w:val="32"/>
        </w:rPr>
        <w:t>附录三：相关法律、法规、政策文件</w:t>
      </w:r>
      <w:bookmarkEnd w:id="12"/>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pStyle w:val="ListParagraph"/>
        <w:numPr>
          <w:ilvl w:val="0"/>
          <w:numId w:val="5"/>
        </w:numPr>
        <w:spacing w:line="220" w:lineRule="atLeast"/>
        <w:ind w:left="1077" w:firstLineChars="0" w:hanging="1077"/>
        <w:jc w:val="center"/>
        <w:outlineLvl w:val="1"/>
        <w:rPr>
          <w:b/>
          <w:bCs/>
          <w:color w:val="333333"/>
          <w:sz w:val="44"/>
          <w:szCs w:val="44"/>
        </w:rPr>
      </w:pPr>
      <w:bookmarkStart w:id="13" w:name="_Toc519872256"/>
      <w:r>
        <w:rPr>
          <w:rFonts w:cs="宋体" w:hint="eastAsia"/>
          <w:b/>
          <w:bCs/>
          <w:color w:val="333333"/>
          <w:sz w:val="44"/>
          <w:szCs w:val="44"/>
        </w:rPr>
        <w:t>与土地使用权有关的</w:t>
      </w:r>
      <w:r>
        <w:rPr>
          <w:b/>
          <w:bCs/>
          <w:color w:val="333333"/>
          <w:sz w:val="44"/>
          <w:szCs w:val="44"/>
        </w:rPr>
        <w:br/>
      </w:r>
      <w:r>
        <w:rPr>
          <w:rFonts w:cs="宋体" w:hint="eastAsia"/>
          <w:b/>
          <w:bCs/>
          <w:color w:val="333333"/>
          <w:sz w:val="44"/>
          <w:szCs w:val="44"/>
        </w:rPr>
        <w:t>法律、法规、政策文件</w:t>
      </w:r>
      <w:bookmarkEnd w:id="13"/>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p>
    <w:p w:rsidR="00A32067" w:rsidRDefault="00A32067">
      <w:pPr>
        <w:spacing w:line="220" w:lineRule="atLeast"/>
        <w:rPr>
          <w:b/>
          <w:bCs/>
          <w:color w:val="333333"/>
          <w:sz w:val="44"/>
          <w:szCs w:val="44"/>
        </w:rPr>
      </w:pPr>
      <w:r>
        <w:rPr>
          <w:b/>
          <w:bCs/>
          <w:color w:val="333333"/>
          <w:sz w:val="44"/>
          <w:szCs w:val="44"/>
        </w:rPr>
        <w:br w:type="page"/>
      </w:r>
    </w:p>
    <w:p w:rsidR="00A32067" w:rsidRDefault="00A32067">
      <w:pPr>
        <w:pStyle w:val="NormalWeb"/>
        <w:shd w:val="clear" w:color="auto" w:fill="FFFFFF"/>
        <w:spacing w:before="0" w:beforeAutospacing="0" w:after="0" w:afterAutospacing="0" w:line="360" w:lineRule="auto"/>
        <w:ind w:firstLine="879"/>
        <w:jc w:val="center"/>
        <w:outlineLvl w:val="2"/>
        <w:rPr>
          <w:rFonts w:ascii="Times New Roman" w:hAnsi="Times New Roman" w:cs="Times New Roman"/>
          <w:b/>
          <w:bCs/>
          <w:color w:val="333333"/>
          <w:spacing w:val="10"/>
          <w:sz w:val="44"/>
          <w:szCs w:val="44"/>
        </w:rPr>
      </w:pPr>
      <w:bookmarkStart w:id="14" w:name="_Toc519872257"/>
    </w:p>
    <w:p w:rsidR="00A32067" w:rsidRDefault="00A32067">
      <w:pPr>
        <w:pStyle w:val="NormalWeb"/>
        <w:shd w:val="clear" w:color="auto" w:fill="FFFFFF"/>
        <w:spacing w:before="0" w:beforeAutospacing="0" w:after="0" w:afterAutospacing="0" w:line="360" w:lineRule="auto"/>
        <w:ind w:firstLine="879"/>
        <w:jc w:val="center"/>
        <w:outlineLvl w:val="2"/>
        <w:rPr>
          <w:rFonts w:ascii="Times New Roman" w:hAnsi="Times New Roman" w:cs="Times New Roman"/>
          <w:b/>
          <w:bCs/>
          <w:color w:val="333333"/>
          <w:spacing w:val="10"/>
          <w:sz w:val="44"/>
          <w:szCs w:val="44"/>
        </w:rPr>
      </w:pPr>
      <w:r>
        <w:rPr>
          <w:rFonts w:ascii="Times New Roman" w:hAnsi="Times New Roman" w:hint="eastAsia"/>
          <w:b/>
          <w:bCs/>
          <w:color w:val="333333"/>
          <w:spacing w:val="10"/>
          <w:sz w:val="44"/>
          <w:szCs w:val="44"/>
        </w:rPr>
        <w:t>中华人民共和国土地管理法</w:t>
      </w:r>
      <w:bookmarkEnd w:id="14"/>
    </w:p>
    <w:p w:rsidR="00A32067" w:rsidRDefault="00A32067">
      <w:pPr>
        <w:pStyle w:val="NormalWeb"/>
        <w:shd w:val="clear" w:color="auto" w:fill="FFFFFF"/>
        <w:spacing w:before="0" w:beforeAutospacing="0" w:after="0" w:afterAutospacing="0" w:line="360" w:lineRule="auto"/>
        <w:ind w:firstLine="640"/>
        <w:jc w:val="center"/>
        <w:rPr>
          <w:rFonts w:ascii="Times New Roman" w:eastAsia="微软雅黑" w:hAnsi="Times New Roman" w:cs="Times New Roman"/>
          <w:b/>
          <w:bCs/>
          <w:color w:val="333333"/>
          <w:sz w:val="32"/>
          <w:szCs w:val="32"/>
        </w:rPr>
      </w:pPr>
    </w:p>
    <w:p w:rsidR="00A32067" w:rsidRDefault="00A32067">
      <w:pPr>
        <w:pStyle w:val="NormalWeb"/>
        <w:shd w:val="clear" w:color="auto" w:fill="FFFFFF"/>
        <w:spacing w:before="0" w:beforeAutospacing="0" w:after="0" w:afterAutospacing="0" w:line="360" w:lineRule="auto"/>
        <w:ind w:firstLine="420"/>
        <w:rPr>
          <w:rFonts w:ascii="Times New Roman" w:hAnsi="Times New Roman" w:cs="Times New Roman"/>
          <w:color w:val="333333"/>
          <w:spacing w:val="6"/>
        </w:rPr>
      </w:pPr>
      <w:r>
        <w:rPr>
          <w:rFonts w:ascii="Times New Roman" w:hAnsi="Times New Roman" w:cs="Times New Roman"/>
          <w:color w:val="333333"/>
          <w:spacing w:val="6"/>
        </w:rPr>
        <w:t>(1986</w:t>
      </w:r>
      <w:r>
        <w:rPr>
          <w:rFonts w:ascii="Times New Roman" w:hAnsi="Times New Roman" w:hint="eastAsia"/>
          <w:color w:val="333333"/>
          <w:spacing w:val="6"/>
        </w:rPr>
        <w:t>年</w:t>
      </w:r>
      <w:r>
        <w:rPr>
          <w:rFonts w:ascii="Times New Roman" w:hAnsi="Times New Roman" w:cs="Times New Roman"/>
          <w:color w:val="333333"/>
          <w:spacing w:val="6"/>
        </w:rPr>
        <w:t>6</w:t>
      </w:r>
      <w:r>
        <w:rPr>
          <w:rFonts w:ascii="Times New Roman" w:hAnsi="Times New Roman" w:hint="eastAsia"/>
          <w:color w:val="333333"/>
          <w:spacing w:val="6"/>
        </w:rPr>
        <w:t>月</w:t>
      </w:r>
      <w:r>
        <w:rPr>
          <w:rFonts w:ascii="Times New Roman" w:hAnsi="Times New Roman" w:cs="Times New Roman"/>
          <w:color w:val="333333"/>
          <w:spacing w:val="6"/>
        </w:rPr>
        <w:t>25</w:t>
      </w:r>
      <w:r>
        <w:rPr>
          <w:rFonts w:ascii="Times New Roman" w:hAnsi="Times New Roman" w:hint="eastAsia"/>
          <w:color w:val="333333"/>
          <w:spacing w:val="6"/>
        </w:rPr>
        <w:t>日第六届全国人民代表大会常务委员会第十六次会议通过根据</w:t>
      </w:r>
      <w:r>
        <w:rPr>
          <w:rFonts w:ascii="Times New Roman" w:hAnsi="Times New Roman" w:cs="Times New Roman"/>
          <w:color w:val="333333"/>
          <w:spacing w:val="6"/>
        </w:rPr>
        <w:t>1988</w:t>
      </w:r>
      <w:r>
        <w:rPr>
          <w:rFonts w:ascii="Times New Roman" w:hAnsi="Times New Roman" w:hint="eastAsia"/>
          <w:color w:val="333333"/>
          <w:spacing w:val="6"/>
        </w:rPr>
        <w:t>年</w:t>
      </w:r>
      <w:r>
        <w:rPr>
          <w:rFonts w:ascii="Times New Roman" w:hAnsi="Times New Roman" w:cs="Times New Roman"/>
          <w:color w:val="333333"/>
          <w:spacing w:val="6"/>
        </w:rPr>
        <w:t>12</w:t>
      </w:r>
      <w:r>
        <w:rPr>
          <w:rFonts w:ascii="Times New Roman" w:hAnsi="Times New Roman" w:hint="eastAsia"/>
          <w:color w:val="333333"/>
          <w:spacing w:val="6"/>
        </w:rPr>
        <w:t>月</w:t>
      </w:r>
      <w:r>
        <w:rPr>
          <w:rFonts w:ascii="Times New Roman" w:hAnsi="Times New Roman" w:cs="Times New Roman"/>
          <w:color w:val="333333"/>
          <w:spacing w:val="6"/>
        </w:rPr>
        <w:t>29</w:t>
      </w:r>
      <w:r>
        <w:rPr>
          <w:rFonts w:ascii="Times New Roman" w:hAnsi="Times New Roman" w:hint="eastAsia"/>
          <w:color w:val="333333"/>
          <w:spacing w:val="6"/>
        </w:rPr>
        <w:t>日第七届全国人民代表大会常务委员会第五次会议《关于修改〈中华人民共和国土地管理法〉的决定》第一次修正</w:t>
      </w:r>
      <w:r>
        <w:rPr>
          <w:rFonts w:ascii="Times New Roman" w:hAnsi="Times New Roman" w:cs="Times New Roman"/>
          <w:color w:val="333333"/>
          <w:spacing w:val="6"/>
        </w:rPr>
        <w:t>1998</w:t>
      </w:r>
      <w:r>
        <w:rPr>
          <w:rFonts w:ascii="Times New Roman" w:hAnsi="Times New Roman" w:hint="eastAsia"/>
          <w:color w:val="333333"/>
          <w:spacing w:val="6"/>
        </w:rPr>
        <w:t>年</w:t>
      </w:r>
      <w:r>
        <w:rPr>
          <w:rFonts w:ascii="Times New Roman" w:hAnsi="Times New Roman" w:cs="Times New Roman"/>
          <w:color w:val="333333"/>
          <w:spacing w:val="6"/>
        </w:rPr>
        <w:t>8</w:t>
      </w:r>
      <w:r>
        <w:rPr>
          <w:rFonts w:ascii="Times New Roman" w:hAnsi="Times New Roman" w:hint="eastAsia"/>
          <w:color w:val="333333"/>
          <w:spacing w:val="6"/>
        </w:rPr>
        <w:t>月</w:t>
      </w:r>
      <w:r>
        <w:rPr>
          <w:rFonts w:ascii="Times New Roman" w:hAnsi="Times New Roman" w:cs="Times New Roman"/>
          <w:color w:val="333333"/>
          <w:spacing w:val="6"/>
        </w:rPr>
        <w:t>29</w:t>
      </w:r>
      <w:r>
        <w:rPr>
          <w:rFonts w:ascii="Times New Roman" w:hAnsi="Times New Roman" w:hint="eastAsia"/>
          <w:color w:val="333333"/>
          <w:spacing w:val="6"/>
        </w:rPr>
        <w:t>日第九届全国人民代表大会常务委员会第四次会议修订根据</w:t>
      </w:r>
      <w:r>
        <w:rPr>
          <w:rFonts w:ascii="Times New Roman" w:hAnsi="Times New Roman" w:cs="Times New Roman"/>
          <w:color w:val="333333"/>
          <w:spacing w:val="6"/>
        </w:rPr>
        <w:t>2004</w:t>
      </w:r>
      <w:r>
        <w:rPr>
          <w:rFonts w:ascii="Times New Roman" w:hAnsi="Times New Roman" w:hint="eastAsia"/>
          <w:color w:val="333333"/>
          <w:spacing w:val="6"/>
        </w:rPr>
        <w:t>年</w:t>
      </w:r>
      <w:r>
        <w:rPr>
          <w:rFonts w:ascii="Times New Roman" w:hAnsi="Times New Roman" w:cs="Times New Roman"/>
          <w:color w:val="333333"/>
          <w:spacing w:val="6"/>
        </w:rPr>
        <w:t>8</w:t>
      </w:r>
      <w:r>
        <w:rPr>
          <w:rFonts w:ascii="Times New Roman" w:hAnsi="Times New Roman" w:hint="eastAsia"/>
          <w:color w:val="333333"/>
          <w:spacing w:val="6"/>
        </w:rPr>
        <w:t>月</w:t>
      </w:r>
      <w:r>
        <w:rPr>
          <w:rFonts w:ascii="Times New Roman" w:hAnsi="Times New Roman" w:cs="Times New Roman"/>
          <w:color w:val="333333"/>
          <w:spacing w:val="6"/>
        </w:rPr>
        <w:t>28</w:t>
      </w:r>
      <w:r>
        <w:rPr>
          <w:rFonts w:ascii="Times New Roman" w:hAnsi="Times New Roman" w:hint="eastAsia"/>
          <w:color w:val="333333"/>
          <w:spacing w:val="6"/>
        </w:rPr>
        <w:t>日第十届全国人民代表大会常务委员会第十一次会议《关于修改〈中华人民共和国土地管理法〉的决定》第二次修正</w:t>
      </w:r>
      <w:r>
        <w:rPr>
          <w:rFonts w:ascii="Times New Roman" w:hAnsi="Times New Roman" w:cs="Times New Roman"/>
          <w:color w:val="333333"/>
          <w:spacing w:val="6"/>
        </w:rPr>
        <w:t>)</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color w:val="333333"/>
          <w:sz w:val="36"/>
          <w:szCs w:val="36"/>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color w:val="333333"/>
          <w:sz w:val="36"/>
          <w:szCs w:val="36"/>
        </w:rPr>
      </w:pPr>
      <w:r>
        <w:rPr>
          <w:rFonts w:ascii="Times New Roman" w:hAnsi="Times New Roman" w:hint="eastAsia"/>
          <w:b/>
          <w:bCs/>
          <w:color w:val="333333"/>
          <w:sz w:val="36"/>
          <w:szCs w:val="36"/>
        </w:rPr>
        <w:t>目录</w:t>
      </w:r>
    </w:p>
    <w:p w:rsidR="00A32067" w:rsidRDefault="00A32067">
      <w:pPr>
        <w:pStyle w:val="NormalWeb"/>
        <w:shd w:val="clear" w:color="auto" w:fill="FFFFFF"/>
        <w:spacing w:before="0" w:beforeAutospacing="0" w:after="0" w:afterAutospacing="0" w:line="360" w:lineRule="auto"/>
        <w:jc w:val="center"/>
        <w:rPr>
          <w:rFonts w:ascii="Times New Roman" w:eastAsia="黑体" w:hAnsi="Times New Roman" w:cs="Times New Roman"/>
          <w:b/>
          <w:bCs/>
          <w:color w:val="333333"/>
        </w:rPr>
      </w:pP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eastAsia="黑体" w:hAnsi="Times New Roman" w:cs="黑体" w:hint="eastAsia"/>
          <w:b/>
          <w:bCs/>
          <w:color w:val="333333"/>
        </w:rPr>
        <w:t xml:space="preserve">　　</w:t>
      </w:r>
      <w:r>
        <w:rPr>
          <w:rFonts w:ascii="Times New Roman" w:hAnsi="Times New Roman" w:hint="eastAsia"/>
          <w:b/>
          <w:bCs/>
          <w:color w:val="333333"/>
        </w:rPr>
        <w:t>第一章总则</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b/>
          <w:bCs/>
          <w:color w:val="333333"/>
        </w:rPr>
        <w:t xml:space="preserve">　　第二章土地的所有权和使用权</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b/>
          <w:bCs/>
          <w:color w:val="333333"/>
        </w:rPr>
        <w:t xml:space="preserve">　　第三章土地利用总体规划</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b/>
          <w:bCs/>
          <w:color w:val="333333"/>
        </w:rPr>
        <w:t xml:space="preserve">　　第四章耕地保护</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b/>
          <w:bCs/>
          <w:color w:val="333333"/>
        </w:rPr>
        <w:t xml:space="preserve">　　第五章建设用地</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b/>
          <w:bCs/>
          <w:color w:val="333333"/>
        </w:rPr>
        <w:t xml:space="preserve">　　第六章监督检查</w:t>
      </w: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r>
        <w:rPr>
          <w:rFonts w:ascii="Times New Roman" w:hAnsi="Times New Roman" w:hint="eastAsia"/>
          <w:color w:val="333333"/>
        </w:rPr>
        <w:t xml:space="preserve">　　</w:t>
      </w:r>
      <w:r>
        <w:rPr>
          <w:rFonts w:ascii="Times New Roman" w:hAnsi="Times New Roman" w:hint="eastAsia"/>
          <w:b/>
          <w:bCs/>
          <w:color w:val="333333"/>
        </w:rPr>
        <w:t>第七章法律责任</w:t>
      </w:r>
    </w:p>
    <w:p w:rsidR="00A32067" w:rsidRDefault="00A32067">
      <w:pPr>
        <w:pStyle w:val="NormalWeb"/>
        <w:shd w:val="clear" w:color="auto" w:fill="FFFFFF"/>
        <w:spacing w:before="0" w:beforeAutospacing="0" w:after="0" w:afterAutospacing="0" w:line="480" w:lineRule="auto"/>
        <w:ind w:firstLine="420"/>
        <w:rPr>
          <w:rFonts w:ascii="Times New Roman" w:hAnsi="Times New Roman" w:cs="Times New Roman"/>
          <w:b/>
          <w:bCs/>
          <w:color w:val="333333"/>
        </w:rPr>
      </w:pPr>
      <w:r>
        <w:rPr>
          <w:rFonts w:ascii="Times New Roman" w:hAnsi="Times New Roman" w:hint="eastAsia"/>
          <w:b/>
          <w:bCs/>
          <w:color w:val="333333"/>
        </w:rPr>
        <w:t>第八章附则</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eastAsia="微软雅黑" w:hAnsi="Times New Roman" w:cs="Times New Roman"/>
          <w:color w:val="333333"/>
        </w:rPr>
        <w:sectPr w:rsidR="00A32067">
          <w:pgSz w:w="11907" w:h="16840"/>
          <w:pgMar w:top="1134" w:right="1077" w:bottom="1134" w:left="1077" w:header="794" w:footer="567" w:gutter="284"/>
          <w:cols w:space="720"/>
          <w:docGrid w:linePitch="312"/>
        </w:sect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第一条</w:t>
      </w:r>
      <w:r>
        <w:rPr>
          <w:rFonts w:ascii="Times New Roman" w:hAnsi="Times New Roman" w:hint="eastAsia"/>
          <w:color w:val="333333"/>
          <w:sz w:val="22"/>
          <w:szCs w:val="22"/>
        </w:rPr>
        <w:t>为了加强土地管理，维护土地的社会主义公有制，保护、开发土地资源，合理利用土地，切实保护耕地，促进社会经济的可持续发展，根据宪法，制定本法。</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第二条</w:t>
      </w:r>
      <w:r>
        <w:rPr>
          <w:rFonts w:ascii="Times New Roman" w:hAnsi="Times New Roman" w:hint="eastAsia"/>
          <w:color w:val="333333"/>
          <w:sz w:val="22"/>
          <w:szCs w:val="22"/>
        </w:rPr>
        <w:t>中华人民共和国实行土地的社会主义公有制，即全民所有制和劳动群众集体所有制。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全民所有，即国家所有土地的所有权由国务院代表国家行使。</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任何单位和个人不得侵占、买卖或者以其他形式非法转让土地。土地使用权可以依法转让。</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国家为了公共利益的需要，可以依法对土地实行征收或者征用并给予补偿。</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国家依法实行国有土地有偿使用制度。但是，国家在法律规定的范围内划拨国有土地使用权的除外。</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第三条</w:t>
      </w:r>
      <w:r>
        <w:rPr>
          <w:rFonts w:ascii="Times New Roman" w:hAnsi="Times New Roman" w:hint="eastAsia"/>
          <w:color w:val="333333"/>
          <w:sz w:val="22"/>
          <w:szCs w:val="22"/>
        </w:rPr>
        <w:t>十分珍惜、合理利用土地和切实保护耕地是我国的基本国策。各级人民政府应当采取措施，全面规划，严格管理，保护、开发土地资源，制止非法占用土地的行为。</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b/>
          <w:bCs/>
          <w:color w:val="333333"/>
          <w:sz w:val="22"/>
          <w:szCs w:val="22"/>
        </w:rPr>
        <w:t xml:space="preserve">　　第四条</w:t>
      </w:r>
      <w:r>
        <w:rPr>
          <w:rFonts w:ascii="Times New Roman" w:hAnsi="Times New Roman" w:hint="eastAsia"/>
          <w:color w:val="333333"/>
          <w:sz w:val="22"/>
          <w:szCs w:val="22"/>
        </w:rPr>
        <w:t>国家实行土地用途管制制度。</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国家编制土地利用总体规划，规定土地用途，将土地分为农用地、建设用地和未利用地。严格限制农用地转为建设用地，控制建设用地总量，对耕地实行特殊保护。</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前款所称农用地是指直接用于农业生产的土地，包括耕地、林地、草地、农田水利用地、养殖水面等</w:t>
      </w:r>
      <w:r>
        <w:rPr>
          <w:rFonts w:ascii="Times New Roman" w:hAnsi="Times New Roman" w:cs="Times New Roman"/>
          <w:color w:val="333333"/>
          <w:sz w:val="22"/>
          <w:szCs w:val="22"/>
        </w:rPr>
        <w:t>;</w:t>
      </w:r>
      <w:r>
        <w:rPr>
          <w:rFonts w:ascii="Times New Roman" w:hAnsi="Times New Roman" w:hint="eastAsia"/>
          <w:color w:val="333333"/>
          <w:sz w:val="22"/>
          <w:szCs w:val="22"/>
        </w:rPr>
        <w:t>建设用地是指建造建筑物、构筑物的土地，包括城乡住宅和公共设施用地、工矿用地、交通水利设施用地、旅游用地、军事设施用地等</w:t>
      </w:r>
      <w:r>
        <w:rPr>
          <w:rFonts w:ascii="Times New Roman" w:hAnsi="Times New Roman" w:cs="Times New Roman"/>
          <w:color w:val="333333"/>
          <w:sz w:val="22"/>
          <w:szCs w:val="22"/>
        </w:rPr>
        <w:t>;</w:t>
      </w:r>
      <w:r>
        <w:rPr>
          <w:rFonts w:ascii="Times New Roman" w:hAnsi="Times New Roman" w:hint="eastAsia"/>
          <w:color w:val="333333"/>
          <w:sz w:val="22"/>
          <w:szCs w:val="22"/>
        </w:rPr>
        <w:t>未利用地是指农用地和建设用地以外的土地。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使用土地的单位和个人必须严格按照土地利用总体规划确定的用途使用土地。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第五条</w:t>
      </w:r>
      <w:r>
        <w:rPr>
          <w:rFonts w:ascii="Times New Roman" w:hAnsi="Times New Roman" w:hint="eastAsia"/>
          <w:color w:val="333333"/>
          <w:sz w:val="22"/>
          <w:szCs w:val="22"/>
        </w:rPr>
        <w:t>国务院土地行政主管部门统一负责全国土地的管理和监督工作。</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县级以上地方人民政府土地行政主管部门的设置及其职责，由省、自治区、直辖市人民政府根据国务院有关规定确定。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第六条</w:t>
      </w:r>
      <w:r>
        <w:rPr>
          <w:rFonts w:ascii="Times New Roman" w:hAnsi="Times New Roman" w:hint="eastAsia"/>
          <w:color w:val="333333"/>
          <w:sz w:val="22"/>
          <w:szCs w:val="22"/>
        </w:rPr>
        <w:t>任何单位和个人都有遵守土地管理法律、法规的义务，并有权对违反土地管理法律、法规的行为提出检举和控告。</w:t>
      </w:r>
    </w:p>
    <w:p w:rsidR="00A32067" w:rsidRDefault="00A32067">
      <w:pPr>
        <w:pStyle w:val="NormalWeb"/>
        <w:shd w:val="clear" w:color="auto" w:fill="FFFFFF"/>
        <w:spacing w:before="0" w:beforeAutospacing="0" w:after="0" w:afterAutospacing="0" w:line="360" w:lineRule="auto"/>
        <w:ind w:firstLine="435"/>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hint="eastAsia"/>
          <w:color w:val="333333"/>
          <w:sz w:val="22"/>
          <w:szCs w:val="22"/>
        </w:rPr>
        <w:t>在保护和开发土地资源、合理利用土地以及进行有关的科学研究等方面成绩显著的单位和个人，由人民政府给予奖励。</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第二章土地的所有权和使用权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b/>
          <w:bCs/>
          <w:color w:val="333333"/>
          <w:sz w:val="22"/>
          <w:szCs w:val="22"/>
        </w:rPr>
        <w:t>第八条</w:t>
      </w:r>
      <w:r>
        <w:rPr>
          <w:rFonts w:ascii="Times New Roman" w:hAnsi="Times New Roman" w:hint="eastAsia"/>
          <w:color w:val="333333"/>
          <w:sz w:val="22"/>
          <w:szCs w:val="22"/>
        </w:rPr>
        <w:t>城市市区的土地属于国家所有。</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农村和城市郊区的土地，除由法律规定属于国家所有的以外，属于农民集体所有</w:t>
      </w:r>
      <w:r>
        <w:rPr>
          <w:rFonts w:ascii="Times New Roman" w:hAnsi="Times New Roman" w:cs="Times New Roman"/>
          <w:color w:val="333333"/>
          <w:sz w:val="22"/>
          <w:szCs w:val="22"/>
        </w:rPr>
        <w:t>;</w:t>
      </w:r>
      <w:r>
        <w:rPr>
          <w:rFonts w:ascii="Times New Roman" w:hAnsi="Times New Roman" w:hint="eastAsia"/>
          <w:color w:val="333333"/>
          <w:sz w:val="22"/>
          <w:szCs w:val="22"/>
        </w:rPr>
        <w:t>宅基地和自留地、自留山，属于农民集体所有。</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第九条</w:t>
      </w:r>
      <w:r>
        <w:rPr>
          <w:rFonts w:ascii="Times New Roman" w:hAnsi="Times New Roman" w:hint="eastAsia"/>
          <w:color w:val="333333"/>
          <w:sz w:val="22"/>
          <w:szCs w:val="22"/>
        </w:rPr>
        <w:t>国有土地和农民集体所有的土地，可以依法确定给单位或者个人使用。使用土地的单位和个人，有保护、管理和合理利用土地的义务。</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第十条</w:t>
      </w:r>
      <w:r>
        <w:rPr>
          <w:rFonts w:ascii="Times New Roman" w:hAnsi="Times New Roman" w:hint="eastAsia"/>
          <w:color w:val="333333"/>
          <w:sz w:val="22"/>
          <w:szCs w:val="22"/>
        </w:rPr>
        <w:t>农民集体所有的土地依法属于村农民集体所有的，由村集体经济组织或者村民委员会经营、管理</w:t>
      </w:r>
      <w:r>
        <w:rPr>
          <w:rFonts w:ascii="Times New Roman" w:hAnsi="Times New Roman" w:cs="Times New Roman"/>
          <w:color w:val="333333"/>
          <w:sz w:val="22"/>
          <w:szCs w:val="22"/>
        </w:rPr>
        <w:t>;</w:t>
      </w:r>
      <w:r>
        <w:rPr>
          <w:rFonts w:ascii="Times New Roman" w:hAnsi="Times New Roman" w:hint="eastAsia"/>
          <w:color w:val="333333"/>
          <w:sz w:val="22"/>
          <w:szCs w:val="22"/>
        </w:rPr>
        <w:t>已经分别属于村内两个以上农村集体经济组织的农民集体所有的，由村内各该农村集体经济组织或者村民小组经营、管理</w:t>
      </w:r>
      <w:r>
        <w:rPr>
          <w:rFonts w:ascii="Times New Roman" w:hAnsi="Times New Roman" w:cs="Times New Roman"/>
          <w:color w:val="333333"/>
          <w:sz w:val="22"/>
          <w:szCs w:val="22"/>
        </w:rPr>
        <w:t>;</w:t>
      </w:r>
      <w:r>
        <w:rPr>
          <w:rFonts w:ascii="Times New Roman" w:hAnsi="Times New Roman" w:hint="eastAsia"/>
          <w:color w:val="333333"/>
          <w:sz w:val="22"/>
          <w:szCs w:val="22"/>
        </w:rPr>
        <w:t>已经属于乡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农民集体所有的，由乡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农村集体经济组织经营、管理。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第十一条</w:t>
      </w:r>
      <w:r>
        <w:rPr>
          <w:rFonts w:ascii="Times New Roman" w:hAnsi="Times New Roman" w:hint="eastAsia"/>
          <w:color w:val="333333"/>
          <w:sz w:val="22"/>
          <w:szCs w:val="22"/>
        </w:rPr>
        <w:t>农民集体所有的土地，由县级人民政府登记造册，核发证书，确认所有权。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农民集体所有的土地依法用于非农业建设的，由县级人民政府登记造册，核发证书，确认建设用地使用权。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单位和个人依法使用的国有土地，由县级以上人民政府登记造册，核发证书，确认使用权</w:t>
      </w:r>
      <w:r>
        <w:rPr>
          <w:rFonts w:ascii="Times New Roman" w:hAnsi="Times New Roman" w:cs="Times New Roman"/>
          <w:color w:val="333333"/>
          <w:sz w:val="22"/>
          <w:szCs w:val="22"/>
        </w:rPr>
        <w:t>;</w:t>
      </w:r>
      <w:r>
        <w:rPr>
          <w:rFonts w:ascii="Times New Roman" w:hAnsi="Times New Roman" w:hint="eastAsia"/>
          <w:color w:val="333333"/>
          <w:sz w:val="22"/>
          <w:szCs w:val="22"/>
        </w:rPr>
        <w:t>其中，中央国家机关使用的国有土地的具体登记发证机关，由国务院确定。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确认林地、草原的所有权或者使用权，确认水面、滩涂的养殖使用权，分别依照《中华人民共和国森林法》、《中华人民共和国草原法》和《中华人民共和国渔业法》的有关规定办理。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第十二条</w:t>
      </w:r>
      <w:r>
        <w:rPr>
          <w:rFonts w:ascii="Times New Roman" w:hAnsi="Times New Roman" w:hint="eastAsia"/>
          <w:color w:val="333333"/>
          <w:sz w:val="22"/>
          <w:szCs w:val="22"/>
        </w:rPr>
        <w:t>依法改变土地权属和用途的，应当办理土地变更登记手续。</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第十三条</w:t>
      </w:r>
      <w:r>
        <w:rPr>
          <w:rFonts w:ascii="Times New Roman" w:hAnsi="Times New Roman" w:hint="eastAsia"/>
          <w:color w:val="333333"/>
          <w:sz w:val="22"/>
          <w:szCs w:val="22"/>
        </w:rPr>
        <w:t>依法登记的土地的所有权和使用权受法律保护，任何单位和个人不得侵犯。</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第十四条</w:t>
      </w:r>
      <w:r>
        <w:rPr>
          <w:rFonts w:ascii="Times New Roman" w:hAnsi="Times New Roman" w:hint="eastAsia"/>
          <w:color w:val="333333"/>
          <w:sz w:val="22"/>
          <w:szCs w:val="22"/>
        </w:rPr>
        <w:t>农民集体所有的土地由本集体经济组织的成员承包经营，从事种植业、林业、畜牧业、渔业生产。土地承包经营期限为三十年。发包方和承包方应当订立承包合同，约定双方的权利和义务。承包经营土地的农民有保护和按照承包合同约定的用途合理利用土地的义务。农民的土地承包经营权受法律保护。</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在土地承包经营期限内，对个别承包经营者之间承包的土地进行适当调整的，必须经村民会议三分之二以上成员或者三分之二以上村民代表的同意，并报乡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人民政府和县级人民政府农业行政主管部门批准。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第十五条</w:t>
      </w:r>
      <w:r>
        <w:rPr>
          <w:rFonts w:ascii="Times New Roman" w:hAnsi="Times New Roman" w:hint="eastAsia"/>
          <w:color w:val="333333"/>
          <w:sz w:val="22"/>
          <w:szCs w:val="22"/>
        </w:rPr>
        <w:t>国有土地可以由单位或者个人承包经营，从事种植业、林业、畜牧业、渔业生产。农民集体所有的土地，可以由本集体经济组织以外的单位或者个人承包经营，从事种植业、林业、畜牧业、渔业生产。发包方和承包方应当订立承包合同，约定双方的权利和义务。土地承包经营的期限由承包合同约定。承包经营土地的单位和个人，有保护和按照承包合同约定的用途合理利用土地的义务。</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农民集体所有的土地由本集体经济组织以外的单位或者个人承包经营的，必须经村民会议三分之二以上成员或者三分之二以上村民代表的同意，并报乡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人民政府批准。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第十六条</w:t>
      </w:r>
      <w:r>
        <w:rPr>
          <w:rFonts w:ascii="Times New Roman" w:hAnsi="Times New Roman" w:hint="eastAsia"/>
          <w:color w:val="333333"/>
          <w:sz w:val="22"/>
          <w:szCs w:val="22"/>
        </w:rPr>
        <w:t>土地所有权和使用权争议，由当事人协商解决</w:t>
      </w:r>
      <w:r>
        <w:rPr>
          <w:rFonts w:ascii="Times New Roman" w:hAnsi="Times New Roman" w:cs="Times New Roman"/>
          <w:color w:val="333333"/>
          <w:sz w:val="22"/>
          <w:szCs w:val="22"/>
        </w:rPr>
        <w:t>;</w:t>
      </w:r>
      <w:r>
        <w:rPr>
          <w:rFonts w:ascii="Times New Roman" w:hAnsi="Times New Roman" w:hint="eastAsia"/>
          <w:color w:val="333333"/>
          <w:sz w:val="22"/>
          <w:szCs w:val="22"/>
        </w:rPr>
        <w:t>协商不成的，由人民政府处理。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单位之间的争议，由县级以上人民政府处理</w:t>
      </w:r>
      <w:r>
        <w:rPr>
          <w:rFonts w:ascii="Times New Roman" w:hAnsi="Times New Roman" w:cs="Times New Roman"/>
          <w:color w:val="333333"/>
          <w:sz w:val="22"/>
          <w:szCs w:val="22"/>
        </w:rPr>
        <w:t>;</w:t>
      </w:r>
      <w:r>
        <w:rPr>
          <w:rFonts w:ascii="Times New Roman" w:hAnsi="Times New Roman" w:hint="eastAsia"/>
          <w:color w:val="333333"/>
          <w:sz w:val="22"/>
          <w:szCs w:val="22"/>
        </w:rPr>
        <w:t>个人之间、个人与单位之间的争议，由乡级人民政府或者县级以上人民政府处理。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当事人对有关人民政府的处理决定不服的，可以自接到处理决定通知之日起三十日内，向人民法院起诉。</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在土地所有权和使用权争议解决前，任何一方不得改变土地利用现状。</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第三章土地利用总体规划</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b/>
          <w:bCs/>
          <w:color w:val="333333"/>
        </w:rPr>
        <w:t xml:space="preserve">　　</w:t>
      </w:r>
      <w:r>
        <w:rPr>
          <w:rFonts w:ascii="Times New Roman" w:hAnsi="Times New Roman" w:hint="eastAsia"/>
          <w:b/>
          <w:bCs/>
          <w:color w:val="333333"/>
          <w:sz w:val="22"/>
          <w:szCs w:val="22"/>
        </w:rPr>
        <w:t>第十七条</w:t>
      </w:r>
      <w:r>
        <w:rPr>
          <w:rFonts w:ascii="Times New Roman" w:hAnsi="Times New Roman" w:hint="eastAsia"/>
          <w:color w:val="333333"/>
          <w:sz w:val="22"/>
          <w:szCs w:val="22"/>
        </w:rPr>
        <w:t>各级人民政府应当依据国民经济和社会发展规划、国土整治和资源环境保护的要求、土地供给能力以及各项建设对土地的需求，组织编制土地利用总体规划。</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土地利用总体规划的规划期限由国务院规定。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第十八条</w:t>
      </w:r>
      <w:r>
        <w:rPr>
          <w:rFonts w:ascii="Times New Roman" w:hAnsi="Times New Roman" w:hint="eastAsia"/>
          <w:color w:val="333333"/>
          <w:sz w:val="22"/>
          <w:szCs w:val="22"/>
        </w:rPr>
        <w:t>下级土地利用总体规划应当依据上一级土地利用总体规划编制。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地方各级人民政府编制的土地利用总体规划中的建设用地总量不得超过上一级土地利用总体规划确定的控制指标，耕地保有量不得低于上一级土地利用总体规划确定的控制指标。</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省、自治区、直辖市人民政府编制的土地利用总体规划，应当确保本行政区域内耕地总量不减少。</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第十九条</w:t>
      </w:r>
      <w:r>
        <w:rPr>
          <w:rFonts w:ascii="Times New Roman" w:hAnsi="Times New Roman" w:hint="eastAsia"/>
          <w:color w:val="333333"/>
          <w:sz w:val="22"/>
          <w:szCs w:val="22"/>
        </w:rPr>
        <w:t>土地利用总体规划按照下列原则编制：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严格保护基本农田，控制非农业建设占用农用地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提高土地利用率</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统筹安排各类、各区域用地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保护和改善生态环境，保障土地的可持续利用</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占用耕地与开发复垦耕地相平衡。</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第二十条</w:t>
      </w:r>
      <w:r>
        <w:rPr>
          <w:rFonts w:ascii="Times New Roman" w:hAnsi="Times New Roman" w:hint="eastAsia"/>
          <w:color w:val="333333"/>
          <w:sz w:val="22"/>
          <w:szCs w:val="22"/>
        </w:rPr>
        <w:t>县级土地利用总体规划应当划分土地利用区，明确土地用途。</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土地利用总体规划应当划分土地利用区，根据土地使用条件，确定每一块土地的用途，并予以公告。</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第二十一条</w:t>
      </w:r>
      <w:r>
        <w:rPr>
          <w:rFonts w:ascii="Times New Roman" w:hAnsi="Times New Roman" w:hint="eastAsia"/>
          <w:color w:val="333333"/>
          <w:sz w:val="22"/>
          <w:szCs w:val="22"/>
        </w:rPr>
        <w:t>土地利用总体规划实行分级审批。</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省、自治区、直辖市的土地利用总体规划，报国务院批准。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省、自治区人民政府所在地的市、人口在一百万以上的城市以及国务院指定的城市的土地利用总体规划，经省、自治区人民政府审查同意后，报国务院批准。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本条第二款、第三款规定以外的土地利用总体规划，逐级上报省、自治区、直辖市人民政府批准</w:t>
      </w:r>
      <w:r>
        <w:rPr>
          <w:rFonts w:ascii="Times New Roman" w:hAnsi="Times New Roman" w:cs="Times New Roman"/>
          <w:color w:val="333333"/>
          <w:sz w:val="22"/>
          <w:szCs w:val="22"/>
        </w:rPr>
        <w:t>;</w:t>
      </w:r>
      <w:r>
        <w:rPr>
          <w:rFonts w:ascii="Times New Roman" w:hAnsi="Times New Roman" w:hint="eastAsia"/>
          <w:color w:val="333333"/>
          <w:sz w:val="22"/>
          <w:szCs w:val="22"/>
        </w:rPr>
        <w:t>其中，乡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土地利用总体规划可以由省级人民政府授权的设区的市、自治州人民政府批准。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土地利用总体规划一经批准，必须严格执行。</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第二十二条</w:t>
      </w:r>
      <w:r>
        <w:rPr>
          <w:rFonts w:ascii="Times New Roman" w:hAnsi="Times New Roman" w:hint="eastAsia"/>
          <w:color w:val="333333"/>
          <w:sz w:val="22"/>
          <w:szCs w:val="22"/>
        </w:rPr>
        <w:t>城市建设用地规模应当符合国家规定的标准，充分利用现有建设用地，不占或者尽量少占农用地。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城市总体规划、村庄和集镇规划，应当与土地利用总体规划相衔接，城市总体规划、村庄和集镇规划中建设用地规模不得超过土地利用总体规划确定的城市和村庄、集镇建设用地规模。</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在城市规划区内、村庄和集镇规划区内，城市和村庄、集镇建设用地应当符合城市规划、村庄和集镇规划。</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第二十三条</w:t>
      </w:r>
      <w:r>
        <w:rPr>
          <w:rFonts w:ascii="Times New Roman" w:hAnsi="Times New Roman" w:hint="eastAsia"/>
          <w:color w:val="333333"/>
          <w:sz w:val="22"/>
          <w:szCs w:val="22"/>
        </w:rPr>
        <w:t>江河、湖泊综合治理和开发利用规划，应当与土地利用总体规划相衔接。在江河、湖泊、水库的管理和保护范围以及蓄洪滞洪区内，土地利用应当符合江河、湖泊综合治理和开发利用规划，符合河道、湖泊行洪、蓄洪和输水的要求。</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第二十四条</w:t>
      </w:r>
      <w:r>
        <w:rPr>
          <w:rFonts w:ascii="Times New Roman" w:hAnsi="Times New Roman" w:hint="eastAsia"/>
          <w:color w:val="333333"/>
          <w:sz w:val="22"/>
          <w:szCs w:val="22"/>
        </w:rPr>
        <w:t>各级人民政府应当加强土地利用计划管理，实行建设用地总量控制。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土地利用年度计划，根据国民经济和社会发展计划、国家产业政策、土地利用总体规划以及建设用地和土地利用的实际状况编制。土地利用年度计划的编制审批程序与土地利用总体规划的编制审批程序相同，一经审批下达，必须严格执行。</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第二十五条</w:t>
      </w:r>
      <w:r>
        <w:rPr>
          <w:rFonts w:ascii="Times New Roman" w:hAnsi="Times New Roman" w:hint="eastAsia"/>
          <w:color w:val="333333"/>
          <w:sz w:val="22"/>
          <w:szCs w:val="22"/>
        </w:rPr>
        <w:t>省、自治区、直辖市人民政府应当将土地利用年度计划的执行情况列为国民经济和社会发展计划执行情况的内容，向同级人民代表大会报告。</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第二十六条</w:t>
      </w:r>
      <w:r>
        <w:rPr>
          <w:rFonts w:ascii="Times New Roman" w:hAnsi="Times New Roman" w:hint="eastAsia"/>
          <w:color w:val="333333"/>
          <w:sz w:val="22"/>
          <w:szCs w:val="22"/>
        </w:rPr>
        <w:t>经批准的土地利用总体规划的修改，须经原批准机关批准</w:t>
      </w:r>
      <w:r>
        <w:rPr>
          <w:rFonts w:ascii="Times New Roman" w:hAnsi="Times New Roman" w:cs="Times New Roman"/>
          <w:color w:val="333333"/>
          <w:sz w:val="22"/>
          <w:szCs w:val="22"/>
        </w:rPr>
        <w:t>;</w:t>
      </w:r>
      <w:r>
        <w:rPr>
          <w:rFonts w:ascii="Times New Roman" w:hAnsi="Times New Roman" w:hint="eastAsia"/>
          <w:color w:val="333333"/>
          <w:sz w:val="22"/>
          <w:szCs w:val="22"/>
        </w:rPr>
        <w:t>未经批准，不得改变土地利用总体规划确定的土地用途。</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经国务院批准的大型能源、交通、水利等基础设施建设用地，需要改变土地利用总体规划的，根据国务院的批准文件修改土地利用总体规划。</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经省、自治区、直辖市人民政府批准的能源、交通、水利等基础设施建设用地，需要改变土地利用总体规划的，属于省级人民政府土地利用总体规划批准权限内的，根据省级人民政府的批准文件修改土地利用总体规划。</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第二十七条</w:t>
      </w:r>
      <w:r>
        <w:rPr>
          <w:rFonts w:ascii="Times New Roman" w:hAnsi="Times New Roman" w:hint="eastAsia"/>
          <w:color w:val="333333"/>
          <w:sz w:val="22"/>
          <w:szCs w:val="22"/>
        </w:rPr>
        <w:t>国家建立土地调查制度。</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县级以上人民政府土地行政主管部门会同同级有关部门进行土地调查。土地所有者或者使用者应当配合调查，并提供有关资料。</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第二十八条</w:t>
      </w:r>
      <w:r>
        <w:rPr>
          <w:rFonts w:ascii="Times New Roman" w:hAnsi="Times New Roman" w:hint="eastAsia"/>
          <w:color w:val="333333"/>
          <w:sz w:val="22"/>
          <w:szCs w:val="22"/>
        </w:rPr>
        <w:t>县级以上人民政府土地行政主管部门会同同级有关部门根据土地调查成果、规划土地用途和国家制定的统一标准，评定土地等级。</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第二十九条</w:t>
      </w:r>
      <w:r>
        <w:rPr>
          <w:rFonts w:ascii="Times New Roman" w:hAnsi="Times New Roman" w:hint="eastAsia"/>
          <w:color w:val="333333"/>
          <w:sz w:val="22"/>
          <w:szCs w:val="22"/>
        </w:rPr>
        <w:t>国家建立土地统计制度。</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县级以上人民政府土地行政主管部门和同级统计部门共同制定统计调查方案，依法进行土地统计，定期发布土地统计资料。土地所有者或者使用者应当提供有关资料，不得虚报、瞒报、拒报、迟报。</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土地行政主管部门和统计部门共同发布的土地面积统计资料是各级人民政府编制土地利用总体规划的依据。</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第三十条</w:t>
      </w:r>
      <w:r>
        <w:rPr>
          <w:rFonts w:ascii="Times New Roman" w:hAnsi="Times New Roman" w:hint="eastAsia"/>
          <w:color w:val="333333"/>
          <w:sz w:val="22"/>
          <w:szCs w:val="22"/>
        </w:rPr>
        <w:t>国家建立全国土地管理信息系统，对土地利用状况进行动态监测。</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第四章耕地保护</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第三十一条</w:t>
      </w:r>
      <w:r>
        <w:rPr>
          <w:rFonts w:ascii="Times New Roman" w:hAnsi="Times New Roman" w:hint="eastAsia"/>
          <w:color w:val="333333"/>
          <w:sz w:val="22"/>
          <w:szCs w:val="22"/>
        </w:rPr>
        <w:t>国家保护耕地，严格控制耕地转为非耕地。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　国家实行占用耕地补偿制度。非农业建设经批准占用耕地的，按照</w:t>
      </w:r>
      <w:r>
        <w:rPr>
          <w:rFonts w:ascii="Times New Roman" w:hAnsi="Times New Roman" w:cs="Times New Roman"/>
          <w:color w:val="333333"/>
          <w:sz w:val="22"/>
          <w:szCs w:val="22"/>
        </w:rPr>
        <w:t>“</w:t>
      </w:r>
      <w:r>
        <w:rPr>
          <w:rFonts w:ascii="Times New Roman" w:hAnsi="Times New Roman" w:hint="eastAsia"/>
          <w:color w:val="333333"/>
          <w:sz w:val="22"/>
          <w:szCs w:val="22"/>
        </w:rPr>
        <w:t>占多少，垦多少</w:t>
      </w:r>
      <w:r>
        <w:rPr>
          <w:rFonts w:ascii="Times New Roman" w:hAnsi="Times New Roman" w:cs="Times New Roman"/>
          <w:color w:val="333333"/>
          <w:sz w:val="22"/>
          <w:szCs w:val="22"/>
        </w:rPr>
        <w:t>”</w:t>
      </w:r>
      <w:r>
        <w:rPr>
          <w:rFonts w:ascii="Times New Roman" w:hAnsi="Times New Roman" w:hint="eastAsia"/>
          <w:color w:val="333333"/>
          <w:sz w:val="22"/>
          <w:szCs w:val="22"/>
        </w:rPr>
        <w:t>的原则，由占用耕地的单位负责开垦与所占用耕地的数量和质量相当的耕地</w:t>
      </w:r>
      <w:r>
        <w:rPr>
          <w:rFonts w:ascii="Times New Roman" w:hAnsi="Times New Roman" w:cs="Times New Roman"/>
          <w:color w:val="333333"/>
          <w:sz w:val="22"/>
          <w:szCs w:val="22"/>
        </w:rPr>
        <w:t>;</w:t>
      </w:r>
      <w:r>
        <w:rPr>
          <w:rFonts w:ascii="Times New Roman" w:hAnsi="Times New Roman" w:hint="eastAsia"/>
          <w:color w:val="333333"/>
          <w:sz w:val="22"/>
          <w:szCs w:val="22"/>
        </w:rPr>
        <w:t>没有条件开垦或者开垦的耕地不符合要求的，应当按照省、自治区、直辖市的规定缴纳耕地开垦费，专款用于开垦新的耕地。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省、自治区、直辖市人民政府应当制定开垦耕地计划，监督占用耕地的单位按照计划开垦耕地或者按照计划组织开垦耕地，并进行验收。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第三十二条</w:t>
      </w:r>
      <w:r>
        <w:rPr>
          <w:rFonts w:ascii="Times New Roman" w:hAnsi="Times New Roman" w:hint="eastAsia"/>
          <w:color w:val="333333"/>
          <w:sz w:val="22"/>
          <w:szCs w:val="22"/>
        </w:rPr>
        <w:t>县级以上地方人民政府可以要求占用耕地的单位将所占用耕地耕作层的土壤用于新开垦耕地、劣质地或者其他耕地的土壤改良。</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第三十三条</w:t>
      </w:r>
      <w:r>
        <w:rPr>
          <w:rFonts w:ascii="Times New Roman" w:hAnsi="Times New Roman" w:hint="eastAsia"/>
          <w:color w:val="333333"/>
          <w:sz w:val="22"/>
          <w:szCs w:val="22"/>
        </w:rPr>
        <w:t>省、自治区、直辖市人民政府应当严格执行土地利用总体规划和土地利用年度计划，采取措施，确保本行政区域内耕地总量不减少</w:t>
      </w:r>
      <w:r>
        <w:rPr>
          <w:rFonts w:ascii="Times New Roman" w:hAnsi="Times New Roman" w:cs="Times New Roman"/>
          <w:color w:val="333333"/>
          <w:sz w:val="22"/>
          <w:szCs w:val="22"/>
        </w:rPr>
        <w:t>;</w:t>
      </w:r>
      <w:r>
        <w:rPr>
          <w:rFonts w:ascii="Times New Roman" w:hAnsi="Times New Roman" w:hint="eastAsia"/>
          <w:color w:val="333333"/>
          <w:sz w:val="22"/>
          <w:szCs w:val="22"/>
        </w:rPr>
        <w:t>耕地总量减少的，由国务院责令在规定期限内组织开垦与所减少耕地的数量与质量相当的耕地，并由国务院土地行政主管部门会同农业行政主管部门验收。个别省、直辖市确因土地后备资源匮乏，新增建设用地后，新开垦耕地的数量不足以补偿所占用耕地的数量的，必须报经国务院批准减免本行政区域内开垦耕地的数量，进行易地开垦。</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第三十四条</w:t>
      </w:r>
      <w:r>
        <w:rPr>
          <w:rFonts w:ascii="Times New Roman" w:hAnsi="Times New Roman" w:hint="eastAsia"/>
          <w:color w:val="333333"/>
          <w:sz w:val="22"/>
          <w:szCs w:val="22"/>
        </w:rPr>
        <w:t>国家实行基本农田保护制度。下列耕地应当根据土地利用总体规划划入基本农田保护区，严格管理：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经国务院有关主管部门或者县级以上地方人民政府批准确定的粮、棉、油生产基地内的耕地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有良好的水利与水土保持设施的耕地，正在实施改造计划以及可以改造的中、低产田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蔬菜生产基地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农业科研、教学试验田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国务院规定应当划入基本农田保护区的其他耕地。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各省、自治区、直辖市划定的基本农田应当占本行政区域内耕地的百分之八十以上。</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基本农田保护区以乡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为单位进行划区定界，由县级人民政府土地行政主管部门会同同级农业行政主管部门组织实施。</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第三十五条</w:t>
      </w:r>
      <w:r>
        <w:rPr>
          <w:rFonts w:ascii="Times New Roman" w:hAnsi="Times New Roman" w:hint="eastAsia"/>
          <w:color w:val="333333"/>
          <w:sz w:val="22"/>
          <w:szCs w:val="22"/>
        </w:rPr>
        <w:t>各级人民政府应当采取措施，维护排灌工程设施，改良土壤，提高地力，防止土地荒漠化、盐渍化、水土流失和污染土地。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第三十六条</w:t>
      </w:r>
      <w:r>
        <w:rPr>
          <w:rFonts w:ascii="Times New Roman" w:hAnsi="Times New Roman" w:hint="eastAsia"/>
          <w:color w:val="333333"/>
          <w:sz w:val="22"/>
          <w:szCs w:val="22"/>
        </w:rPr>
        <w:t>非农业建设必须节约使用土地，可以利用荒地的，不得占用耕地</w:t>
      </w:r>
      <w:r>
        <w:rPr>
          <w:rFonts w:ascii="Times New Roman" w:hAnsi="Times New Roman" w:cs="Times New Roman"/>
          <w:color w:val="333333"/>
          <w:sz w:val="22"/>
          <w:szCs w:val="22"/>
        </w:rPr>
        <w:t>;</w:t>
      </w:r>
      <w:r>
        <w:rPr>
          <w:rFonts w:ascii="Times New Roman" w:hAnsi="Times New Roman" w:hint="eastAsia"/>
          <w:color w:val="333333"/>
          <w:sz w:val="22"/>
          <w:szCs w:val="22"/>
        </w:rPr>
        <w:t>可以利用劣地的，不得占用好地。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禁止占用耕地建窑、建坟或者擅自在耕地上建房、挖砂、采石、采矿、取土等。</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禁止占用基本农田发展林果业和挖塘养鱼。</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第三十七条</w:t>
      </w:r>
      <w:r>
        <w:rPr>
          <w:rFonts w:ascii="Times New Roman" w:hAnsi="Times New Roman" w:hint="eastAsia"/>
          <w:color w:val="333333"/>
          <w:sz w:val="22"/>
          <w:szCs w:val="22"/>
        </w:rPr>
        <w:t>禁止任何单位和个人闲置、荒芜耕地。已经办理审批手续的非农业建设占用耕地，一年内不用而又可以耕种并收获的，应当由原耕种该幅耕地的集体或者个人恢复耕种，也可以由用地单位组织耕种</w:t>
      </w:r>
      <w:r>
        <w:rPr>
          <w:rFonts w:ascii="Times New Roman" w:hAnsi="Times New Roman" w:cs="Times New Roman"/>
          <w:color w:val="333333"/>
          <w:sz w:val="22"/>
          <w:szCs w:val="22"/>
        </w:rPr>
        <w:t>;</w:t>
      </w:r>
      <w:r>
        <w:rPr>
          <w:rFonts w:ascii="Times New Roman" w:hAnsi="Times New Roman" w:hint="eastAsia"/>
          <w:color w:val="333333"/>
          <w:sz w:val="22"/>
          <w:szCs w:val="22"/>
        </w:rPr>
        <w:t>一年以上未动工建设的，应当按照省、自治区、直辖市的规定缴纳闲置费</w:t>
      </w:r>
      <w:r>
        <w:rPr>
          <w:rFonts w:ascii="Times New Roman" w:hAnsi="Times New Roman" w:cs="Times New Roman"/>
          <w:color w:val="333333"/>
          <w:sz w:val="22"/>
          <w:szCs w:val="22"/>
        </w:rPr>
        <w:t>;</w:t>
      </w:r>
      <w:r>
        <w:rPr>
          <w:rFonts w:ascii="Times New Roman" w:hAnsi="Times New Roman" w:hint="eastAsia"/>
          <w:color w:val="333333"/>
          <w:sz w:val="22"/>
          <w:szCs w:val="22"/>
        </w:rPr>
        <w:t>连续二年未使用的，经原批准机关批准，由县级以上人民政府无偿收回用地单位的土地使用权</w:t>
      </w:r>
      <w:r>
        <w:rPr>
          <w:rFonts w:ascii="Times New Roman" w:hAnsi="Times New Roman" w:cs="Times New Roman"/>
          <w:color w:val="333333"/>
          <w:sz w:val="22"/>
          <w:szCs w:val="22"/>
        </w:rPr>
        <w:t>;</w:t>
      </w:r>
      <w:r>
        <w:rPr>
          <w:rFonts w:ascii="Times New Roman" w:hAnsi="Times New Roman" w:hint="eastAsia"/>
          <w:color w:val="333333"/>
          <w:sz w:val="22"/>
          <w:szCs w:val="22"/>
        </w:rPr>
        <w:t>该幅土地原为农民集体所有的，应当交由原农村集体经济组织恢复耕种。</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在城市规划区范围内，以出让方式取得土地使用权进行房地产开发的闲置土地，依照《中华人民共和国城市房地产管理法》的有关规定办理。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承包经营耕地的单位或者个人连续二年弃耕抛荒的，原发包单位应当终止承包合同，收回发包的耕地。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第三十八条</w:t>
      </w:r>
      <w:r>
        <w:rPr>
          <w:rFonts w:ascii="Times New Roman" w:hAnsi="Times New Roman" w:hint="eastAsia"/>
          <w:color w:val="333333"/>
          <w:sz w:val="22"/>
          <w:szCs w:val="22"/>
        </w:rPr>
        <w:t>国家鼓励单位和个人按照土地利用总体规划，在保护和改善生态环境、防止水土流失和土地荒漠化的前提下，开发未利用的土地</w:t>
      </w:r>
      <w:r>
        <w:rPr>
          <w:rFonts w:ascii="Times New Roman" w:hAnsi="Times New Roman" w:cs="Times New Roman"/>
          <w:color w:val="333333"/>
          <w:sz w:val="22"/>
          <w:szCs w:val="22"/>
        </w:rPr>
        <w:t>;</w:t>
      </w:r>
      <w:r>
        <w:rPr>
          <w:rFonts w:ascii="Times New Roman" w:hAnsi="Times New Roman" w:hint="eastAsia"/>
          <w:color w:val="333333"/>
          <w:sz w:val="22"/>
          <w:szCs w:val="22"/>
        </w:rPr>
        <w:t>适宜开发为农用地的，应当优先开发成农用地。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国家依法保护开发者的合法权益。</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第三十九条</w:t>
      </w:r>
      <w:r>
        <w:rPr>
          <w:rFonts w:ascii="Times New Roman" w:hAnsi="Times New Roman" w:hint="eastAsia"/>
          <w:color w:val="333333"/>
          <w:sz w:val="22"/>
          <w:szCs w:val="22"/>
        </w:rPr>
        <w:t>开垦未利用的土地，必须经过科学论证和评估，在土地利用总体规划划定的可开垦的区域内，经依法批准后进行。禁止毁坏森林、草原开垦耕地，禁止围湖造田和侵占江河滩地。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根据土地利用总体规划，对破坏生态环境开垦、围垦的土地，有计划有步骤地退耕还林、还牧、还湖。</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第四十条</w:t>
      </w:r>
      <w:r>
        <w:rPr>
          <w:rFonts w:ascii="Times New Roman" w:hAnsi="Times New Roman" w:hint="eastAsia"/>
          <w:color w:val="333333"/>
          <w:sz w:val="22"/>
          <w:szCs w:val="22"/>
        </w:rPr>
        <w:t>开发未确定使用权的国有荒山、荒地、荒滩从事种植业、林业、畜牧业、渔业生产的，经县级以上人民政府依法批准，可以确定给开发单位或者个人长期使用。</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第四十一条</w:t>
      </w:r>
      <w:r>
        <w:rPr>
          <w:rFonts w:ascii="Times New Roman" w:hAnsi="Times New Roman" w:hint="eastAsia"/>
          <w:color w:val="333333"/>
          <w:sz w:val="22"/>
          <w:szCs w:val="22"/>
        </w:rPr>
        <w:t>国家鼓励土地整理。县、乡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人民政府应当组织农村集体经济组织，按照土地利用总体规划，对田、水、路、林、村综合整治，提高耕地质量，增加有效耕地面积，改善农业生产条件和生态环境。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地方各级人民政府应当采取措施，改造中、低产田，整治闲散地和废弃地。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第四十二条</w:t>
      </w:r>
      <w:r>
        <w:rPr>
          <w:rFonts w:ascii="Times New Roman" w:hAnsi="Times New Roman" w:hint="eastAsia"/>
          <w:color w:val="333333"/>
          <w:sz w:val="22"/>
          <w:szCs w:val="22"/>
        </w:rPr>
        <w:t>因挖损、塌陷、压占等造成土地破坏，用地单位和个人应当按照国家有关规定负责复垦</w:t>
      </w:r>
      <w:r>
        <w:rPr>
          <w:rFonts w:ascii="Times New Roman" w:hAnsi="Times New Roman" w:cs="Times New Roman"/>
          <w:color w:val="333333"/>
          <w:sz w:val="22"/>
          <w:szCs w:val="22"/>
        </w:rPr>
        <w:t>;</w:t>
      </w:r>
      <w:r>
        <w:rPr>
          <w:rFonts w:ascii="Times New Roman" w:hAnsi="Times New Roman" w:hint="eastAsia"/>
          <w:color w:val="333333"/>
          <w:sz w:val="22"/>
          <w:szCs w:val="22"/>
        </w:rPr>
        <w:t>没有条件复垦或者复垦不符合要求的，应当缴纳土地复垦费，专项用于土地复垦。复垦的土地应当优先用于农业。</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第五章建设用地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b/>
          <w:bCs/>
          <w:color w:val="333333"/>
          <w:sz w:val="22"/>
          <w:szCs w:val="22"/>
        </w:rPr>
        <w:t>第四十三条</w:t>
      </w:r>
      <w:r>
        <w:rPr>
          <w:rFonts w:ascii="Times New Roman" w:hAnsi="Times New Roman" w:hint="eastAsia"/>
          <w:color w:val="333333"/>
          <w:sz w:val="22"/>
          <w:szCs w:val="22"/>
        </w:rPr>
        <w:t>任何单位和个人进行建设，需要使用土地的，必须依法申请使用国有土地</w:t>
      </w:r>
      <w:r>
        <w:rPr>
          <w:rFonts w:ascii="Times New Roman" w:hAnsi="Times New Roman" w:cs="Times New Roman"/>
          <w:color w:val="333333"/>
          <w:sz w:val="22"/>
          <w:szCs w:val="22"/>
        </w:rPr>
        <w:t>;</w:t>
      </w:r>
      <w:r>
        <w:rPr>
          <w:rFonts w:ascii="Times New Roman" w:hAnsi="Times New Roman" w:hint="eastAsia"/>
          <w:color w:val="333333"/>
          <w:sz w:val="22"/>
          <w:szCs w:val="22"/>
        </w:rPr>
        <w:t>但是，兴办乡镇企业和村民建设住宅经依法批准使用本集体经济组织农民集体所有的土地的，或者乡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村公共设施和公益事业建设经依法批准使用农民集体所有的土地的除外。</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前款所称依法申请使用的国有土地包括国家所有的土地和国家征收的原属于农民集体所有的土地。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第四十四条</w:t>
      </w:r>
      <w:r>
        <w:rPr>
          <w:rFonts w:ascii="Times New Roman" w:hAnsi="Times New Roman" w:hint="eastAsia"/>
          <w:color w:val="333333"/>
          <w:sz w:val="22"/>
          <w:szCs w:val="22"/>
        </w:rPr>
        <w:t>建设占用土地，涉及农用地转为建设用地的，应当办理农用地转用审批手续。</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省、自治区、直辖市人民政府批准的道路、管线工程和大型基础设施建设项目、国务院批准的建设项目占用土地，涉及农用地转为建设用地的，由国务院批准。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在土地利用总体规划确定的城市和村庄、集镇建设用地规模范围内，为实施该规划而将农用地转为建设用地的，按土地利用年度计划分批次由原批准土地利用总体规划的机关批准。在已批准的农用地转用范围内，具体建设项目用地可以由市、县人民政府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本条第二款、第三款规定以外的建设项目占用土地，涉及农用地转为建设用地的，由省、自治区、直辖市人民政府批准。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第四十五条</w:t>
      </w:r>
      <w:r>
        <w:rPr>
          <w:rFonts w:ascii="Times New Roman" w:hAnsi="Times New Roman" w:hint="eastAsia"/>
          <w:color w:val="333333"/>
          <w:sz w:val="22"/>
          <w:szCs w:val="22"/>
        </w:rPr>
        <w:t>征收下列土地的，由国务院批准：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基本农田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基本农田以外的耕地超过三十五公顷的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其他土地超过七十公顷的。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征收前款规定以外的土地的，由省、自治区、直辖市人民政府批准，并报国务院备案。</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征收农用地的，应当依照本法第四十四条的规定先行办理农用地转用审批。其中，经国务院批准农用地转用的，同时办理征地审批手续，不再另行办理征地审批</w:t>
      </w:r>
      <w:r>
        <w:rPr>
          <w:rFonts w:ascii="Times New Roman" w:hAnsi="Times New Roman" w:cs="Times New Roman"/>
          <w:color w:val="333333"/>
          <w:sz w:val="22"/>
          <w:szCs w:val="22"/>
        </w:rPr>
        <w:t>;</w:t>
      </w:r>
      <w:r>
        <w:rPr>
          <w:rFonts w:ascii="Times New Roman" w:hAnsi="Times New Roman" w:hint="eastAsia"/>
          <w:color w:val="333333"/>
          <w:sz w:val="22"/>
          <w:szCs w:val="22"/>
        </w:rPr>
        <w:t>经省、自治区、直辖市人民政府在征地批准权限内批准农用地转用的，同时办理征地审批手续，不再另行办理征地审批，超过征地批准权限的，应当依照本条第一款的规定另行办理征地审批。</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第四十六条</w:t>
      </w:r>
      <w:r>
        <w:rPr>
          <w:rFonts w:ascii="Times New Roman" w:hAnsi="Times New Roman" w:hint="eastAsia"/>
          <w:color w:val="333333"/>
          <w:sz w:val="22"/>
          <w:szCs w:val="22"/>
        </w:rPr>
        <w:t>国家征收土地的，依照法定程序批准后，由县级以上地方人民政府予以公告并组织实施。</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被征收土地的所有权人、使用权人应当在公告规定期限内，持土地权属证书到当地人民政府土地行政主管部门办理征地补偿登记。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第四十七条</w:t>
      </w:r>
      <w:r>
        <w:rPr>
          <w:rFonts w:ascii="Times New Roman" w:hAnsi="Times New Roman" w:hint="eastAsia"/>
          <w:color w:val="333333"/>
          <w:sz w:val="22"/>
          <w:szCs w:val="22"/>
        </w:rPr>
        <w:t>征收土地的，按照被征收土地的原用途给予补偿。</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征收耕地的补偿费用包括土地补偿费、安置补助费以及地上附着物和青苗的补偿费。征收耕地的土地补偿费，为该耕地被征收前三年平均年产值的六至十倍。征收耕地的安置补助费，按照需要安置的农业人口数计算。需要安置的农业人口数，按照被征收的耕地数量除以征地前被征收单位平均每人占有耕地的数量计算。每一个需要安置的农业人口的安置补助费标准，为该耕地被征收前三年平均年产值的四至六倍。但是，每公顷被征收耕地的安置补助费，最高不得超过被征收前三年平均年产值的十五倍。</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征收其他土地的土地补偿费和安置补助费标准，由省、自治区、直辖市参照征收耕地的土地补偿费和安置补助费的标准规定。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被征收土地上的附着物和青苗的补偿标准，由省、自治区、直辖市规定。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征收城市郊区的菜地，用地单位应当按照国家有关规定缴纳新菜地开发建设基金。</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依照本条第二款的规定支付土地补偿费和安置补助费，尚不能使需要安置的农民保持原有生活水平的，经省、自治区、直辖市人民政府批准，可以增加安置补助费。但是，土地补偿费和安置补助费的总和不得超过土地被征收前三年平均年产值的三十倍。</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国务院根据社会、经济发展水平，在特殊情况下，可以提高征收耕地的土地补偿费和安置补助费的标准。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第四十八条</w:t>
      </w:r>
      <w:r>
        <w:rPr>
          <w:rFonts w:ascii="Times New Roman" w:hAnsi="Times New Roman" w:hint="eastAsia"/>
          <w:color w:val="333333"/>
          <w:sz w:val="22"/>
          <w:szCs w:val="22"/>
        </w:rPr>
        <w:t>征地补偿安置方案确定后，有关地方人民政府应当公告，并听取被征地的农村集体经济组织和农民的意见。</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第四十九条</w:t>
      </w:r>
      <w:r>
        <w:rPr>
          <w:rFonts w:ascii="Times New Roman" w:hAnsi="Times New Roman" w:hint="eastAsia"/>
          <w:color w:val="333333"/>
          <w:sz w:val="22"/>
          <w:szCs w:val="22"/>
        </w:rPr>
        <w:t>被征地的农村集体经济组织应当将征收土地的补偿费用的收支状况向本集体经济组织的成员公布，接受监督。</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禁止侵占、挪用被征收土地单位的征地补偿费用和其他有关费用。</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第五十条</w:t>
      </w:r>
      <w:r>
        <w:rPr>
          <w:rFonts w:ascii="Times New Roman" w:hAnsi="Times New Roman" w:hint="eastAsia"/>
          <w:color w:val="333333"/>
          <w:sz w:val="22"/>
          <w:szCs w:val="22"/>
        </w:rPr>
        <w:t>地方各级人民政府应当支持被征地的农村集体经济组织和农民从事开发经营，兴办企业。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第五十一条</w:t>
      </w:r>
      <w:r>
        <w:rPr>
          <w:rFonts w:ascii="Times New Roman" w:hAnsi="Times New Roman" w:hint="eastAsia"/>
          <w:color w:val="333333"/>
          <w:sz w:val="22"/>
          <w:szCs w:val="22"/>
        </w:rPr>
        <w:t>大中型水利、水电工程建设征收土地的补偿费标准和移民安置办法，由国务院另行规定。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第五十二条</w:t>
      </w:r>
      <w:r>
        <w:rPr>
          <w:rFonts w:ascii="Times New Roman" w:hAnsi="Times New Roman" w:hint="eastAsia"/>
          <w:color w:val="333333"/>
          <w:sz w:val="22"/>
          <w:szCs w:val="22"/>
        </w:rPr>
        <w:t>建设项目可行性研究论证时，土地行政主管部门可以根据土地利用总体规划、土地利用年度计划和建设用地标准，对建设用地有关事项进行审查，并提出意见。</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第五十三条</w:t>
      </w:r>
      <w:r>
        <w:rPr>
          <w:rFonts w:ascii="Times New Roman" w:hAnsi="Times New Roman" w:hint="eastAsia"/>
          <w:color w:val="333333"/>
          <w:sz w:val="22"/>
          <w:szCs w:val="22"/>
        </w:rPr>
        <w:t>经批准的建设项目需要使用国有建设用地的，建设单位应当持法律、行政法规规定的有关文件，向有批准权的县级以上人民政府土地行政主管部门提出建设用地申请，经土地行政主管部门审查，报本级人民政府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第五十四条</w:t>
      </w:r>
      <w:r>
        <w:rPr>
          <w:rFonts w:ascii="Times New Roman" w:hAnsi="Times New Roman" w:hint="eastAsia"/>
          <w:color w:val="333333"/>
          <w:sz w:val="22"/>
          <w:szCs w:val="22"/>
        </w:rPr>
        <w:t>建设单位使用国有土地，应当以出让等有偿使用方式取得</w:t>
      </w:r>
      <w:r>
        <w:rPr>
          <w:rFonts w:ascii="Times New Roman" w:hAnsi="Times New Roman" w:cs="Times New Roman"/>
          <w:color w:val="333333"/>
          <w:sz w:val="22"/>
          <w:szCs w:val="22"/>
        </w:rPr>
        <w:t>;</w:t>
      </w:r>
      <w:r>
        <w:rPr>
          <w:rFonts w:ascii="Times New Roman" w:hAnsi="Times New Roman" w:hint="eastAsia"/>
          <w:color w:val="333333"/>
          <w:sz w:val="22"/>
          <w:szCs w:val="22"/>
        </w:rPr>
        <w:t>但是，下列建设用地，经县级以上人民政府依法批准，可以以划拨方式取得：</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国家机关用地和军事用地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城市基础设施用地和公益事业用地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国家重点扶持的能源、交通、水利等基础设施用地</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法律、行政法规规定的其他用地。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第五十五条</w:t>
      </w:r>
      <w:r>
        <w:rPr>
          <w:rFonts w:ascii="Times New Roman" w:hAnsi="Times New Roman" w:hint="eastAsia"/>
          <w:color w:val="333333"/>
          <w:sz w:val="22"/>
          <w:szCs w:val="22"/>
        </w:rPr>
        <w:t>以出让等有偿使用方式取得国有土地使用权的建设单位，按照国务院规定的标准和办法，缴纳土地使用权出让金等土地有偿使用费和其他费用后，方可使用土地。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自本法施行之日起，新增建设用地的土地有偿使用费，百分之三十上缴中央财政，百分之七十留给有关地方人民政府，都专项用于耕地开发。</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第五十六条</w:t>
      </w:r>
      <w:r>
        <w:rPr>
          <w:rFonts w:ascii="Times New Roman" w:hAnsi="Times New Roman" w:hint="eastAsia"/>
          <w:color w:val="333333"/>
          <w:sz w:val="22"/>
          <w:szCs w:val="22"/>
        </w:rPr>
        <w:t>建设单位使用国有土地的，应当按照土地使用权出让等有偿使用合同的约定或者土地使用权划拨批准文件的规定使用土地</w:t>
      </w:r>
      <w:r>
        <w:rPr>
          <w:rFonts w:ascii="Times New Roman" w:hAnsi="Times New Roman" w:cs="Times New Roman"/>
          <w:color w:val="333333"/>
          <w:sz w:val="22"/>
          <w:szCs w:val="22"/>
        </w:rPr>
        <w:t>;</w:t>
      </w:r>
      <w:r>
        <w:rPr>
          <w:rFonts w:ascii="Times New Roman" w:hAnsi="Times New Roman" w:hint="eastAsia"/>
          <w:color w:val="333333"/>
          <w:sz w:val="22"/>
          <w:szCs w:val="22"/>
        </w:rPr>
        <w:t>确需改变该幅土地建设用途的，应当经有关人民政府土地行政主管部门同意，报原批准用地的人民政府批准。其中，在城市规划区内改变土地用途的，在报批前，应当先经有关城市规划行政主管部门同意。</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第五十七条</w:t>
      </w:r>
      <w:r>
        <w:rPr>
          <w:rFonts w:ascii="Times New Roman" w:hAnsi="Times New Roman" w:hint="eastAsia"/>
          <w:color w:val="333333"/>
          <w:sz w:val="22"/>
          <w:szCs w:val="22"/>
        </w:rPr>
        <w:t>建设项目施工和地质勘查需要临时使用国有土地或者农民集体所有的土地的，由县级以上人民政府土地行政主管部门批准。其中，在城市规划区内的临时用地，在报批前，应当先经有关城市规划行政主管部门同意。土地使用者应当根据土地权属，与有关土地行政主管部门或者农村集体经济组织、村民委员会签订临时使用土地合同，并按照合同的约定支付临时使用土地补偿费。</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临时使用土地的使用者应当按照临时使用土地合同约定的用途使用土地，并不得修建永久性建筑物。</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临时使用土地期限一般不超过二年。</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第五十八条</w:t>
      </w:r>
      <w:r>
        <w:rPr>
          <w:rFonts w:ascii="Times New Roman" w:hAnsi="Times New Roman" w:hint="eastAsia"/>
          <w:color w:val="333333"/>
          <w:sz w:val="22"/>
          <w:szCs w:val="22"/>
        </w:rPr>
        <w:t>有下列情形之一的，由有关人民政府土地行政主管部门报经原批准用地的人民政府或者有批准权的人民政府批准，可以收回国有土地使用权：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为公共利益需要使用土地的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为实施城市规划进行旧城区改建，需要调整使用土地的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土地出让等有偿使用合同约定的使用期限届满，土地使用者未申请续期或者申请续期未获批准的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因单位撤销、迁移等原因，停止使用原划拨的国有土地的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公路、铁路、机场、矿场等经核准报废的。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依照前款第</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项、第</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项的规定收回国有土地使用权的，对土地使用权人应当给予适当补偿。</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第五十九条</w:t>
      </w:r>
      <w:r>
        <w:rPr>
          <w:rFonts w:ascii="Times New Roman" w:hAnsi="Times New Roman" w:hint="eastAsia"/>
          <w:color w:val="333333"/>
          <w:sz w:val="22"/>
          <w:szCs w:val="22"/>
        </w:rPr>
        <w:t>乡镇企业、乡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村公共设施、公益事业、农村村民住宅等乡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村建设，应当按照村庄和集镇规划，合理布局，综合开发，配套建设</w:t>
      </w:r>
      <w:r>
        <w:rPr>
          <w:rFonts w:ascii="Times New Roman" w:hAnsi="Times New Roman" w:cs="Times New Roman"/>
          <w:color w:val="333333"/>
          <w:sz w:val="22"/>
          <w:szCs w:val="22"/>
        </w:rPr>
        <w:t>;</w:t>
      </w:r>
      <w:r>
        <w:rPr>
          <w:rFonts w:ascii="Times New Roman" w:hAnsi="Times New Roman" w:hint="eastAsia"/>
          <w:color w:val="333333"/>
          <w:sz w:val="22"/>
          <w:szCs w:val="22"/>
        </w:rPr>
        <w:t>建设用地，应当符合乡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土地利用总体规划和土地利用年度计划，并依照本法第四十四条、第六十条、第六十一条、第六十二条的规定办理审批手续。</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第六十条</w:t>
      </w:r>
      <w:r>
        <w:rPr>
          <w:rFonts w:ascii="Times New Roman" w:hAnsi="Times New Roman" w:hint="eastAsia"/>
          <w:color w:val="333333"/>
          <w:sz w:val="22"/>
          <w:szCs w:val="22"/>
        </w:rPr>
        <w:t>农村集体经济组织使用乡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土地利用总体规划确定的建设用地兴办企业或者与其他单位、个人以土地使用权入股、联营等形式共同举办企业的，应当持有关批准文件，向县级以上地方人民政府土地行政主管部门提出申请，按照省、自治区、直辖市规定的批准权限，由县级以上地方人民政府批准</w:t>
      </w:r>
      <w:r>
        <w:rPr>
          <w:rFonts w:ascii="Times New Roman" w:hAnsi="Times New Roman" w:cs="Times New Roman"/>
          <w:color w:val="333333"/>
          <w:sz w:val="22"/>
          <w:szCs w:val="22"/>
        </w:rPr>
        <w:t>;</w:t>
      </w:r>
      <w:r>
        <w:rPr>
          <w:rFonts w:ascii="Times New Roman" w:hAnsi="Times New Roman" w:hint="eastAsia"/>
          <w:color w:val="333333"/>
          <w:sz w:val="22"/>
          <w:szCs w:val="22"/>
        </w:rPr>
        <w:t>其中，涉及占用农用地的，依照本法第四十四条的规定办理审批手续。</w:t>
      </w:r>
    </w:p>
    <w:p w:rsidR="00A32067" w:rsidRDefault="00A32067">
      <w:pPr>
        <w:pStyle w:val="NormalWeb"/>
        <w:shd w:val="clear" w:color="auto" w:fill="FFFFFF"/>
        <w:spacing w:before="0" w:beforeAutospacing="0" w:after="0" w:afterAutospacing="0" w:line="360" w:lineRule="auto"/>
        <w:ind w:firstLine="450"/>
        <w:rPr>
          <w:rFonts w:ascii="Times New Roman" w:hAnsi="Times New Roman" w:cs="Times New Roman"/>
          <w:color w:val="333333"/>
          <w:sz w:val="22"/>
          <w:szCs w:val="22"/>
        </w:rPr>
      </w:pPr>
      <w:r>
        <w:rPr>
          <w:rFonts w:ascii="Times New Roman" w:hAnsi="Times New Roman" w:hint="eastAsia"/>
          <w:color w:val="333333"/>
          <w:sz w:val="22"/>
          <w:szCs w:val="22"/>
        </w:rPr>
        <w:t>按照前款规定兴办企业的建设用地，必须严格控制。省、自治区、直辖市可以按照乡镇企业的不同行业和经营规模，分别规定用地标准。</w:t>
      </w:r>
    </w:p>
    <w:p w:rsidR="00A32067" w:rsidRDefault="00A32067">
      <w:pPr>
        <w:pStyle w:val="NormalWeb"/>
        <w:shd w:val="clear" w:color="auto" w:fill="FFFFFF"/>
        <w:spacing w:before="0" w:beforeAutospacing="0" w:after="0" w:afterAutospacing="0" w:line="360" w:lineRule="auto"/>
        <w:ind w:firstLine="450"/>
        <w:rPr>
          <w:rFonts w:ascii="Times New Roman" w:hAnsi="Times New Roman" w:cs="Times New Roman"/>
          <w:color w:val="333333"/>
          <w:sz w:val="22"/>
          <w:szCs w:val="22"/>
        </w:rPr>
      </w:pPr>
      <w:r>
        <w:rPr>
          <w:rFonts w:ascii="Times New Roman" w:hAnsi="Times New Roman" w:hint="eastAsia"/>
          <w:b/>
          <w:bCs/>
          <w:color w:val="333333"/>
          <w:sz w:val="22"/>
          <w:szCs w:val="22"/>
        </w:rPr>
        <w:t>第六十一条</w:t>
      </w:r>
      <w:r>
        <w:rPr>
          <w:rFonts w:ascii="Times New Roman" w:hAnsi="Times New Roman" w:hint="eastAsia"/>
          <w:color w:val="333333"/>
          <w:sz w:val="22"/>
          <w:szCs w:val="22"/>
        </w:rPr>
        <w:t>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村公共设施、公益事业建设，需要使用土地的，经乡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人民政府审核，向县级以上地方人民政府土地行政主管部门提出申请，按照省、自治区、直辖市规定的批准权限，由县级以上地方人民政府批准</w:t>
      </w:r>
      <w:r>
        <w:rPr>
          <w:rFonts w:ascii="Times New Roman" w:hAnsi="Times New Roman" w:cs="Times New Roman"/>
          <w:color w:val="333333"/>
          <w:sz w:val="22"/>
          <w:szCs w:val="22"/>
        </w:rPr>
        <w:t>;</w:t>
      </w:r>
      <w:r>
        <w:rPr>
          <w:rFonts w:ascii="Times New Roman" w:hAnsi="Times New Roman" w:hint="eastAsia"/>
          <w:color w:val="333333"/>
          <w:sz w:val="22"/>
          <w:szCs w:val="22"/>
        </w:rPr>
        <w:t>其中，涉及占用农用地的，依照本法第四十四条的规定办理审批手续。</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第六十二条</w:t>
      </w:r>
      <w:r>
        <w:rPr>
          <w:rFonts w:ascii="Times New Roman" w:hAnsi="Times New Roman" w:hint="eastAsia"/>
          <w:color w:val="333333"/>
          <w:sz w:val="22"/>
          <w:szCs w:val="22"/>
        </w:rPr>
        <w:t>农村村民一户只能拥有一处宅基地，其宅基地的面积不得超过省、自治区、直辖市规定的标准。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农村村民建住宅，应当符合乡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土地利用总体规划，并尽量使用原有的宅基地和村内空闲地。</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农村村民住宅用地，经乡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人民政府审核，由县级人民政府批准</w:t>
      </w:r>
      <w:r>
        <w:rPr>
          <w:rFonts w:ascii="Times New Roman" w:hAnsi="Times New Roman" w:cs="Times New Roman"/>
          <w:color w:val="333333"/>
          <w:sz w:val="22"/>
          <w:szCs w:val="22"/>
        </w:rPr>
        <w:t>;</w:t>
      </w:r>
      <w:r>
        <w:rPr>
          <w:rFonts w:ascii="Times New Roman" w:hAnsi="Times New Roman" w:hint="eastAsia"/>
          <w:color w:val="333333"/>
          <w:sz w:val="22"/>
          <w:szCs w:val="22"/>
        </w:rPr>
        <w:t>其中，涉及占用农用地的，依照本法第四十四条的规定办理审批手续。</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农村村民出卖、出租住房后，再申请宅基地的，不予批准。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第六十三条</w:t>
      </w:r>
      <w:r>
        <w:rPr>
          <w:rFonts w:ascii="Times New Roman" w:hAnsi="Times New Roman" w:hint="eastAsia"/>
          <w:color w:val="333333"/>
          <w:sz w:val="22"/>
          <w:szCs w:val="22"/>
        </w:rPr>
        <w:t>农民集体所有的土地的使用权不得出让、转让或者出租用于非农业建设</w:t>
      </w:r>
      <w:r>
        <w:rPr>
          <w:rFonts w:ascii="Times New Roman" w:hAnsi="Times New Roman" w:cs="Times New Roman"/>
          <w:color w:val="333333"/>
          <w:sz w:val="22"/>
          <w:szCs w:val="22"/>
        </w:rPr>
        <w:t>;</w:t>
      </w:r>
      <w:r>
        <w:rPr>
          <w:rFonts w:ascii="Times New Roman" w:hAnsi="Times New Roman" w:hint="eastAsia"/>
          <w:color w:val="333333"/>
          <w:sz w:val="22"/>
          <w:szCs w:val="22"/>
        </w:rPr>
        <w:t>但是，符合土地利用总体规划并依法取得建设用地的企业，因破产、兼并等情形致使土地使用权依法发生转移的除外。</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第六十四条</w:t>
      </w:r>
      <w:r>
        <w:rPr>
          <w:rFonts w:ascii="Times New Roman" w:hAnsi="Times New Roman" w:hint="eastAsia"/>
          <w:color w:val="333333"/>
          <w:sz w:val="22"/>
          <w:szCs w:val="22"/>
        </w:rPr>
        <w:t>在土地利用总体规划制定前已建的不符合土地利用总体规划确定的用途的建筑物、构筑物，不得重建、扩建。</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第六十五条</w:t>
      </w:r>
      <w:r>
        <w:rPr>
          <w:rFonts w:ascii="Times New Roman" w:hAnsi="Times New Roman" w:hint="eastAsia"/>
          <w:color w:val="333333"/>
          <w:sz w:val="22"/>
          <w:szCs w:val="22"/>
        </w:rPr>
        <w:t>有下列情形之一的，农村集体经济组织报经原批准用地的人民政府批准，可以收回土地使用权：</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为乡</w:t>
      </w:r>
      <w:r>
        <w:rPr>
          <w:rFonts w:ascii="Times New Roman" w:hAnsi="Times New Roman" w:cs="Times New Roman"/>
          <w:color w:val="333333"/>
          <w:sz w:val="22"/>
          <w:szCs w:val="22"/>
        </w:rPr>
        <w:t>(</w:t>
      </w:r>
      <w:r>
        <w:rPr>
          <w:rFonts w:ascii="Times New Roman" w:hAnsi="Times New Roman" w:hint="eastAsia"/>
          <w:color w:val="333333"/>
          <w:sz w:val="22"/>
          <w:szCs w:val="22"/>
        </w:rPr>
        <w:t>镇</w:t>
      </w:r>
      <w:r>
        <w:rPr>
          <w:rFonts w:ascii="Times New Roman" w:hAnsi="Times New Roman" w:cs="Times New Roman"/>
          <w:color w:val="333333"/>
          <w:sz w:val="22"/>
          <w:szCs w:val="22"/>
        </w:rPr>
        <w:t>)</w:t>
      </w:r>
      <w:r>
        <w:rPr>
          <w:rFonts w:ascii="Times New Roman" w:hAnsi="Times New Roman" w:hint="eastAsia"/>
          <w:color w:val="333333"/>
          <w:sz w:val="22"/>
          <w:szCs w:val="22"/>
        </w:rPr>
        <w:t>村公共设施和公益事业建设，需要使用土地的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不按照批准的用途使用土地的</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因撤销、迁移等原因而停止使用土地的。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依照前款第</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项规定收回农民集体所有的土地的，对土地使用权人应当给予适当补偿。</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第六章监督检查</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b/>
          <w:bCs/>
          <w:color w:val="333333"/>
          <w:sz w:val="22"/>
          <w:szCs w:val="22"/>
        </w:rPr>
        <w:t>第六十六条</w:t>
      </w:r>
      <w:r>
        <w:rPr>
          <w:rFonts w:ascii="Times New Roman" w:hAnsi="Times New Roman" w:hint="eastAsia"/>
          <w:color w:val="333333"/>
          <w:sz w:val="22"/>
          <w:szCs w:val="22"/>
        </w:rPr>
        <w:t>县级以上人民政府土地行政主管部门对违反土地管理法律、法规的行为进行监督检查。</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土地管理监督检查人员应当熟悉土地管理法律、法规，忠于职守、秉公执法。</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第六十七条</w:t>
      </w:r>
      <w:r>
        <w:rPr>
          <w:rFonts w:ascii="Times New Roman" w:hAnsi="Times New Roman" w:hint="eastAsia"/>
          <w:color w:val="333333"/>
          <w:sz w:val="22"/>
          <w:szCs w:val="22"/>
        </w:rPr>
        <w:t>县级以上人民政府土地行政主管部门履行监督检查职责时，有权采取下列措施：</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要求被检查的单位或者个人提供有关土地权利的文件和资料，进行查阅或者予以复制</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要求被检查的单位或者个人就有关土地权利的问题作出说明</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进入被检查单位或者个人非法占用的土地现场进行勘测</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责令非法占用土地的单位或者个人停止违反土地管理法律、法规的行为。</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 xml:space="preserve">　第六十八条</w:t>
      </w:r>
      <w:r>
        <w:rPr>
          <w:rFonts w:ascii="Times New Roman" w:hAnsi="Times New Roman" w:hint="eastAsia"/>
          <w:color w:val="333333"/>
          <w:sz w:val="22"/>
          <w:szCs w:val="22"/>
        </w:rPr>
        <w:t>土地管理监督检查人员履行职责，需要进入现场进行勘测、要求有关单位或者个人提供文件、资料和作出说明的，应当出示土地管理监督检查证件。</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第六十九条</w:t>
      </w:r>
      <w:r>
        <w:rPr>
          <w:rFonts w:ascii="Times New Roman" w:hAnsi="Times New Roman" w:hint="eastAsia"/>
          <w:color w:val="333333"/>
          <w:sz w:val="22"/>
          <w:szCs w:val="22"/>
        </w:rPr>
        <w:t>有关单位和个人对县级以上人民政府土地行政主管部门就土地违法行为进行的监督检查应当支持与配合，并提供工作方便，不得拒绝与阻碍土地管理监督检查人员依法执行职务。</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第七十条</w:t>
      </w:r>
      <w:r>
        <w:rPr>
          <w:rFonts w:ascii="Times New Roman" w:hAnsi="Times New Roman" w:hint="eastAsia"/>
          <w:color w:val="333333"/>
          <w:sz w:val="22"/>
          <w:szCs w:val="22"/>
        </w:rPr>
        <w:t>县级以上人民政府土地行政主管部门在监督检查工作中发现国家工作人员的违法行为，依法应当给予行政处分的，应当依法予以处理</w:t>
      </w:r>
      <w:r>
        <w:rPr>
          <w:rFonts w:ascii="Times New Roman" w:hAnsi="Times New Roman" w:cs="Times New Roman"/>
          <w:color w:val="333333"/>
          <w:sz w:val="22"/>
          <w:szCs w:val="22"/>
        </w:rPr>
        <w:t>;</w:t>
      </w:r>
      <w:r>
        <w:rPr>
          <w:rFonts w:ascii="Times New Roman" w:hAnsi="Times New Roman" w:hint="eastAsia"/>
          <w:color w:val="333333"/>
          <w:sz w:val="22"/>
          <w:szCs w:val="22"/>
        </w:rPr>
        <w:t>自己无权处理的，应当向同级或者上级人民政府的行政监察机关提出行政处分建议书，有关行政监察机关应当依法予以处理。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第七十一条</w:t>
      </w:r>
      <w:r>
        <w:rPr>
          <w:rFonts w:ascii="Times New Roman" w:hAnsi="Times New Roman" w:hint="eastAsia"/>
          <w:color w:val="333333"/>
          <w:sz w:val="22"/>
          <w:szCs w:val="22"/>
        </w:rPr>
        <w:t>县级以上人民政府土地行政主管部门在监督检查工作中发现土地违法行为构成犯罪的，应当将案件移送有关机关，依法追究刑事责任</w:t>
      </w:r>
      <w:r>
        <w:rPr>
          <w:rFonts w:ascii="Times New Roman" w:hAnsi="Times New Roman" w:cs="Times New Roman"/>
          <w:color w:val="333333"/>
          <w:sz w:val="22"/>
          <w:szCs w:val="22"/>
        </w:rPr>
        <w:t>;</w:t>
      </w:r>
      <w:r>
        <w:rPr>
          <w:rFonts w:ascii="Times New Roman" w:hAnsi="Times New Roman" w:hint="eastAsia"/>
          <w:color w:val="333333"/>
          <w:sz w:val="22"/>
          <w:szCs w:val="22"/>
        </w:rPr>
        <w:t>尚不构成犯罪的，应当依法给予行政处罚。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第七十二条</w:t>
      </w:r>
      <w:r>
        <w:rPr>
          <w:rFonts w:ascii="Times New Roman" w:hAnsi="Times New Roman" w:hint="eastAsia"/>
          <w:color w:val="333333"/>
          <w:sz w:val="22"/>
          <w:szCs w:val="22"/>
        </w:rPr>
        <w:t>依照本法规定应当给予行政处罚，而有关土地行政主管部门不给予行政处罚的，上级人民政府土地行政主管部门有权责令有关土地行政主管部门作出行政处罚决定或者直接给予行政处罚，并给予有关土地行政主管部门的负责人行政处分。</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第七章法律责任</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第七十三条</w:t>
      </w:r>
      <w:r>
        <w:rPr>
          <w:rFonts w:ascii="Times New Roman" w:hAnsi="Times New Roman" w:hint="eastAsia"/>
          <w:color w:val="333333"/>
          <w:sz w:val="22"/>
          <w:szCs w:val="22"/>
        </w:rPr>
        <w:t>买卖或者以其他形式非法转让土地的，由县级以上人民政府土地行政主管部门没收违法所得</w:t>
      </w:r>
      <w:r>
        <w:rPr>
          <w:rFonts w:ascii="Times New Roman" w:hAnsi="Times New Roman" w:cs="Times New Roman"/>
          <w:color w:val="333333"/>
          <w:sz w:val="22"/>
          <w:szCs w:val="22"/>
        </w:rPr>
        <w:t>;</w:t>
      </w:r>
      <w:r>
        <w:rPr>
          <w:rFonts w:ascii="Times New Roman" w:hAnsi="Times New Roman" w:hint="eastAsia"/>
          <w:color w:val="333333"/>
          <w:sz w:val="22"/>
          <w:szCs w:val="22"/>
        </w:rPr>
        <w:t>对违反土地利用总体规划擅自将农用地改为建设用地的，限期拆除在非法转让的土地上新建的建筑物和其他设施，恢复土地原状，对符合土地利用总体规划的，没收在非法转让的土地上新建的建筑物和其他设施</w:t>
      </w:r>
      <w:r>
        <w:rPr>
          <w:rFonts w:ascii="Times New Roman" w:hAnsi="Times New Roman" w:cs="Times New Roman"/>
          <w:color w:val="333333"/>
          <w:sz w:val="22"/>
          <w:szCs w:val="22"/>
        </w:rPr>
        <w:t>;</w:t>
      </w:r>
      <w:r>
        <w:rPr>
          <w:rFonts w:ascii="Times New Roman" w:hAnsi="Times New Roman" w:hint="eastAsia"/>
          <w:color w:val="333333"/>
          <w:sz w:val="22"/>
          <w:szCs w:val="22"/>
        </w:rPr>
        <w:t>可以并处罚款</w:t>
      </w:r>
      <w:r>
        <w:rPr>
          <w:rFonts w:ascii="Times New Roman" w:hAnsi="Times New Roman" w:cs="Times New Roman"/>
          <w:color w:val="333333"/>
          <w:sz w:val="22"/>
          <w:szCs w:val="22"/>
        </w:rPr>
        <w:t>;</w:t>
      </w:r>
      <w:r>
        <w:rPr>
          <w:rFonts w:ascii="Times New Roman" w:hAnsi="Times New Roman" w:hint="eastAsia"/>
          <w:color w:val="333333"/>
          <w:sz w:val="22"/>
          <w:szCs w:val="22"/>
        </w:rPr>
        <w:t>对直接负责的主管人员和其他直接责任人员，依法给予行政处分</w:t>
      </w:r>
      <w:r>
        <w:rPr>
          <w:rFonts w:ascii="Times New Roman" w:hAnsi="Times New Roman" w:cs="Times New Roman"/>
          <w:color w:val="333333"/>
          <w:sz w:val="22"/>
          <w:szCs w:val="22"/>
        </w:rPr>
        <w:t>;</w:t>
      </w:r>
      <w:r>
        <w:rPr>
          <w:rFonts w:ascii="Times New Roman" w:hAnsi="Times New Roman" w:hint="eastAsia"/>
          <w:color w:val="333333"/>
          <w:sz w:val="22"/>
          <w:szCs w:val="22"/>
        </w:rPr>
        <w:t>构成犯罪的，依法追究刑事责任。</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第七十四条</w:t>
      </w:r>
      <w:r>
        <w:rPr>
          <w:rFonts w:ascii="Times New Roman" w:hAnsi="Times New Roman" w:hint="eastAsia"/>
          <w:color w:val="333333"/>
          <w:sz w:val="22"/>
          <w:szCs w:val="22"/>
        </w:rPr>
        <w:t>违反本法规定，占用耕地建窑、建坟或者擅自在耕地上建房、挖砂、采石、采矿、取土等，破坏种植条件的，或者因开发土地造成土地荒漠化、盐渍化的，由县级以上人民政府土地行政主管部门责令限期改正或者治理，可以并处罚款</w:t>
      </w:r>
      <w:r>
        <w:rPr>
          <w:rFonts w:ascii="Times New Roman" w:hAnsi="Times New Roman" w:cs="Times New Roman"/>
          <w:color w:val="333333"/>
          <w:sz w:val="22"/>
          <w:szCs w:val="22"/>
        </w:rPr>
        <w:t>;</w:t>
      </w:r>
      <w:r>
        <w:rPr>
          <w:rFonts w:ascii="Times New Roman" w:hAnsi="Times New Roman" w:hint="eastAsia"/>
          <w:color w:val="333333"/>
          <w:sz w:val="22"/>
          <w:szCs w:val="22"/>
        </w:rPr>
        <w:t>构成犯罪的，依法追究刑事责任。</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第七十五条</w:t>
      </w:r>
      <w:r>
        <w:rPr>
          <w:rFonts w:ascii="Times New Roman" w:hAnsi="Times New Roman" w:hint="eastAsia"/>
          <w:color w:val="333333"/>
          <w:sz w:val="22"/>
          <w:szCs w:val="22"/>
        </w:rPr>
        <w:t>违反本法规定，拒不履行土地复垦义务的，由县级以上人民政府土地行政主管部门责令限期改正</w:t>
      </w:r>
      <w:r>
        <w:rPr>
          <w:rFonts w:ascii="Times New Roman" w:hAnsi="Times New Roman" w:cs="Times New Roman"/>
          <w:color w:val="333333"/>
          <w:sz w:val="22"/>
          <w:szCs w:val="22"/>
        </w:rPr>
        <w:t>;</w:t>
      </w:r>
      <w:r>
        <w:rPr>
          <w:rFonts w:ascii="Times New Roman" w:hAnsi="Times New Roman" w:hint="eastAsia"/>
          <w:color w:val="333333"/>
          <w:sz w:val="22"/>
          <w:szCs w:val="22"/>
        </w:rPr>
        <w:t>逾期不改正的，责令缴纳复垦费，专项用于土地复垦，可以处以罚款。</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第七十六条</w:t>
      </w:r>
      <w:r>
        <w:rPr>
          <w:rFonts w:ascii="Times New Roman" w:hAnsi="Times New Roman" w:hint="eastAsia"/>
          <w:color w:val="333333"/>
          <w:sz w:val="22"/>
          <w:szCs w:val="22"/>
        </w:rPr>
        <w:t>未经批准或者采取欺骗手段骗取批准，非法占用土地的，由县级以上人民政府土地行政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w:t>
      </w:r>
      <w:r>
        <w:rPr>
          <w:rFonts w:ascii="Times New Roman" w:hAnsi="Times New Roman" w:cs="Times New Roman"/>
          <w:color w:val="333333"/>
          <w:sz w:val="22"/>
          <w:szCs w:val="22"/>
        </w:rPr>
        <w:t>;</w:t>
      </w:r>
      <w:r>
        <w:rPr>
          <w:rFonts w:ascii="Times New Roman" w:hAnsi="Times New Roman" w:hint="eastAsia"/>
          <w:color w:val="333333"/>
          <w:sz w:val="22"/>
          <w:szCs w:val="22"/>
        </w:rPr>
        <w:t>对非法占用土地单位的直接负责的主管人员和其他直接责任人员，依法给予行政处分</w:t>
      </w:r>
      <w:r>
        <w:rPr>
          <w:rFonts w:ascii="Times New Roman" w:hAnsi="Times New Roman" w:cs="Times New Roman"/>
          <w:color w:val="333333"/>
          <w:sz w:val="22"/>
          <w:szCs w:val="22"/>
        </w:rPr>
        <w:t>;</w:t>
      </w:r>
      <w:r>
        <w:rPr>
          <w:rFonts w:ascii="Times New Roman" w:hAnsi="Times New Roman" w:hint="eastAsia"/>
          <w:color w:val="333333"/>
          <w:sz w:val="22"/>
          <w:szCs w:val="22"/>
        </w:rPr>
        <w:t>构成犯罪的，依法追究刑事责任。</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超过批准的数量占用土地，多占的土地以非法占用土地论处。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第七十七条</w:t>
      </w:r>
      <w:r>
        <w:rPr>
          <w:rFonts w:ascii="Times New Roman" w:hAnsi="Times New Roman" w:hint="eastAsia"/>
          <w:color w:val="333333"/>
          <w:sz w:val="22"/>
          <w:szCs w:val="22"/>
        </w:rPr>
        <w:t>农村村民未经批准或者采取欺骗手段骗取批准，非法占用土地建住宅的，由县级以上人民政府土地行政主管部门责令退还非法占用的土地，限期拆除在非法占用的土地上新建的房屋。</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超过省、自治区、直辖市规定的标准，多占的土地以非法占用土地论处。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第七十八条</w:t>
      </w:r>
      <w:r>
        <w:rPr>
          <w:rFonts w:ascii="Times New Roman" w:hAnsi="Times New Roman" w:hint="eastAsia"/>
          <w:color w:val="333333"/>
          <w:sz w:val="22"/>
          <w:szCs w:val="22"/>
        </w:rPr>
        <w:t>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行政处分</w:t>
      </w:r>
      <w:r>
        <w:rPr>
          <w:rFonts w:ascii="Times New Roman" w:hAnsi="Times New Roman" w:cs="Times New Roman"/>
          <w:color w:val="333333"/>
          <w:sz w:val="22"/>
          <w:szCs w:val="22"/>
        </w:rPr>
        <w:t>;</w:t>
      </w:r>
      <w:r>
        <w:rPr>
          <w:rFonts w:ascii="Times New Roman" w:hAnsi="Times New Roman" w:hint="eastAsia"/>
          <w:color w:val="333333"/>
          <w:sz w:val="22"/>
          <w:szCs w:val="22"/>
        </w:rPr>
        <w:t>构成犯罪的，依法追究刑事责任。非法批准、使用的土地应当收回，有关当事人拒不归还的，以非法占用土地论处。</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非法批准征收、使用土地，对当事人造成损失的，依法应当承担赔偿责任。</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第七十九条</w:t>
      </w:r>
      <w:r>
        <w:rPr>
          <w:rFonts w:ascii="Times New Roman" w:hAnsi="Times New Roman" w:hint="eastAsia"/>
          <w:color w:val="333333"/>
          <w:sz w:val="22"/>
          <w:szCs w:val="22"/>
        </w:rPr>
        <w:t>侵占、挪用被征收土地单位的征地补偿费用和其他有关费用，构成犯罪的，依法追究刑事责任</w:t>
      </w:r>
      <w:r>
        <w:rPr>
          <w:rFonts w:ascii="Times New Roman" w:hAnsi="Times New Roman" w:cs="Times New Roman"/>
          <w:color w:val="333333"/>
          <w:sz w:val="22"/>
          <w:szCs w:val="22"/>
        </w:rPr>
        <w:t>;</w:t>
      </w:r>
      <w:r>
        <w:rPr>
          <w:rFonts w:ascii="Times New Roman" w:hAnsi="Times New Roman" w:hint="eastAsia"/>
          <w:color w:val="333333"/>
          <w:sz w:val="22"/>
          <w:szCs w:val="22"/>
        </w:rPr>
        <w:t>尚不构成犯罪的，依法给予行政处分。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第八十条</w:t>
      </w:r>
      <w:r>
        <w:rPr>
          <w:rFonts w:ascii="Times New Roman" w:hAnsi="Times New Roman" w:hint="eastAsia"/>
          <w:color w:val="333333"/>
          <w:sz w:val="22"/>
          <w:szCs w:val="22"/>
        </w:rPr>
        <w:t>依法收回国有土地使用权当事人拒不交出土地的，临时使用土地期满拒不归还的，或者不按照批准的用途使用国有土地的，由县级以上人民政府土地行政主管部门责令交还土地，处以罚款。</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第八十一条</w:t>
      </w:r>
      <w:r>
        <w:rPr>
          <w:rFonts w:ascii="Times New Roman" w:hAnsi="Times New Roman" w:hint="eastAsia"/>
          <w:color w:val="333333"/>
          <w:sz w:val="22"/>
          <w:szCs w:val="22"/>
        </w:rPr>
        <w:t>擅自将农民集体所有的土地的使用权出让、转让或者出租用于非农业建设的，由县级以上人民政府土地行政主管部门责令限期改正，没收违法所得，并处罚款。</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第八十二条</w:t>
      </w:r>
      <w:r>
        <w:rPr>
          <w:rFonts w:ascii="Times New Roman" w:hAnsi="Times New Roman" w:hint="eastAsia"/>
          <w:color w:val="333333"/>
          <w:sz w:val="22"/>
          <w:szCs w:val="22"/>
        </w:rPr>
        <w:t>不依照本法规定办理土地变更登记的，由县级以上人民政府土地行政主管部门责令其限期办理。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第八十三条</w:t>
      </w:r>
      <w:r>
        <w:rPr>
          <w:rFonts w:ascii="Times New Roman" w:hAnsi="Times New Roman" w:hint="eastAsia"/>
          <w:color w:val="333333"/>
          <w:sz w:val="22"/>
          <w:szCs w:val="22"/>
        </w:rPr>
        <w:t>依照本法规定，责令限期拆除在非法占用的土地上新建的建筑物和其他设施的，建设单位或者个人必须立即停止施工，自行拆除</w:t>
      </w:r>
      <w:r>
        <w:rPr>
          <w:rFonts w:ascii="Times New Roman" w:hAnsi="Times New Roman" w:cs="Times New Roman"/>
          <w:color w:val="333333"/>
          <w:sz w:val="22"/>
          <w:szCs w:val="22"/>
        </w:rPr>
        <w:t>;</w:t>
      </w:r>
      <w:r>
        <w:rPr>
          <w:rFonts w:ascii="Times New Roman" w:hAnsi="Times New Roman" w:hint="eastAsia"/>
          <w:color w:val="333333"/>
          <w:sz w:val="22"/>
          <w:szCs w:val="22"/>
        </w:rPr>
        <w:t>对继续施工的，作出处罚决定的机关有权制止。建设单位或者个人对责令限期拆除的行政处罚决定不服的，可以在接到责令限期拆除决定之日起十五日内，向人民法院起诉</w:t>
      </w:r>
      <w:r>
        <w:rPr>
          <w:rFonts w:ascii="Times New Roman" w:hAnsi="Times New Roman" w:cs="Times New Roman"/>
          <w:color w:val="333333"/>
          <w:sz w:val="22"/>
          <w:szCs w:val="22"/>
        </w:rPr>
        <w:t>;</w:t>
      </w:r>
      <w:r>
        <w:rPr>
          <w:rFonts w:ascii="Times New Roman" w:hAnsi="Times New Roman" w:hint="eastAsia"/>
          <w:color w:val="333333"/>
          <w:sz w:val="22"/>
          <w:szCs w:val="22"/>
        </w:rPr>
        <w:t>期满不起诉又不自行拆除的，由作出处罚决定的机关依法申请人民法院强制执行，费用由违法者承担。</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第八十四条</w:t>
      </w:r>
      <w:r>
        <w:rPr>
          <w:rFonts w:ascii="Times New Roman" w:hAnsi="Times New Roman" w:hint="eastAsia"/>
          <w:color w:val="333333"/>
          <w:sz w:val="22"/>
          <w:szCs w:val="22"/>
        </w:rPr>
        <w:t>土地行政主管部门的工作人员玩忽职守、滥用职权、徇私舞弊，构成犯罪的，依法追究刑事责任</w:t>
      </w:r>
      <w:r>
        <w:rPr>
          <w:rFonts w:ascii="Times New Roman" w:hAnsi="Times New Roman" w:cs="Times New Roman"/>
          <w:color w:val="333333"/>
          <w:sz w:val="22"/>
          <w:szCs w:val="22"/>
        </w:rPr>
        <w:t>;</w:t>
      </w:r>
      <w:r>
        <w:rPr>
          <w:rFonts w:ascii="Times New Roman" w:hAnsi="Times New Roman" w:hint="eastAsia"/>
          <w:color w:val="333333"/>
          <w:sz w:val="22"/>
          <w:szCs w:val="22"/>
        </w:rPr>
        <w:t>尚不构成犯罪的，依法给予行政处分。</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第八章附则</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b/>
          <w:bCs/>
          <w:color w:val="333333"/>
          <w:sz w:val="22"/>
          <w:szCs w:val="22"/>
        </w:rPr>
        <w:t>第八十五条</w:t>
      </w:r>
      <w:r>
        <w:rPr>
          <w:rFonts w:ascii="Times New Roman" w:hAnsi="Times New Roman" w:hint="eastAsia"/>
          <w:color w:val="333333"/>
          <w:sz w:val="22"/>
          <w:szCs w:val="22"/>
        </w:rPr>
        <w:t>中外合资经营企业、中外合作经营企业、外资企业使用土地的，适用本法</w:t>
      </w:r>
      <w:r>
        <w:rPr>
          <w:rFonts w:ascii="Times New Roman" w:hAnsi="Times New Roman" w:cs="Times New Roman"/>
          <w:color w:val="333333"/>
          <w:sz w:val="22"/>
          <w:szCs w:val="22"/>
        </w:rPr>
        <w:t>;</w:t>
      </w:r>
      <w:r>
        <w:rPr>
          <w:rFonts w:ascii="Times New Roman" w:hAnsi="Times New Roman" w:hint="eastAsia"/>
          <w:color w:val="333333"/>
          <w:sz w:val="22"/>
          <w:szCs w:val="22"/>
        </w:rPr>
        <w:t>法律另有规定的，从其规定。</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hint="eastAsia"/>
          <w:b/>
          <w:bCs/>
          <w:color w:val="333333"/>
          <w:sz w:val="22"/>
          <w:szCs w:val="22"/>
        </w:rPr>
        <w:t>第八十六条</w:t>
      </w:r>
      <w:r>
        <w:rPr>
          <w:rFonts w:ascii="Times New Roman" w:hAnsi="Times New Roman" w:hint="eastAsia"/>
          <w:color w:val="333333"/>
          <w:sz w:val="22"/>
          <w:szCs w:val="22"/>
        </w:rPr>
        <w:t>本法自</w:t>
      </w:r>
      <w:r>
        <w:rPr>
          <w:rFonts w:ascii="Times New Roman" w:hAnsi="Times New Roman" w:cs="Times New Roman"/>
          <w:color w:val="333333"/>
          <w:sz w:val="22"/>
          <w:szCs w:val="22"/>
        </w:rPr>
        <w:t>1999</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shd w:val="clear" w:color="auto" w:fill="FFFFFF"/>
        <w:spacing w:line="450" w:lineRule="atLeast"/>
        <w:jc w:val="center"/>
        <w:outlineLvl w:val="0"/>
        <w:rPr>
          <w:b/>
          <w:bCs/>
          <w:color w:val="000000"/>
          <w:sz w:val="44"/>
          <w:szCs w:val="44"/>
        </w:rPr>
      </w:pPr>
    </w:p>
    <w:p w:rsidR="00A32067" w:rsidRDefault="00A32067">
      <w:pPr>
        <w:shd w:val="clear" w:color="auto" w:fill="FFFFFF"/>
        <w:spacing w:line="450" w:lineRule="atLeast"/>
        <w:jc w:val="center"/>
        <w:outlineLvl w:val="0"/>
        <w:rPr>
          <w:b/>
          <w:bCs/>
          <w:color w:val="000000"/>
          <w:sz w:val="44"/>
          <w:szCs w:val="44"/>
        </w:rPr>
      </w:pPr>
    </w:p>
    <w:p w:rsidR="00A32067" w:rsidRDefault="00A32067">
      <w:pPr>
        <w:shd w:val="clear" w:color="auto" w:fill="FFFFFF"/>
        <w:spacing w:line="450" w:lineRule="atLeast"/>
        <w:jc w:val="center"/>
        <w:outlineLvl w:val="2"/>
        <w:rPr>
          <w:b/>
          <w:bCs/>
          <w:color w:val="000000"/>
          <w:sz w:val="44"/>
          <w:szCs w:val="44"/>
        </w:rPr>
        <w:sectPr w:rsidR="00A32067">
          <w:pgSz w:w="11907" w:h="16840"/>
          <w:pgMar w:top="1134" w:right="1077" w:bottom="1134" w:left="1077" w:header="794" w:footer="567" w:gutter="284"/>
          <w:cols w:space="720"/>
          <w:docGrid w:linePitch="312"/>
        </w:sectPr>
      </w:pPr>
      <w:bookmarkStart w:id="15" w:name="_Toc519872258"/>
    </w:p>
    <w:p w:rsidR="00A32067" w:rsidRDefault="00A32067">
      <w:pPr>
        <w:shd w:val="clear" w:color="auto" w:fill="FFFFFF"/>
        <w:spacing w:line="450" w:lineRule="atLeast"/>
        <w:jc w:val="center"/>
        <w:outlineLvl w:val="2"/>
        <w:rPr>
          <w:b/>
          <w:bCs/>
          <w:color w:val="000000"/>
          <w:sz w:val="44"/>
          <w:szCs w:val="44"/>
        </w:rPr>
      </w:pPr>
      <w:r>
        <w:rPr>
          <w:rFonts w:cs="宋体" w:hint="eastAsia"/>
          <w:b/>
          <w:bCs/>
          <w:color w:val="000000"/>
          <w:sz w:val="44"/>
          <w:szCs w:val="44"/>
        </w:rPr>
        <w:t>中华人民共和国土地管理法实施条例</w:t>
      </w:r>
      <w:bookmarkEnd w:id="15"/>
    </w:p>
    <w:p w:rsidR="00A32067" w:rsidRDefault="00A32067">
      <w:pPr>
        <w:shd w:val="clear" w:color="auto" w:fill="FFFFFF"/>
        <w:spacing w:line="450" w:lineRule="atLeast"/>
        <w:jc w:val="center"/>
        <w:outlineLvl w:val="1"/>
        <w:rPr>
          <w:b/>
          <w:bCs/>
          <w:color w:val="000000"/>
          <w:sz w:val="44"/>
          <w:szCs w:val="44"/>
        </w:rPr>
      </w:pPr>
    </w:p>
    <w:p w:rsidR="00A32067" w:rsidRDefault="00A32067">
      <w:pPr>
        <w:shd w:val="clear" w:color="auto" w:fill="FFFFFF"/>
        <w:spacing w:line="450" w:lineRule="atLeast"/>
        <w:jc w:val="center"/>
        <w:outlineLvl w:val="1"/>
        <w:rPr>
          <w:b/>
          <w:bCs/>
          <w:color w:val="000000"/>
          <w:sz w:val="44"/>
          <w:szCs w:val="44"/>
        </w:rPr>
      </w:pPr>
    </w:p>
    <w:p w:rsidR="00A32067" w:rsidRDefault="00A32067">
      <w:pPr>
        <w:shd w:val="clear" w:color="auto" w:fill="FFFFFF"/>
        <w:spacing w:line="450" w:lineRule="atLeast"/>
        <w:jc w:val="center"/>
        <w:rPr>
          <w:b/>
          <w:bCs/>
          <w:color w:val="000000"/>
          <w:sz w:val="22"/>
          <w:szCs w:val="22"/>
        </w:rPr>
      </w:pPr>
      <w:r>
        <w:rPr>
          <w:rFonts w:cs="宋体" w:hint="eastAsia"/>
          <w:b/>
          <w:bCs/>
          <w:color w:val="000000"/>
          <w:sz w:val="22"/>
          <w:szCs w:val="22"/>
        </w:rPr>
        <w:t>（</w:t>
      </w:r>
      <w:r>
        <w:rPr>
          <w:b/>
          <w:bCs/>
          <w:color w:val="000000"/>
          <w:sz w:val="22"/>
          <w:szCs w:val="22"/>
        </w:rPr>
        <w:t>2014</w:t>
      </w:r>
      <w:r>
        <w:rPr>
          <w:rFonts w:cs="宋体" w:hint="eastAsia"/>
          <w:b/>
          <w:bCs/>
          <w:color w:val="000000"/>
          <w:sz w:val="22"/>
          <w:szCs w:val="22"/>
        </w:rPr>
        <w:t>年</w:t>
      </w:r>
      <w:r>
        <w:rPr>
          <w:b/>
          <w:bCs/>
          <w:color w:val="000000"/>
          <w:sz w:val="22"/>
          <w:szCs w:val="22"/>
        </w:rPr>
        <w:t>7</w:t>
      </w:r>
      <w:r>
        <w:rPr>
          <w:rFonts w:cs="宋体" w:hint="eastAsia"/>
          <w:b/>
          <w:bCs/>
          <w:color w:val="000000"/>
          <w:sz w:val="22"/>
          <w:szCs w:val="22"/>
        </w:rPr>
        <w:t>月</w:t>
      </w:r>
      <w:r>
        <w:rPr>
          <w:b/>
          <w:bCs/>
          <w:color w:val="000000"/>
          <w:sz w:val="22"/>
          <w:szCs w:val="22"/>
        </w:rPr>
        <w:t>29</w:t>
      </w:r>
      <w:r>
        <w:rPr>
          <w:rFonts w:cs="宋体" w:hint="eastAsia"/>
          <w:b/>
          <w:bCs/>
          <w:color w:val="000000"/>
          <w:sz w:val="22"/>
          <w:szCs w:val="22"/>
        </w:rPr>
        <w:t>日修正版）</w:t>
      </w:r>
    </w:p>
    <w:p w:rsidR="00A32067" w:rsidRDefault="00A32067">
      <w:pPr>
        <w:shd w:val="clear" w:color="auto" w:fill="FFFFFF"/>
        <w:spacing w:line="450" w:lineRule="atLeast"/>
        <w:jc w:val="center"/>
        <w:rPr>
          <w:b/>
          <w:bCs/>
          <w:color w:val="000000"/>
          <w:sz w:val="30"/>
          <w:szCs w:val="30"/>
        </w:rPr>
      </w:pPr>
    </w:p>
    <w:p w:rsidR="00A32067" w:rsidRDefault="00A32067" w:rsidP="005431C7">
      <w:pPr>
        <w:shd w:val="clear" w:color="auto" w:fill="FFFFFF"/>
        <w:spacing w:line="360" w:lineRule="auto"/>
        <w:ind w:firstLineChars="200" w:firstLine="31680"/>
        <w:rPr>
          <w:color w:val="333333"/>
          <w:sz w:val="22"/>
          <w:szCs w:val="22"/>
        </w:rPr>
      </w:pPr>
      <w:r>
        <w:rPr>
          <w:rFonts w:cs="宋体" w:hint="eastAsia"/>
          <w:color w:val="333333"/>
          <w:sz w:val="22"/>
          <w:szCs w:val="22"/>
        </w:rPr>
        <w:t>（</w:t>
      </w:r>
      <w:r>
        <w:rPr>
          <w:color w:val="333333"/>
          <w:sz w:val="22"/>
          <w:szCs w:val="22"/>
        </w:rPr>
        <w:t>1998</w:t>
      </w:r>
      <w:r>
        <w:rPr>
          <w:rFonts w:cs="宋体" w:hint="eastAsia"/>
          <w:color w:val="333333"/>
          <w:sz w:val="22"/>
          <w:szCs w:val="22"/>
        </w:rPr>
        <w:t>年</w:t>
      </w:r>
      <w:r>
        <w:rPr>
          <w:color w:val="333333"/>
          <w:sz w:val="22"/>
          <w:szCs w:val="22"/>
        </w:rPr>
        <w:t>12</w:t>
      </w:r>
      <w:r>
        <w:rPr>
          <w:rFonts w:cs="宋体" w:hint="eastAsia"/>
          <w:color w:val="333333"/>
          <w:sz w:val="22"/>
          <w:szCs w:val="22"/>
        </w:rPr>
        <w:t>月</w:t>
      </w:r>
      <w:r>
        <w:rPr>
          <w:color w:val="333333"/>
          <w:sz w:val="22"/>
          <w:szCs w:val="22"/>
        </w:rPr>
        <w:t>27</w:t>
      </w:r>
      <w:r>
        <w:rPr>
          <w:rFonts w:cs="宋体" w:hint="eastAsia"/>
          <w:color w:val="333333"/>
          <w:sz w:val="22"/>
          <w:szCs w:val="22"/>
        </w:rPr>
        <w:t>日国务院令第</w:t>
      </w:r>
      <w:r>
        <w:rPr>
          <w:color w:val="333333"/>
          <w:sz w:val="22"/>
          <w:szCs w:val="22"/>
        </w:rPr>
        <w:t>256</w:t>
      </w:r>
      <w:r>
        <w:rPr>
          <w:rFonts w:cs="宋体" w:hint="eastAsia"/>
          <w:color w:val="333333"/>
          <w:sz w:val="22"/>
          <w:szCs w:val="22"/>
        </w:rPr>
        <w:t>号发布根据</w:t>
      </w:r>
      <w:r>
        <w:rPr>
          <w:color w:val="333333"/>
          <w:sz w:val="22"/>
          <w:szCs w:val="22"/>
        </w:rPr>
        <w:t>2011</w:t>
      </w:r>
      <w:r>
        <w:rPr>
          <w:rFonts w:cs="宋体" w:hint="eastAsia"/>
          <w:color w:val="333333"/>
          <w:sz w:val="22"/>
          <w:szCs w:val="22"/>
        </w:rPr>
        <w:t>年</w:t>
      </w:r>
      <w:r>
        <w:rPr>
          <w:color w:val="333333"/>
          <w:sz w:val="22"/>
          <w:szCs w:val="22"/>
        </w:rPr>
        <w:t>01</w:t>
      </w:r>
      <w:r>
        <w:rPr>
          <w:rFonts w:cs="宋体" w:hint="eastAsia"/>
          <w:color w:val="333333"/>
          <w:sz w:val="22"/>
          <w:szCs w:val="22"/>
        </w:rPr>
        <w:t>月</w:t>
      </w:r>
      <w:r>
        <w:rPr>
          <w:color w:val="333333"/>
          <w:sz w:val="22"/>
          <w:szCs w:val="22"/>
        </w:rPr>
        <w:t>08</w:t>
      </w:r>
      <w:r>
        <w:rPr>
          <w:rFonts w:cs="宋体" w:hint="eastAsia"/>
          <w:color w:val="333333"/>
          <w:sz w:val="22"/>
          <w:szCs w:val="22"/>
        </w:rPr>
        <w:t>日《国务院关于废止和修改部分行政法规的决定》第一次修订根据</w:t>
      </w:r>
      <w:r>
        <w:rPr>
          <w:color w:val="333333"/>
          <w:sz w:val="22"/>
          <w:szCs w:val="22"/>
        </w:rPr>
        <w:t>2014</w:t>
      </w:r>
      <w:r>
        <w:rPr>
          <w:rFonts w:cs="宋体" w:hint="eastAsia"/>
          <w:color w:val="333333"/>
          <w:sz w:val="22"/>
          <w:szCs w:val="22"/>
        </w:rPr>
        <w:t>年</w:t>
      </w:r>
      <w:r>
        <w:rPr>
          <w:color w:val="333333"/>
          <w:sz w:val="22"/>
          <w:szCs w:val="22"/>
        </w:rPr>
        <w:t>07</w:t>
      </w:r>
      <w:r>
        <w:rPr>
          <w:rFonts w:cs="宋体" w:hint="eastAsia"/>
          <w:color w:val="333333"/>
          <w:sz w:val="22"/>
          <w:szCs w:val="22"/>
        </w:rPr>
        <w:t>月</w:t>
      </w:r>
      <w:r>
        <w:rPr>
          <w:color w:val="333333"/>
          <w:sz w:val="22"/>
          <w:szCs w:val="22"/>
        </w:rPr>
        <w:t>29</w:t>
      </w:r>
      <w:r>
        <w:rPr>
          <w:rFonts w:cs="宋体" w:hint="eastAsia"/>
          <w:color w:val="333333"/>
          <w:sz w:val="22"/>
          <w:szCs w:val="22"/>
        </w:rPr>
        <w:t>日《国务院关于修改部分行政法规的决定》第二次修订）</w:t>
      </w:r>
    </w:p>
    <w:p w:rsidR="00A32067" w:rsidRDefault="00A32067" w:rsidP="005431C7">
      <w:pPr>
        <w:shd w:val="clear" w:color="auto" w:fill="FFFFFF"/>
        <w:spacing w:line="360" w:lineRule="auto"/>
        <w:ind w:firstLineChars="200" w:firstLine="31680"/>
        <w:rPr>
          <w:color w:val="8A8A8A"/>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color w:val="333333"/>
          <w:sz w:val="36"/>
          <w:szCs w:val="36"/>
        </w:rPr>
      </w:pPr>
      <w:r>
        <w:rPr>
          <w:rFonts w:ascii="Times New Roman" w:hAnsi="Times New Roman" w:hint="eastAsia"/>
          <w:b/>
          <w:bCs/>
          <w:color w:val="333333"/>
          <w:sz w:val="36"/>
          <w:szCs w:val="36"/>
        </w:rPr>
        <w:t>目录</w:t>
      </w:r>
    </w:p>
    <w:p w:rsidR="00A32067" w:rsidRDefault="00A32067">
      <w:pPr>
        <w:shd w:val="clear" w:color="auto" w:fill="FFFFFF"/>
        <w:spacing w:before="150" w:line="480" w:lineRule="auto"/>
        <w:ind w:firstLine="480"/>
        <w:jc w:val="center"/>
        <w:rPr>
          <w:b/>
          <w:bCs/>
          <w:sz w:val="24"/>
          <w:szCs w:val="24"/>
        </w:rPr>
      </w:pPr>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0" w:anchor="div1000074741" w:history="1">
        <w:r>
          <w:rPr>
            <w:rFonts w:ascii="Times New Roman" w:hAnsi="Times New Roman" w:hint="eastAsia"/>
            <w:b/>
            <w:bCs/>
            <w:color w:val="333333"/>
          </w:rPr>
          <w:t>第一章总则</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1" w:anchor="div1000074743" w:history="1">
        <w:r>
          <w:rPr>
            <w:rFonts w:ascii="Times New Roman" w:hAnsi="Times New Roman" w:hint="eastAsia"/>
            <w:b/>
            <w:bCs/>
            <w:color w:val="333333"/>
          </w:rPr>
          <w:t>第二章土地的所有权和使用权</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2" w:anchor="div1000074750" w:history="1">
        <w:r>
          <w:rPr>
            <w:rFonts w:ascii="Times New Roman" w:hAnsi="Times New Roman" w:hint="eastAsia"/>
            <w:b/>
            <w:bCs/>
            <w:color w:val="333333"/>
          </w:rPr>
          <w:t>第三章土地利用总体规划</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3" w:anchor="div1000074759" w:history="1">
        <w:r>
          <w:rPr>
            <w:rFonts w:ascii="Times New Roman" w:hAnsi="Times New Roman" w:hint="eastAsia"/>
            <w:b/>
            <w:bCs/>
            <w:color w:val="333333"/>
          </w:rPr>
          <w:t>第四章耕地保护</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4" w:anchor="div1000074763" w:history="1">
        <w:r>
          <w:rPr>
            <w:rFonts w:ascii="Times New Roman" w:hAnsi="Times New Roman" w:hint="eastAsia"/>
            <w:b/>
            <w:bCs/>
            <w:color w:val="333333"/>
          </w:rPr>
          <w:t>第五章建设用地</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5" w:anchor="div1000074776" w:history="1">
        <w:r>
          <w:rPr>
            <w:rFonts w:ascii="Times New Roman" w:hAnsi="Times New Roman" w:hint="eastAsia"/>
            <w:b/>
            <w:bCs/>
            <w:color w:val="333333"/>
          </w:rPr>
          <w:t>第六章监督检查</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6" w:anchor="div1000074780" w:history="1">
        <w:r>
          <w:rPr>
            <w:rFonts w:ascii="Times New Roman" w:hAnsi="Times New Roman" w:hint="eastAsia"/>
            <w:b/>
            <w:bCs/>
            <w:color w:val="333333"/>
          </w:rPr>
          <w:t>第七章法律责任</w:t>
        </w:r>
      </w:hyperlink>
    </w:p>
    <w:p w:rsidR="00A32067" w:rsidRDefault="00A32067">
      <w:pPr>
        <w:pStyle w:val="NormalWeb"/>
        <w:shd w:val="clear" w:color="auto" w:fill="FFFFFF"/>
        <w:spacing w:before="0" w:beforeAutospacing="0" w:after="0" w:afterAutospacing="0" w:line="480" w:lineRule="auto"/>
        <w:rPr>
          <w:rFonts w:ascii="Times New Roman" w:hAnsi="Times New Roman" w:cs="Times New Roman"/>
          <w:b/>
          <w:bCs/>
          <w:color w:val="333333"/>
        </w:rPr>
      </w:pPr>
      <w:hyperlink r:id="rId47" w:anchor="div1000074793" w:history="1">
        <w:r>
          <w:rPr>
            <w:rFonts w:ascii="Times New Roman" w:hAnsi="Times New Roman" w:hint="eastAsia"/>
            <w:b/>
            <w:bCs/>
            <w:color w:val="333333"/>
          </w:rPr>
          <w:t>第八章附则</w:t>
        </w:r>
      </w:hyperlink>
    </w:p>
    <w:p w:rsidR="00A32067" w:rsidRDefault="00A32067" w:rsidP="005431C7">
      <w:pPr>
        <w:shd w:val="clear" w:color="auto" w:fill="FFFFFF"/>
        <w:spacing w:line="360" w:lineRule="auto"/>
        <w:ind w:firstLineChars="200" w:firstLine="31680"/>
        <w:rPr>
          <w:color w:val="8A8A8A"/>
          <w:sz w:val="24"/>
          <w:szCs w:val="24"/>
        </w:rPr>
      </w:pPr>
    </w:p>
    <w:p w:rsidR="00A32067" w:rsidRDefault="00A32067" w:rsidP="005431C7">
      <w:pPr>
        <w:shd w:val="clear" w:color="auto" w:fill="FFFFFF"/>
        <w:spacing w:line="360" w:lineRule="auto"/>
        <w:ind w:firstLineChars="200" w:firstLine="31680"/>
        <w:rPr>
          <w:color w:val="8A8A8A"/>
          <w:sz w:val="24"/>
          <w:szCs w:val="24"/>
        </w:rPr>
      </w:pPr>
    </w:p>
    <w:p w:rsidR="00A32067" w:rsidRDefault="00A32067" w:rsidP="005431C7">
      <w:pPr>
        <w:shd w:val="clear" w:color="auto" w:fill="FFFFFF"/>
        <w:spacing w:line="360" w:lineRule="auto"/>
        <w:ind w:firstLineChars="200" w:firstLine="31680"/>
        <w:rPr>
          <w:color w:val="8A8A8A"/>
          <w:sz w:val="24"/>
          <w:szCs w:val="24"/>
        </w:rPr>
      </w:pPr>
    </w:p>
    <w:p w:rsidR="00A32067" w:rsidRDefault="00A32067" w:rsidP="005431C7">
      <w:pPr>
        <w:shd w:val="clear" w:color="auto" w:fill="FFFFFF"/>
        <w:spacing w:line="360" w:lineRule="auto"/>
        <w:ind w:firstLineChars="200" w:firstLine="31680"/>
        <w:rPr>
          <w:color w:val="8A8A8A"/>
          <w:sz w:val="24"/>
          <w:szCs w:val="24"/>
        </w:rPr>
      </w:pPr>
    </w:p>
    <w:p w:rsidR="00A32067" w:rsidRDefault="00A32067">
      <w:pPr>
        <w:shd w:val="clear" w:color="auto" w:fill="FFFFFF"/>
        <w:spacing w:line="360" w:lineRule="auto"/>
        <w:rPr>
          <w:b/>
          <w:bCs/>
          <w:color w:val="333333"/>
          <w:sz w:val="24"/>
          <w:szCs w:val="24"/>
        </w:rPr>
      </w:pPr>
    </w:p>
    <w:p w:rsidR="00A32067" w:rsidRDefault="00A32067">
      <w:pPr>
        <w:shd w:val="clear" w:color="auto" w:fill="FFFFFF"/>
        <w:spacing w:line="360" w:lineRule="auto"/>
        <w:rPr>
          <w:b/>
          <w:bCs/>
          <w:color w:val="333333"/>
          <w:sz w:val="24"/>
          <w:szCs w:val="24"/>
        </w:rPr>
      </w:pPr>
    </w:p>
    <w:p w:rsidR="00A32067" w:rsidRDefault="00A32067">
      <w:pPr>
        <w:shd w:val="clear" w:color="auto" w:fill="FFFFFF"/>
        <w:spacing w:line="360" w:lineRule="auto"/>
        <w:rPr>
          <w:b/>
          <w:bCs/>
          <w:color w:val="333333"/>
          <w:sz w:val="24"/>
          <w:szCs w:val="24"/>
        </w:r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sectPr w:rsidR="00A32067">
          <w:pgSz w:w="11907" w:h="16840"/>
          <w:pgMar w:top="1134" w:right="1077" w:bottom="1134" w:left="1077" w:header="794" w:footer="567" w:gutter="284"/>
          <w:cols w:space="720"/>
          <w:docGrid w:linePitch="312"/>
        </w:sect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w:t>
      </w:r>
      <w:r>
        <w:rPr>
          <w:rFonts w:ascii="Times New Roman" w:hAnsi="Times New Roman" w:cs="Times New Roman"/>
          <w:b/>
          <w:bCs/>
          <w:color w:val="333333"/>
        </w:rPr>
        <w:t> </w:t>
      </w:r>
      <w:r>
        <w:rPr>
          <w:rFonts w:ascii="Times New Roman" w:hAnsi="Times New Roman" w:hint="eastAsia"/>
          <w:b/>
          <w:bCs/>
          <w:color w:val="333333"/>
        </w:rPr>
        <w:t>总则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hint="eastAsia"/>
          <w:color w:val="333333"/>
          <w:sz w:val="22"/>
          <w:szCs w:val="22"/>
        </w:rPr>
        <w:t>根据《中华人民共和国土地管理法》（以下简称《土地管理法》），制定本条例。</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w:t>
      </w:r>
      <w:r>
        <w:rPr>
          <w:rFonts w:ascii="Times New Roman" w:hAnsi="Times New Roman" w:cs="Times New Roman"/>
          <w:b/>
          <w:bCs/>
          <w:color w:val="333333"/>
        </w:rPr>
        <w:t> </w:t>
      </w:r>
      <w:r>
        <w:rPr>
          <w:rFonts w:ascii="Times New Roman" w:hAnsi="Times New Roman" w:hint="eastAsia"/>
          <w:b/>
          <w:bCs/>
          <w:color w:val="333333"/>
        </w:rPr>
        <w:t>土地的所有权和使用权</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hint="eastAsia"/>
          <w:color w:val="333333"/>
          <w:sz w:val="22"/>
          <w:szCs w:val="22"/>
        </w:rPr>
        <w:t>下列土地属于全民所有即国家所有：</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（一）城市市区的土地；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（二）农村和城市郊区中已经依法没收、征收、征购为国有的土地；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（三）国家依法征收的土地；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（四）依法不属于集体所有的林地、草地、荒地、滩涂及其他土地；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（五）农村集体经济组织全部成员转为城镇居民的，原属于其成员集体所有的土地；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（六）因国家组织移民、自然灾害等原因，农民成建制地集体迁移后不再使用的原属于迁移农民集体所有的土地。</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第三条</w:t>
      </w:r>
      <w:r>
        <w:rPr>
          <w:rFonts w:ascii="Times New Roman" w:hAnsi="Times New Roman" w:hint="eastAsia"/>
          <w:color w:val="333333"/>
          <w:sz w:val="22"/>
          <w:szCs w:val="22"/>
        </w:rPr>
        <w:t>国家依法实行土地登记发证制度。依法登记的土地所有权和土地使用权受法律保护，任何单位和个人不得侵犯。</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土地登记内容和土地权属证书式样由国务院土地行政主管部门统一规定。</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土地登记资料可以公开查询。</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确认林地、草原的所有权或者使用权，确认水面、滩涂的养殖使用权，分别依照《森林法》、《草原法》和《渔业法》的有关规定办理。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第四条</w:t>
      </w:r>
      <w:r>
        <w:rPr>
          <w:rFonts w:ascii="Times New Roman" w:hAnsi="Times New Roman" w:hint="eastAsia"/>
          <w:color w:val="333333"/>
          <w:sz w:val="22"/>
          <w:szCs w:val="22"/>
        </w:rPr>
        <w:t>农民集体所有的土地，由土地所有者向土地所在地的县级人民政府土地行政主管部门提出土地登记申请，由县级人民政府登记造册，核发集体土地所有权证书，确认所有权。</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农民集体所有的土地依法用于非农业建设的，由土地使用者向土地所在地的县级人民政府土地行政主管部门提出土地登记申请，由县级人民政府登记造册，核发集体土地使用权证书，确认建设用地使用权。</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设区的市人民政府可以对市辖区内农民集体所有的土地实行统一登记。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第五条</w:t>
      </w:r>
      <w:r>
        <w:rPr>
          <w:rFonts w:ascii="Times New Roman" w:hAnsi="Times New Roman" w:hint="eastAsia"/>
          <w:color w:val="333333"/>
          <w:sz w:val="22"/>
          <w:szCs w:val="22"/>
        </w:rPr>
        <w:t>单位和个人依法使用的国有土地，由土地使用者向土地所在地的县级以上人民政府土地行政主管部门提出土地登记申请，由县级以上人民政府登记造册，核发国有土地使用权证书，确认使用权。其中，中央国家机关使用的国有土地的登记发证，由国务院土地行政主管部门负责，具体登记发证办法由国务院土地行政主管部门会同国务院机关事务管理局等有关部门制定。</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未确定使用权的国有土地，由县级以上人民政府登记造册，负责保护管理。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第六条</w:t>
      </w:r>
      <w:r>
        <w:rPr>
          <w:rFonts w:ascii="Times New Roman" w:hAnsi="Times New Roman" w:hint="eastAsia"/>
          <w:color w:val="333333"/>
          <w:sz w:val="22"/>
          <w:szCs w:val="22"/>
        </w:rPr>
        <w:t>依法改变土地所有权、使用权的，因依法转让地上建筑物、构筑物等附着物导致土地使用权转移的，必须向土地所在地的县级以上人民政府土地行政主管部门提出土地变更登记申请，由原土地登记机关依法进行土地所有权、使用权变更登记。土地所有权、使用权的变更，自变更登记之日起生效。</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依法改变土地用途的，必须持批准文件，向土地所在地的县级以上人民政府土地行政主管部门提出土地变更登记申请，由原土地登记机关依法进行变更登记。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hint="eastAsia"/>
          <w:color w:val="333333"/>
          <w:sz w:val="22"/>
          <w:szCs w:val="22"/>
        </w:rPr>
        <w:t>依照《土地管理法》的有关规定，收回用地单位的土地使用权的，由原土地登记机关注销土地登记。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土地使用权有偿使用合同约定的使用期限届满，土地使用者未申请续期或者虽申请续期未获批准的，由原土地登记机关注销土地登记。</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w:t>
      </w:r>
      <w:r>
        <w:rPr>
          <w:rFonts w:ascii="Times New Roman" w:hAnsi="Times New Roman" w:cs="Times New Roman"/>
          <w:b/>
          <w:bCs/>
          <w:color w:val="333333"/>
        </w:rPr>
        <w:t> </w:t>
      </w:r>
      <w:r>
        <w:rPr>
          <w:rFonts w:ascii="Times New Roman" w:hAnsi="Times New Roman" w:hint="eastAsia"/>
          <w:b/>
          <w:bCs/>
          <w:color w:val="333333"/>
        </w:rPr>
        <w:t>土地利用总体规划</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第八条</w:t>
      </w:r>
      <w:r>
        <w:rPr>
          <w:rFonts w:ascii="Times New Roman" w:hAnsi="Times New Roman" w:hint="eastAsia"/>
          <w:color w:val="333333"/>
          <w:sz w:val="22"/>
          <w:szCs w:val="22"/>
        </w:rPr>
        <w:t>全国土地利用总体规划，由国务院土地行政主管部门会同国务院有关部门编制，报国务院批准。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省、自治区、直辖市的土地利用总体规划，由省、自治区、直辖市人民政府组织本级土地行政主管部门和其他有关部门编制，报国务院批准。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省、自治区人民政府所在地的市、人口在</w:t>
      </w:r>
      <w:r>
        <w:rPr>
          <w:rFonts w:ascii="Times New Roman" w:hAnsi="Times New Roman" w:cs="Times New Roman"/>
          <w:color w:val="333333"/>
          <w:sz w:val="22"/>
          <w:szCs w:val="22"/>
        </w:rPr>
        <w:t>100</w:t>
      </w:r>
      <w:r>
        <w:rPr>
          <w:rFonts w:ascii="Times New Roman" w:hAnsi="Times New Roman" w:hint="eastAsia"/>
          <w:color w:val="333333"/>
          <w:sz w:val="22"/>
          <w:szCs w:val="22"/>
        </w:rPr>
        <w:t>万以上的城市以及国务院指定的城市的土地利用总体规划，由各该市人民政府组织本级土地行政主管部门和其他有关部门编制，经省、自治区人民政府审查同意后，报国务院批准。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本条第一款、第二款、第三款规定以外的土地利用总体规划，由有关人民政府组织本级土地行政主管部门和其他有关部门编制，逐级上报省、自治区、直辖市人民政府批准；其中，乡（镇）土地利用总体规划，由乡（镇）人民政府编制，逐级上报省、自治区、直辖市人民政府或者省、自治区、直辖市人民政府授权的设区的市、自治州人民政府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第九条</w:t>
      </w:r>
      <w:r>
        <w:rPr>
          <w:rFonts w:ascii="Times New Roman" w:hAnsi="Times New Roman" w:hint="eastAsia"/>
          <w:color w:val="333333"/>
          <w:sz w:val="22"/>
          <w:szCs w:val="22"/>
        </w:rPr>
        <w:t>土地利用总体规划的规划期限一般为</w:t>
      </w:r>
      <w:r>
        <w:rPr>
          <w:rFonts w:ascii="Times New Roman" w:hAnsi="Times New Roman" w:cs="Times New Roman"/>
          <w:color w:val="333333"/>
          <w:sz w:val="22"/>
          <w:szCs w:val="22"/>
        </w:rPr>
        <w:t>15</w:t>
      </w:r>
      <w:r>
        <w:rPr>
          <w:rFonts w:ascii="Times New Roman" w:hAnsi="Times New Roman" w:hint="eastAsia"/>
          <w:color w:val="333333"/>
          <w:sz w:val="22"/>
          <w:szCs w:val="22"/>
        </w:rPr>
        <w:t>年。</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第十条</w:t>
      </w:r>
      <w:r>
        <w:rPr>
          <w:rFonts w:ascii="Times New Roman" w:hAnsi="Times New Roman" w:hint="eastAsia"/>
          <w:color w:val="333333"/>
          <w:sz w:val="22"/>
          <w:szCs w:val="22"/>
        </w:rPr>
        <w:t>依照《土地管理法》规定，土地利用总体规划应当将土地划分为农用地、建设用地和未利用地。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县级和乡（镇）土地利用总体规划应当根据需要，划定基本农田保护区、土地开垦区、建设用地区和禁止开垦区等；其中，乡（镇）土地利用总体规划还应当根据土地使用条件，确定每一块土地的用途。</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土地分类和划定土地利用区的具体办法，由国务院土地行政主管部门会同国务院有关部门制定。</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第十一条</w:t>
      </w:r>
      <w:r>
        <w:rPr>
          <w:rFonts w:ascii="Times New Roman" w:hAnsi="Times New Roman" w:hint="eastAsia"/>
          <w:color w:val="333333"/>
          <w:sz w:val="22"/>
          <w:szCs w:val="22"/>
        </w:rPr>
        <w:t>乡（镇）土地利用总体规划经依法批准后，乡（镇）人民政府应当在本行政区域内予以公告。</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公告应当包括下列内容：</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（一）规划目标；</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（二）规划期限；</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（三）规划范围；</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（四）地块用途；</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（五）批准机关和批准日期。</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第十二条</w:t>
      </w:r>
      <w:r>
        <w:rPr>
          <w:rFonts w:ascii="Times New Roman" w:hAnsi="Times New Roman" w:hint="eastAsia"/>
          <w:color w:val="333333"/>
          <w:sz w:val="22"/>
          <w:szCs w:val="22"/>
        </w:rPr>
        <w:t>依照《土地管理法》第二十六条第二款、第三款规定修改土地利用总体规划的，由原编制机关根据国务院或者省、自治区、直辖市人民政府的批准文件修改。修改后的土地利用总体规划应当报原批准机关批准。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上一级土地利用总体规划修改后，涉及修改下一级土地利用总体规划的，由上一级人民政府通知下一级人民政府作出相应修改，并报原批准机关备案。</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第十三条</w:t>
      </w:r>
      <w:r>
        <w:rPr>
          <w:rFonts w:ascii="Times New Roman" w:hAnsi="Times New Roman" w:hint="eastAsia"/>
          <w:color w:val="333333"/>
          <w:sz w:val="22"/>
          <w:szCs w:val="22"/>
        </w:rPr>
        <w:t>各级人民政府应当加强土地利用年度计划管理，实行建设用地总量控制。土地利用年度计划一经批准下达，必须严格执行。</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土地利用年度计划应当包括下列内容：</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（一）农用地转用计划指标；</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（二）耕地保有量计划指标；</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（三）土地开发整理计划指标。</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第十四条</w:t>
      </w:r>
      <w:r>
        <w:rPr>
          <w:rFonts w:ascii="Times New Roman" w:hAnsi="Times New Roman" w:hint="eastAsia"/>
          <w:color w:val="333333"/>
          <w:sz w:val="22"/>
          <w:szCs w:val="22"/>
        </w:rPr>
        <w:t>县级以上人民政府土地行政主管部门应当会同同级有关部门进行土地调查。</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土地调查应当包括下列内容：</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（一）土地权属；</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（二）土地利用现状；</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（三）土地条件。</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地方土地利用现状调查结果，经本级人民政府审核，报上一级人民政府批准后，应当向社会公布；全国土地利用现状调查结果，报国务院批准后，应当向社会公布。土地调查规程，由国务院土地行政主管部门会同国务院有关部门制定。</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第十五条</w:t>
      </w:r>
      <w:r>
        <w:rPr>
          <w:rFonts w:ascii="Times New Roman" w:hAnsi="Times New Roman" w:hint="eastAsia"/>
          <w:color w:val="333333"/>
          <w:sz w:val="22"/>
          <w:szCs w:val="22"/>
        </w:rPr>
        <w:t>国务院土地行政主管部门会同国务院有关部门制定土地等级评定标准。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县级以上人民政府土地行政主管部门应当会同同级有关部门根据土地等级评定标准，对土地等级进行评定。地方土地等级评定结果，经本级人民政府审核，报上一级人民政府土地行政主管部门批准后，应当向社会公布。</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eastAsia="微软雅黑" w:hAnsi="Times New Roman" w:cs="Times New Roman"/>
          <w:color w:val="333333"/>
        </w:rPr>
      </w:pPr>
      <w:r>
        <w:rPr>
          <w:rFonts w:ascii="Times New Roman" w:hAnsi="Times New Roman" w:hint="eastAsia"/>
          <w:color w:val="333333"/>
          <w:sz w:val="22"/>
          <w:szCs w:val="22"/>
        </w:rPr>
        <w:t>根据国民经济和社会发展状况，土地等级每</w:t>
      </w:r>
      <w:r>
        <w:rPr>
          <w:rFonts w:ascii="Times New Roman" w:hAnsi="Times New Roman" w:cs="Times New Roman"/>
          <w:color w:val="333333"/>
          <w:sz w:val="22"/>
          <w:szCs w:val="22"/>
        </w:rPr>
        <w:t>6</w:t>
      </w:r>
      <w:r>
        <w:rPr>
          <w:rFonts w:ascii="Times New Roman" w:hAnsi="Times New Roman" w:hint="eastAsia"/>
          <w:color w:val="333333"/>
          <w:sz w:val="22"/>
          <w:szCs w:val="22"/>
        </w:rPr>
        <w:t>年调整</w:t>
      </w:r>
      <w:r>
        <w:rPr>
          <w:rFonts w:ascii="Times New Roman" w:hAnsi="Times New Roman" w:cs="Times New Roman"/>
          <w:color w:val="333333"/>
          <w:sz w:val="22"/>
          <w:szCs w:val="22"/>
        </w:rPr>
        <w:t>1</w:t>
      </w:r>
      <w:r>
        <w:rPr>
          <w:rFonts w:ascii="Times New Roman" w:hAnsi="Times New Roman" w:hint="eastAsia"/>
          <w:color w:val="333333"/>
          <w:sz w:val="22"/>
          <w:szCs w:val="22"/>
        </w:rPr>
        <w:t>次。</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w:t>
      </w:r>
      <w:r>
        <w:rPr>
          <w:rFonts w:ascii="Times New Roman" w:hAnsi="Times New Roman" w:cs="Times New Roman"/>
          <w:b/>
          <w:bCs/>
          <w:color w:val="333333"/>
        </w:rPr>
        <w:t> </w:t>
      </w:r>
      <w:r>
        <w:rPr>
          <w:rFonts w:ascii="Times New Roman" w:hAnsi="Times New Roman" w:hint="eastAsia"/>
          <w:b/>
          <w:bCs/>
          <w:color w:val="333333"/>
        </w:rPr>
        <w:t>耕地保护</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第十六条</w:t>
      </w:r>
      <w:r>
        <w:rPr>
          <w:rFonts w:ascii="Times New Roman" w:hAnsi="Times New Roman" w:hint="eastAsia"/>
          <w:color w:val="333333"/>
          <w:sz w:val="22"/>
          <w:szCs w:val="22"/>
        </w:rPr>
        <w:t>在土地利用总体规划确定的城市和村庄、集镇建设用地范围内，为实施城市规划和村庄、集镇规划占用耕地，以及在土地利用总体规划确定的城市建设用地范围外的能源、交通、水利、矿山、军事设施等建设项目占用耕地的，分别由市、县人民政府、农村集体经济组织和建设单位依照《土地管理法》第三十一条的规定负责开垦耕地；没有条件开垦或者开垦的耕地不符合要求的，应当按照省、自治区、直辖市的规定缴纳耕地开垦费。</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第十七条</w:t>
      </w:r>
      <w:r>
        <w:rPr>
          <w:rFonts w:ascii="Times New Roman" w:hAnsi="Times New Roman" w:hint="eastAsia"/>
          <w:color w:val="333333"/>
          <w:sz w:val="22"/>
          <w:szCs w:val="22"/>
        </w:rPr>
        <w:t>禁止单位和个人在土地利用总体规划确定的禁止开垦区内从事土地开发活动。</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在土地利用总体规划确定的土地开垦区内，开发未确定土地使用权的国有荒山、荒地、荒滩从事种植业、林业、畜牧业、渔业生产的，应当向土地所在地的县级以上地方人民政府土地行政主管部门提出申请，按照省、自治区、直辖市规定的权限，由县级以上地方人民政府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开发未确定土地使用权的国有荒山、荒地、荒滩从事种植业、林业、畜牧业或者渔业生产的，经县级以上地方人民政府依法批准，可以确定给开发单位或者个人长期使用，使用期限最长不得超过</w:t>
      </w:r>
      <w:r>
        <w:rPr>
          <w:rFonts w:ascii="Times New Roman" w:hAnsi="Times New Roman" w:cs="Times New Roman"/>
          <w:color w:val="333333"/>
          <w:sz w:val="22"/>
          <w:szCs w:val="22"/>
        </w:rPr>
        <w:t>50</w:t>
      </w:r>
      <w:r>
        <w:rPr>
          <w:rFonts w:ascii="Times New Roman" w:hAnsi="Times New Roman" w:hint="eastAsia"/>
          <w:color w:val="333333"/>
          <w:sz w:val="22"/>
          <w:szCs w:val="22"/>
        </w:rPr>
        <w:t>年。</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第十八条</w:t>
      </w:r>
      <w:r>
        <w:rPr>
          <w:rFonts w:ascii="Times New Roman" w:hAnsi="Times New Roman" w:hint="eastAsia"/>
          <w:color w:val="333333"/>
          <w:sz w:val="22"/>
          <w:szCs w:val="22"/>
        </w:rPr>
        <w:t>县、乡（镇）人民政府应当按照土地利用总体规划，组织农村集体经济组织制定土地整理方案，并组织实施。</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地方各级人民政府应当采取措施，按照土地利用总体规划推进土地整理。土地整理新增耕地面积的百分之六十可以用作折抵建设占用耕地的补偿指标。</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土地整理所需费用，按照谁受益谁负担的原则，由农村集体经济组织和土地使用者共同承担。</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w:t>
      </w:r>
      <w:r>
        <w:rPr>
          <w:rFonts w:ascii="Times New Roman" w:hAnsi="Times New Roman" w:cs="Times New Roman"/>
          <w:b/>
          <w:bCs/>
          <w:color w:val="333333"/>
        </w:rPr>
        <w:t> </w:t>
      </w:r>
      <w:r>
        <w:rPr>
          <w:rFonts w:ascii="Times New Roman" w:hAnsi="Times New Roman" w:hint="eastAsia"/>
          <w:b/>
          <w:bCs/>
          <w:color w:val="333333"/>
        </w:rPr>
        <w:t>建设用地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第十九条</w:t>
      </w:r>
      <w:r>
        <w:rPr>
          <w:rFonts w:ascii="Times New Roman" w:hAnsi="Times New Roman" w:hint="eastAsia"/>
          <w:color w:val="333333"/>
          <w:sz w:val="22"/>
          <w:szCs w:val="22"/>
        </w:rPr>
        <w:t>建设占用土地，涉及农用地转为建设用地的，应当符合土地利用总体规划和土地利用年度计划中确定的农用地转用指标；城市和村庄、集镇建设占用土地，涉及农用地转用的，还应当符合城市规划和村庄、集镇规划。不符合规定的，不得批准农用地转为建设用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第二十条</w:t>
      </w:r>
      <w:r>
        <w:rPr>
          <w:rFonts w:ascii="Times New Roman" w:hAnsi="Times New Roman" w:hint="eastAsia"/>
          <w:color w:val="333333"/>
          <w:sz w:val="22"/>
          <w:szCs w:val="22"/>
        </w:rPr>
        <w:t>在土地利用总体规划确定的城市建设用地范围内，为实施城市规划占用土地的，按照下列规定办理：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（一）市、县人民政府按照土地利用年度计划拟订农用地转用方案、补充耕地方案、征收土地方案，分批次逐级上报有批准权的人民政府。</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有批准权的人民政府土地行政主管部门对农用地转用方案、补充耕地方案、征收土地方案进行审查，提出审查意见，报有批准权的人民政府批准；其中，补充耕地方案由批准农用地转用方案的人民政府在批准农用地转用方案时一并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（三）农用地转用方案、补充耕地方案、征收土地方案经批准后，由市、县人民政府组织实施，按具体建设项目分别供地。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在土地利用总体规划确定的村庄、集镇建设用地范围内，为实施村庄、集镇规划占用土地的，由市、县人民政府拟订农用地转用方案、补充耕地方案，依照前款规定的程序办理。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第二十一条</w:t>
      </w:r>
      <w:r>
        <w:rPr>
          <w:rFonts w:ascii="Times New Roman" w:hAnsi="Times New Roman" w:hint="eastAsia"/>
          <w:color w:val="333333"/>
          <w:sz w:val="22"/>
          <w:szCs w:val="22"/>
        </w:rPr>
        <w:t>具体建设项目需要使用土地的，建设单位应当根据建设项目的总体设计一次申请，办理建设用地审批手续；分期建设的项目，可以根据可行性研究报告确定的方案分期申请建设用地，分期办理建设用地有关审批手续。</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第二十二条</w:t>
      </w:r>
      <w:r>
        <w:rPr>
          <w:rFonts w:ascii="Times New Roman" w:hAnsi="Times New Roman" w:hint="eastAsia"/>
          <w:color w:val="333333"/>
          <w:sz w:val="22"/>
          <w:szCs w:val="22"/>
        </w:rPr>
        <w:t>具体建设项目需要占用土地利用总体规划确定的城市建设用地范围内的国有建设用地的，按照下列规定办理：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（一）建设项目可行性研究论证时，由土地行政主管部门对建设项目用地有关事项进行审查，提出建设项目用地预审报告；可行性研究报告报批时，必须附具土地行政主管部门出具的建设项目用地预审报告。</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建设单位持建设项目的有关批准文件，向市、县人民政府土地行政主管部门提出建设用地申请，由市、县人民政府土地行政主管部门审查，拟订供地方案，报市、县人民政府批准；需要上级人民政府批准的，应当报上级人民政府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供地方案经批准后，由市、县人民政府向建设单位颁发建设用地批准书。有偿使用国有土地的，由市、县人民政府土地行政主管部门与土地使用者签订国有土地有偿使用合同；划拨使用国有土地的，由市、县人民政府土地行政主管部门向土地使用者核发国有土地划拨决定书。</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（四）土地使用者应当依法申请土地登记。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通过招标、拍卖方式提供国有建设用地使用权的，由市、县人民政府土地行政主管部门会同有关部门拟订方案，报市、县人民政府批准后，由市、县人民政府土地行政主管部门组织实施，并与土地使用者签订土地有偿使用合同。土地使用者应当依法申请土地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第二十三条</w:t>
      </w:r>
      <w:r>
        <w:rPr>
          <w:rFonts w:ascii="Times New Roman" w:hAnsi="Times New Roman" w:hint="eastAsia"/>
          <w:color w:val="333333"/>
          <w:sz w:val="22"/>
          <w:szCs w:val="22"/>
        </w:rPr>
        <w:t>具体建设项目需要使用土地的，必须依法申请使用土地利用总体规划确定的城市建设用地范围内的国有建设用地。能源、交通、水利、矿山、军事设施等建设项目确需使用土地利用总体规划确定的城市建设用地范围外的土地，涉及农用地的，按照下列规定办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（一）建设项目可行性研究论证时，由土地行政主管部门对建设项目用地有关事项进行审查，提出建设项目用地预审报告；可行性研究报告报批时，必须附具土地行政主管部门出具的建设项目用地预审报告。</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建设单位持建设项目的有关批准文件，向市、县人民政府土地行政主管部门提出建设用地申请，由市、县人民政府土地行政主管部门审查，拟订农用地转用方案、补充耕地方案、征收土地方案和供地方案（涉及国有农用地的，不拟订征收土地方案），经市、县人民政府审核同意后，逐级上报有批准权的人民政府批准；其中，补充耕地方案由批准农用地转用方案的人民政府在批准农用地转用方案时一并批准；供地方案由批准征收土地的人民政府在批准征收土地方案时一并批准（涉及国有农用地的，供地方案由批准农用地转用的人民政府在批准农用地转用方案时一并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农用地转用方案、补充耕地方案、征收土地方案和供地方案经批准后，由市、县人民政府组织实施，向建设单位颁发建设用地批准书。有偿使用国有土地的，由市、县人民政府土地行政主管部门与土地使用者签订国有土地有偿使用合同；划拨使用国有土地的，由市、县人民政府土地行政主管部门向土地使用者核发国有土地划拨决定书。</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（四）土地使用者应当依法申请土地登记。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建设项目确需使用土地利用总体规划确定的城市建设用地范围外的土地，涉及农民集体所有的未利用地的，只报批征收土地方案和供地方案。</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第二十四条</w:t>
      </w:r>
      <w:r>
        <w:rPr>
          <w:rFonts w:ascii="Times New Roman" w:hAnsi="Times New Roman" w:hint="eastAsia"/>
          <w:color w:val="333333"/>
          <w:sz w:val="22"/>
          <w:szCs w:val="22"/>
        </w:rPr>
        <w:t>具体建设项目需要占用土地利用总体规划确定的国有未利用地的，按照省、自治区、直辖市的规定办理；但是，国家重点建设项目、军事设施和跨省、自治区、直辖市行政区域的建设项目以及国务院规定的其他建设项目用地，应当报国务院批准。</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第二十五条</w:t>
      </w:r>
      <w:r>
        <w:rPr>
          <w:rFonts w:ascii="Times New Roman" w:hAnsi="Times New Roman" w:hint="eastAsia"/>
          <w:color w:val="333333"/>
          <w:sz w:val="22"/>
          <w:szCs w:val="22"/>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被征收土地的所有权人、使用权人应当在公告规定的期限内，持土地权属证书到公告指定的人民政府土地行政主管部门办理征地补偿登记。</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市、县人民政府土地行政主管部门根据经批准的征收土地方案，会同有关部门拟订征地补偿、安置方案，在被征收土地所在地的乡（镇）、村予以公告，听取被征收土地的农村集体经济组织和农民的意见。征地补偿、安置方案报市、县人民政府批准后，由市、县人民政府土地行政主管部门组织实施。对补偿标准有争议的，由县级以上地方人民政府协调；协调不成的，由批准征收土地的人民政府裁决。征地补偿、安置争议不影响征收土地方案的实施。</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征收土地的各项费用应当自征地补偿、安置方案批准之日起３个月内全额支付。</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第二十六条</w:t>
      </w:r>
      <w:r>
        <w:rPr>
          <w:rFonts w:ascii="Times New Roman" w:hAnsi="Times New Roman" w:hint="eastAsia"/>
          <w:color w:val="333333"/>
          <w:sz w:val="22"/>
          <w:szCs w:val="22"/>
        </w:rPr>
        <w:t>土地补偿费归农村集体经济组织所有；地上附着物及青苗补偿费归地上附着物及青苗的所有者所有。</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征收土地的安置补助费必须专款专用，不得挪作他用。需要安置的人员由农村集体经济组织安置的，安置补助费支付给农村集体经济组织，由农村集体经济组织管理和使用；由其他单位安置的，安置补助费支付给安置单位；不需要统一安置的，安置补助费发放给被安置人员个人或者征得被安置人员同意后用于支付被安置人员的保险费用。</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市、县和乡（镇）人民政府应当加强对安置补助费使用情况的监督。</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第二十七条</w:t>
      </w:r>
      <w:r>
        <w:rPr>
          <w:rFonts w:ascii="Times New Roman" w:hAnsi="Times New Roman" w:hint="eastAsia"/>
          <w:color w:val="333333"/>
          <w:sz w:val="22"/>
          <w:szCs w:val="22"/>
        </w:rPr>
        <w:t>抢险救灾等急需使用土地的，可以先行使用土地。其中，属于临时用地的，灾后应当恢复原状并交还原土地使用者使用，不再办理用地审批手续；属于永久性建设用地的，建设单位应当在灾情结束后６个月内申请补办建设用地审批手续。</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第二十八条</w:t>
      </w:r>
      <w:r>
        <w:rPr>
          <w:rFonts w:ascii="Times New Roman" w:hAnsi="Times New Roman" w:hint="eastAsia"/>
          <w:color w:val="333333"/>
          <w:sz w:val="22"/>
          <w:szCs w:val="22"/>
        </w:rPr>
        <w:t>建设项目施工和地质勘查需要临时占用耕地的，土地使用者应当自临时用地期满之日起１年内恢复种植条件。</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第二十九</w:t>
      </w:r>
      <w:r>
        <w:rPr>
          <w:rFonts w:ascii="Times New Roman" w:hAnsi="Times New Roman" w:hint="eastAsia"/>
          <w:color w:val="333333"/>
          <w:sz w:val="22"/>
          <w:szCs w:val="22"/>
        </w:rPr>
        <w:t>条国有土地有偿使用的方式包括：</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（一）国有土地使用权出让；</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（二）国有土地租赁；</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（三）国有土地使用权作价出资或者入股。</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第三十条</w:t>
      </w:r>
      <w:r>
        <w:rPr>
          <w:rFonts w:ascii="Times New Roman" w:hAnsi="Times New Roman" w:hint="eastAsia"/>
          <w:color w:val="333333"/>
          <w:sz w:val="22"/>
          <w:szCs w:val="22"/>
        </w:rPr>
        <w:t>《土地管理法》第五十五条规定的新增建设用地的土地有偿使用费，是指国家在新增建设用地中应取得的平均土地纯收益。</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w:t>
      </w:r>
      <w:r>
        <w:rPr>
          <w:rFonts w:ascii="Times New Roman" w:hAnsi="Times New Roman" w:cs="Times New Roman"/>
          <w:b/>
          <w:bCs/>
          <w:color w:val="333333"/>
        </w:rPr>
        <w:t> </w:t>
      </w:r>
      <w:r>
        <w:rPr>
          <w:rFonts w:ascii="Times New Roman" w:hAnsi="Times New Roman" w:hint="eastAsia"/>
          <w:b/>
          <w:bCs/>
          <w:color w:val="333333"/>
        </w:rPr>
        <w:t>监督检查</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第三十一条</w:t>
      </w:r>
      <w:r>
        <w:rPr>
          <w:rFonts w:ascii="Times New Roman" w:hAnsi="Times New Roman" w:hint="eastAsia"/>
          <w:color w:val="333333"/>
          <w:sz w:val="22"/>
          <w:szCs w:val="22"/>
        </w:rPr>
        <w:t>土地管理监督检查人员应当经过培训，经考核合格后，方可从事土地管理监督检查工作。</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第三十二条</w:t>
      </w:r>
      <w:r>
        <w:rPr>
          <w:rFonts w:ascii="Times New Roman" w:hAnsi="Times New Roman" w:hint="eastAsia"/>
          <w:color w:val="333333"/>
          <w:sz w:val="22"/>
          <w:szCs w:val="22"/>
        </w:rPr>
        <w:t>土地行政主管部门履行监督检查职责，除采取《土地管理法》第六十七条规定的措施外，还可以采取下列措施：</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（一）询问违法案件的当事人、嫌疑人和证人；</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（二）进入被检查单位或者个人非法占用的土地现场进行拍照、摄像；</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（三）责令当事人停止正在进行的土地违法行为；</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（四）对涉嫌土地违法的单位或者个人，停止办理有关土地审批、登记手续；</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（五）责令违法嫌疑人在调查期间不得变卖、转移与案件有关的财物。</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第三十三条</w:t>
      </w:r>
      <w:r>
        <w:rPr>
          <w:rFonts w:ascii="Times New Roman" w:hAnsi="Times New Roman" w:hint="eastAsia"/>
          <w:color w:val="333333"/>
          <w:sz w:val="22"/>
          <w:szCs w:val="22"/>
        </w:rPr>
        <w:t>依照《土地管理法》第七十二条规定给予行政处分的，由责令作出行政处罚决定或者直接给予行政处罚决定的上级人民政府土地行政主管部门作出。对于警告、记过、记大过的行政处分决定，上级土地行政主管部门可以直接作出；对于降级、撤职、开除的行政处分决定，上级土地行政主管部门应当按照国家有关人事管理权限和处理程序的规定，向有关机关提出行政处分建议，由有关机关依法处理。</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w:t>
      </w:r>
      <w:r>
        <w:rPr>
          <w:rFonts w:ascii="Times New Roman" w:hAnsi="Times New Roman" w:cs="Times New Roman"/>
          <w:b/>
          <w:bCs/>
          <w:color w:val="333333"/>
        </w:rPr>
        <w:t> </w:t>
      </w:r>
      <w:r>
        <w:rPr>
          <w:rFonts w:ascii="Times New Roman" w:hAnsi="Times New Roman" w:hint="eastAsia"/>
          <w:b/>
          <w:bCs/>
          <w:color w:val="333333"/>
        </w:rPr>
        <w:t>法律责任</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第三十四条</w:t>
      </w:r>
      <w:r>
        <w:rPr>
          <w:rFonts w:ascii="Times New Roman" w:hAnsi="Times New Roman" w:hint="eastAsia"/>
          <w:color w:val="333333"/>
          <w:sz w:val="22"/>
          <w:szCs w:val="22"/>
        </w:rPr>
        <w:t>违反本条例第十七条的规定，在土地利用总体规划确定的禁止开垦区内进行开垦的，由县级以上人民政府土地行政主管部门责令限期改正；逾期不改正的，依照《土地管理法》第七十六条的规定处罚。</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第三十五条</w:t>
      </w:r>
      <w:r>
        <w:rPr>
          <w:rFonts w:ascii="Times New Roman" w:hAnsi="Times New Roman" w:hint="eastAsia"/>
          <w:color w:val="333333"/>
          <w:sz w:val="22"/>
          <w:szCs w:val="22"/>
        </w:rPr>
        <w:t>在临时使用的土地上修建永久性建筑物、构筑物的，由县级以上人民政府土地行政主管部门责令限期拆除；逾期不拆除的，由作出处罚决定的机关依法申请人民法院强制执行。</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第三十六条</w:t>
      </w:r>
      <w:r>
        <w:rPr>
          <w:rFonts w:ascii="Times New Roman" w:hAnsi="Times New Roman" w:hint="eastAsia"/>
          <w:color w:val="333333"/>
          <w:sz w:val="22"/>
          <w:szCs w:val="22"/>
        </w:rPr>
        <w:t>对在土地利用总体规划制定前已建的不符合土地利用总体规划确定的用途的建筑物、构筑物重建、扩建的，由县级以上人民政府土地行政主管部门责令限期拆除；逾期不拆除的，由作出处罚决定的机关依法申请人民法院强制执行。</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第三十七条</w:t>
      </w:r>
      <w:r>
        <w:rPr>
          <w:rFonts w:ascii="Times New Roman" w:hAnsi="Times New Roman" w:hint="eastAsia"/>
          <w:color w:val="333333"/>
          <w:sz w:val="22"/>
          <w:szCs w:val="22"/>
        </w:rPr>
        <w:t>阻碍土地行政主管部门的工作人员依法执行职务的，依法给予治安管理处罚或者追究刑事责任。</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第三十八条</w:t>
      </w:r>
      <w:r>
        <w:rPr>
          <w:rFonts w:ascii="Times New Roman" w:hAnsi="Times New Roman" w:hint="eastAsia"/>
          <w:color w:val="333333"/>
          <w:sz w:val="22"/>
          <w:szCs w:val="22"/>
        </w:rPr>
        <w:t>依照《土地管理法》第七十三条的规定处以罚款的，罚款额为非法所得的百分之五十以下。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第三十九条</w:t>
      </w:r>
      <w:r>
        <w:rPr>
          <w:rFonts w:ascii="Times New Roman" w:hAnsi="Times New Roman" w:hint="eastAsia"/>
          <w:color w:val="333333"/>
          <w:sz w:val="22"/>
          <w:szCs w:val="22"/>
        </w:rPr>
        <w:t>依照《土地管理法》第八十一条的规定处以罚款的，罚款额为非法所得的百分之五以上百分之二十以下。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第四十条</w:t>
      </w:r>
      <w:r>
        <w:rPr>
          <w:rFonts w:ascii="Times New Roman" w:hAnsi="Times New Roman" w:hint="eastAsia"/>
          <w:color w:val="333333"/>
          <w:sz w:val="22"/>
          <w:szCs w:val="22"/>
        </w:rPr>
        <w:t>依照《土地管理法》第七十四条的规定处以罚款的，罚款额为耕地开垦费的</w:t>
      </w:r>
      <w:r>
        <w:rPr>
          <w:rFonts w:ascii="Times New Roman" w:hAnsi="Times New Roman" w:cs="Times New Roman"/>
          <w:color w:val="333333"/>
          <w:sz w:val="22"/>
          <w:szCs w:val="22"/>
        </w:rPr>
        <w:t>2</w:t>
      </w:r>
      <w:r>
        <w:rPr>
          <w:rFonts w:ascii="Times New Roman" w:hAnsi="Times New Roman" w:hint="eastAsia"/>
          <w:color w:val="333333"/>
          <w:sz w:val="22"/>
          <w:szCs w:val="22"/>
        </w:rPr>
        <w:t>倍以下。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第四十一条</w:t>
      </w:r>
      <w:r>
        <w:rPr>
          <w:rFonts w:ascii="Times New Roman" w:hAnsi="Times New Roman" w:hint="eastAsia"/>
          <w:color w:val="333333"/>
          <w:sz w:val="22"/>
          <w:szCs w:val="22"/>
        </w:rPr>
        <w:t>依照《土地管理法》第七十五条的规定处以罚款的，罚款额为土地复垦费的２倍以下。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第四十二条</w:t>
      </w:r>
      <w:r>
        <w:rPr>
          <w:rFonts w:ascii="Times New Roman" w:hAnsi="Times New Roman" w:hint="eastAsia"/>
          <w:color w:val="333333"/>
          <w:sz w:val="22"/>
          <w:szCs w:val="22"/>
        </w:rPr>
        <w:t>依照《土地管理法》第七十六条的规定处以罚款的，罚款额为非法占用土地每平方米</w:t>
      </w:r>
      <w:r>
        <w:rPr>
          <w:rFonts w:ascii="Times New Roman" w:hAnsi="Times New Roman" w:cs="Times New Roman"/>
          <w:color w:val="333333"/>
          <w:sz w:val="22"/>
          <w:szCs w:val="22"/>
        </w:rPr>
        <w:t>30</w:t>
      </w:r>
      <w:r>
        <w:rPr>
          <w:rFonts w:ascii="Times New Roman" w:hAnsi="Times New Roman" w:hint="eastAsia"/>
          <w:color w:val="333333"/>
          <w:sz w:val="22"/>
          <w:szCs w:val="22"/>
        </w:rPr>
        <w:t>元以下。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第四十三条</w:t>
      </w:r>
      <w:r>
        <w:rPr>
          <w:rFonts w:ascii="Times New Roman" w:hAnsi="Times New Roman" w:hint="eastAsia"/>
          <w:color w:val="333333"/>
          <w:sz w:val="22"/>
          <w:szCs w:val="22"/>
        </w:rPr>
        <w:t>依照《土地管理法》第八十条的规定处以罚款的，罚款额为非法占用土地每平方米</w:t>
      </w:r>
      <w:r>
        <w:rPr>
          <w:rFonts w:ascii="Times New Roman" w:hAnsi="Times New Roman" w:cs="Times New Roman"/>
          <w:color w:val="333333"/>
          <w:sz w:val="22"/>
          <w:szCs w:val="22"/>
        </w:rPr>
        <w:t>10</w:t>
      </w:r>
      <w:r>
        <w:rPr>
          <w:rFonts w:ascii="Times New Roman" w:hAnsi="Times New Roman" w:hint="eastAsia"/>
          <w:color w:val="333333"/>
          <w:sz w:val="22"/>
          <w:szCs w:val="22"/>
        </w:rPr>
        <w:t>元以上</w:t>
      </w:r>
      <w:r>
        <w:rPr>
          <w:rFonts w:ascii="Times New Roman" w:hAnsi="Times New Roman" w:cs="Times New Roman"/>
          <w:color w:val="333333"/>
          <w:sz w:val="22"/>
          <w:szCs w:val="22"/>
        </w:rPr>
        <w:t>30</w:t>
      </w:r>
      <w:r>
        <w:rPr>
          <w:rFonts w:ascii="Times New Roman" w:hAnsi="Times New Roman" w:hint="eastAsia"/>
          <w:color w:val="333333"/>
          <w:sz w:val="22"/>
          <w:szCs w:val="22"/>
        </w:rPr>
        <w:t>元以下。</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第四十四条</w:t>
      </w:r>
      <w:r>
        <w:rPr>
          <w:rFonts w:ascii="Times New Roman" w:hAnsi="Times New Roman" w:hint="eastAsia"/>
          <w:color w:val="333333"/>
          <w:sz w:val="22"/>
          <w:szCs w:val="22"/>
        </w:rPr>
        <w:t>违反本条例第二十八条的规定，逾期不恢复种植条件的，由县级以上人民政府土地行政主管部门责令限期改正，可以处耕地复垦费</w:t>
      </w:r>
      <w:r>
        <w:rPr>
          <w:rFonts w:ascii="Times New Roman" w:hAnsi="Times New Roman" w:cs="Times New Roman"/>
          <w:color w:val="333333"/>
          <w:sz w:val="22"/>
          <w:szCs w:val="22"/>
        </w:rPr>
        <w:t>2</w:t>
      </w:r>
      <w:r>
        <w:rPr>
          <w:rFonts w:ascii="Times New Roman" w:hAnsi="Times New Roman" w:hint="eastAsia"/>
          <w:color w:val="333333"/>
          <w:sz w:val="22"/>
          <w:szCs w:val="22"/>
        </w:rPr>
        <w:t>倍以下的罚款。</w:t>
      </w:r>
    </w:p>
    <w:p w:rsidR="00A32067" w:rsidRDefault="00A32067" w:rsidP="005431C7">
      <w:pPr>
        <w:pStyle w:val="NormalWeb"/>
        <w:shd w:val="clear" w:color="auto" w:fill="FFFFFF"/>
        <w:spacing w:beforeLines="10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第四十五条</w:t>
      </w:r>
      <w:r>
        <w:rPr>
          <w:rFonts w:ascii="Times New Roman" w:hAnsi="Times New Roman" w:hint="eastAsia"/>
          <w:color w:val="333333"/>
          <w:sz w:val="22"/>
          <w:szCs w:val="22"/>
        </w:rPr>
        <w:t>违反土地管理法律、法规规定，阻挠国家建设征收土地的，由县级以上人民政府土地行政主管部门责令交出土地；拒不交出土地的，申请人民法院强制执行。</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w:t>
      </w:r>
      <w:r>
        <w:rPr>
          <w:rFonts w:ascii="Times New Roman" w:hAnsi="Times New Roman" w:cs="Times New Roman"/>
          <w:b/>
          <w:bCs/>
          <w:color w:val="333333"/>
        </w:rPr>
        <w:t> </w:t>
      </w:r>
      <w:r>
        <w:rPr>
          <w:rFonts w:ascii="Times New Roman" w:hAnsi="Times New Roman" w:hint="eastAsia"/>
          <w:b/>
          <w:bCs/>
          <w:color w:val="333333"/>
        </w:rPr>
        <w:t>附则</w:t>
      </w:r>
    </w:p>
    <w:p w:rsidR="00A32067" w:rsidRDefault="00A32067" w:rsidP="005431C7">
      <w:pPr>
        <w:pStyle w:val="NormalWeb"/>
        <w:shd w:val="clear" w:color="auto" w:fill="FFFFFF"/>
        <w:spacing w:beforeLines="50" w:beforeAutospacing="0" w:afterLines="10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第四十六条</w:t>
      </w:r>
      <w:r>
        <w:rPr>
          <w:rFonts w:ascii="Times New Roman" w:hAnsi="Times New Roman" w:hint="eastAsia"/>
          <w:color w:val="333333"/>
          <w:sz w:val="22"/>
          <w:szCs w:val="22"/>
        </w:rPr>
        <w:t>本条例自</w:t>
      </w:r>
      <w:r>
        <w:rPr>
          <w:rFonts w:ascii="Times New Roman" w:hAnsi="Times New Roman" w:cs="Times New Roman"/>
          <w:color w:val="333333"/>
          <w:sz w:val="22"/>
          <w:szCs w:val="22"/>
        </w:rPr>
        <w:t>1999</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r>
        <w:rPr>
          <w:rFonts w:ascii="Times New Roman" w:hAnsi="Times New Roman" w:cs="Times New Roman"/>
          <w:color w:val="333333"/>
          <w:sz w:val="22"/>
          <w:szCs w:val="22"/>
        </w:rPr>
        <w:t>1991</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4</w:t>
      </w:r>
      <w:r>
        <w:rPr>
          <w:rFonts w:ascii="Times New Roman" w:hAnsi="Times New Roman" w:hint="eastAsia"/>
          <w:color w:val="333333"/>
          <w:sz w:val="22"/>
          <w:szCs w:val="22"/>
        </w:rPr>
        <w:t>日国务院发布的《中华人民共和国土地管理法实施条例》同时废止。</w:t>
      </w:r>
    </w:p>
    <w:p w:rsidR="00A32067" w:rsidRDefault="00A32067">
      <w:pPr>
        <w:spacing w:line="360" w:lineRule="auto"/>
        <w:rPr>
          <w:sz w:val="24"/>
          <w:szCs w:val="24"/>
        </w:rPr>
      </w:pPr>
    </w:p>
    <w:p w:rsidR="00A32067" w:rsidRDefault="00A32067">
      <w:pPr>
        <w:spacing w:line="220" w:lineRule="atLeast"/>
      </w:pPr>
    </w:p>
    <w:p w:rsidR="00A32067" w:rsidRDefault="00A32067">
      <w:pPr>
        <w:spacing w:line="220" w:lineRule="atLeast"/>
      </w:pPr>
      <w:r>
        <w:br w:type="page"/>
      </w:r>
    </w:p>
    <w:p w:rsidR="00A32067" w:rsidRDefault="00A32067">
      <w:pPr>
        <w:shd w:val="clear" w:color="auto" w:fill="FFFFFF"/>
        <w:spacing w:line="360" w:lineRule="auto"/>
        <w:jc w:val="center"/>
        <w:outlineLvl w:val="2"/>
        <w:rPr>
          <w:b/>
          <w:bCs/>
          <w:color w:val="000000"/>
          <w:sz w:val="44"/>
          <w:szCs w:val="44"/>
        </w:rPr>
      </w:pPr>
      <w:bookmarkStart w:id="16" w:name="_Toc519872259"/>
      <w:r>
        <w:rPr>
          <w:rFonts w:cs="宋体" w:hint="eastAsia"/>
          <w:b/>
          <w:bCs/>
          <w:color w:val="000000"/>
          <w:sz w:val="44"/>
          <w:szCs w:val="44"/>
        </w:rPr>
        <w:t>建设项目用地预审管理办法</w:t>
      </w:r>
      <w:r>
        <w:rPr>
          <w:b/>
          <w:bCs/>
          <w:color w:val="000000"/>
          <w:sz w:val="44"/>
          <w:szCs w:val="44"/>
        </w:rPr>
        <w:br/>
      </w:r>
      <w:r>
        <w:rPr>
          <w:rFonts w:cs="宋体" w:hint="eastAsia"/>
          <w:color w:val="000000"/>
          <w:sz w:val="22"/>
          <w:szCs w:val="22"/>
        </w:rPr>
        <w:t>中华人民共和国国土资源部令第</w:t>
      </w:r>
      <w:r>
        <w:rPr>
          <w:color w:val="000000"/>
          <w:sz w:val="22"/>
          <w:szCs w:val="22"/>
        </w:rPr>
        <w:t>68</w:t>
      </w:r>
      <w:r>
        <w:rPr>
          <w:rFonts w:cs="宋体" w:hint="eastAsia"/>
          <w:color w:val="000000"/>
          <w:sz w:val="22"/>
          <w:szCs w:val="22"/>
        </w:rPr>
        <w:t>号</w:t>
      </w:r>
      <w:bookmarkEnd w:id="16"/>
    </w:p>
    <w:p w:rsidR="00A32067" w:rsidRDefault="00A32067" w:rsidP="005431C7">
      <w:pPr>
        <w:pStyle w:val="NormalWeb"/>
        <w:shd w:val="clear" w:color="auto" w:fill="FFFFFF"/>
        <w:spacing w:beforeLines="100" w:beforeAutospacing="0" w:afterLines="10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w:t>
      </w:r>
      <w:r>
        <w:rPr>
          <w:rFonts w:ascii="Times New Roman" w:hAnsi="Times New Roman" w:cs="Times New Roman"/>
          <w:color w:val="333333"/>
          <w:sz w:val="22"/>
          <w:szCs w:val="22"/>
        </w:rPr>
        <w:t>2001</w:t>
      </w:r>
      <w:r>
        <w:rPr>
          <w:rFonts w:ascii="Times New Roman" w:hAnsi="Times New Roman" w:hint="eastAsia"/>
          <w:color w:val="333333"/>
          <w:sz w:val="22"/>
          <w:szCs w:val="22"/>
        </w:rPr>
        <w:t>年</w:t>
      </w:r>
      <w:r>
        <w:rPr>
          <w:rFonts w:ascii="Times New Roman" w:hAnsi="Times New Roman" w:cs="Times New Roman"/>
          <w:color w:val="333333"/>
          <w:sz w:val="22"/>
          <w:szCs w:val="22"/>
        </w:rPr>
        <w:t>7</w:t>
      </w:r>
      <w:r>
        <w:rPr>
          <w:rFonts w:ascii="Times New Roman" w:hAnsi="Times New Roman" w:hint="eastAsia"/>
          <w:color w:val="333333"/>
          <w:sz w:val="22"/>
          <w:szCs w:val="22"/>
        </w:rPr>
        <w:t>月</w:t>
      </w:r>
      <w:r>
        <w:rPr>
          <w:rFonts w:ascii="Times New Roman" w:hAnsi="Times New Roman" w:cs="Times New Roman"/>
          <w:color w:val="333333"/>
          <w:sz w:val="22"/>
          <w:szCs w:val="22"/>
        </w:rPr>
        <w:t>25</w:t>
      </w:r>
      <w:r>
        <w:rPr>
          <w:rFonts w:ascii="Times New Roman" w:hAnsi="Times New Roman" w:hint="eastAsia"/>
          <w:color w:val="333333"/>
          <w:sz w:val="22"/>
          <w:szCs w:val="22"/>
        </w:rPr>
        <w:t>日中华人民共和国国土资源部令第</w:t>
      </w:r>
      <w:r>
        <w:rPr>
          <w:rFonts w:ascii="Times New Roman" w:hAnsi="Times New Roman" w:cs="Times New Roman"/>
          <w:color w:val="333333"/>
          <w:sz w:val="22"/>
          <w:szCs w:val="22"/>
        </w:rPr>
        <w:t>7</w:t>
      </w:r>
      <w:r>
        <w:rPr>
          <w:rFonts w:ascii="Times New Roman" w:hAnsi="Times New Roman" w:hint="eastAsia"/>
          <w:color w:val="333333"/>
          <w:sz w:val="22"/>
          <w:szCs w:val="22"/>
        </w:rPr>
        <w:t>号发布</w:t>
      </w:r>
      <w:r>
        <w:rPr>
          <w:rFonts w:ascii="Times New Roman" w:hAnsi="Times New Roman" w:cs="Times New Roman"/>
          <w:color w:val="333333"/>
          <w:sz w:val="22"/>
          <w:szCs w:val="22"/>
        </w:rPr>
        <w:t xml:space="preserve"> 2004</w:t>
      </w:r>
      <w:r>
        <w:rPr>
          <w:rFonts w:ascii="Times New Roman" w:hAnsi="Times New Roman" w:hint="eastAsia"/>
          <w:color w:val="333333"/>
          <w:sz w:val="22"/>
          <w:szCs w:val="22"/>
        </w:rPr>
        <w:t>年</w:t>
      </w:r>
      <w:r>
        <w:rPr>
          <w:rFonts w:ascii="Times New Roman" w:hAnsi="Times New Roman" w:cs="Times New Roman"/>
          <w:color w:val="333333"/>
          <w:sz w:val="22"/>
          <w:szCs w:val="22"/>
        </w:rPr>
        <w:t>10</w:t>
      </w:r>
      <w:r>
        <w:rPr>
          <w:rFonts w:ascii="Times New Roman" w:hAnsi="Times New Roman" w:hint="eastAsia"/>
          <w:color w:val="333333"/>
          <w:sz w:val="22"/>
          <w:szCs w:val="22"/>
        </w:rPr>
        <w:t>月</w:t>
      </w:r>
      <w:r>
        <w:rPr>
          <w:rFonts w:ascii="Times New Roman" w:hAnsi="Times New Roman" w:cs="Times New Roman"/>
          <w:color w:val="333333"/>
          <w:sz w:val="22"/>
          <w:szCs w:val="22"/>
        </w:rPr>
        <w:t>29</w:t>
      </w:r>
      <w:r>
        <w:rPr>
          <w:rFonts w:ascii="Times New Roman" w:hAnsi="Times New Roman" w:hint="eastAsia"/>
          <w:color w:val="333333"/>
          <w:sz w:val="22"/>
          <w:szCs w:val="22"/>
        </w:rPr>
        <w:t>日修订</w:t>
      </w:r>
      <w:r>
        <w:rPr>
          <w:rFonts w:ascii="Times New Roman" w:hAnsi="Times New Roman" w:cs="Times New Roman"/>
          <w:color w:val="333333"/>
          <w:sz w:val="22"/>
          <w:szCs w:val="22"/>
        </w:rPr>
        <w:t>2008</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12</w:t>
      </w:r>
      <w:r>
        <w:rPr>
          <w:rFonts w:ascii="Times New Roman" w:hAnsi="Times New Roman" w:hint="eastAsia"/>
          <w:color w:val="333333"/>
          <w:sz w:val="22"/>
          <w:szCs w:val="22"/>
        </w:rPr>
        <w:t>日第一次修正根据</w:t>
      </w:r>
      <w:r>
        <w:rPr>
          <w:rFonts w:ascii="Times New Roman" w:hAnsi="Times New Roman" w:cs="Times New Roman"/>
          <w:color w:val="333333"/>
          <w:sz w:val="22"/>
          <w:szCs w:val="22"/>
        </w:rPr>
        <w:t>2016</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25</w:t>
      </w:r>
      <w:r>
        <w:rPr>
          <w:rFonts w:ascii="Times New Roman" w:hAnsi="Times New Roman" w:hint="eastAsia"/>
          <w:color w:val="333333"/>
          <w:sz w:val="22"/>
          <w:szCs w:val="22"/>
        </w:rPr>
        <w:t>日《国土资源部关于修改</w:t>
      </w:r>
      <w:r>
        <w:rPr>
          <w:rFonts w:ascii="Times New Roman" w:hAnsi="Times New Roman" w:cs="Times New Roman"/>
          <w:color w:val="333333"/>
          <w:sz w:val="22"/>
          <w:szCs w:val="22"/>
        </w:rPr>
        <w:t>&lt;</w:t>
      </w:r>
      <w:r>
        <w:rPr>
          <w:rFonts w:ascii="Times New Roman" w:hAnsi="Times New Roman" w:hint="eastAsia"/>
          <w:color w:val="333333"/>
          <w:sz w:val="22"/>
          <w:szCs w:val="22"/>
        </w:rPr>
        <w:t>建设项目用地预审管理办法</w:t>
      </w:r>
      <w:r>
        <w:rPr>
          <w:rFonts w:ascii="Times New Roman" w:hAnsi="Times New Roman" w:cs="Times New Roman"/>
          <w:color w:val="333333"/>
          <w:sz w:val="22"/>
          <w:szCs w:val="22"/>
        </w:rPr>
        <w:t>&gt;</w:t>
      </w:r>
      <w:r>
        <w:rPr>
          <w:rFonts w:ascii="Times New Roman" w:hAnsi="Times New Roman" w:hint="eastAsia"/>
          <w:color w:val="333333"/>
          <w:sz w:val="22"/>
          <w:szCs w:val="22"/>
        </w:rPr>
        <w:t>的决定》第二次修正）</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hint="eastAsia"/>
          <w:color w:val="333333"/>
          <w:sz w:val="22"/>
          <w:szCs w:val="22"/>
        </w:rPr>
        <w:t>为保证土地利用总体规划的实施，充分发挥土地供应的宏观调控作用，控制建设用地总量，根据《中华人民共和国土地管理法》、《中华人民共和国土地管理法实施条例》和《国务院关于深化改革严格土地管理的决定》，制定本办法。</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hint="eastAsia"/>
          <w:color w:val="333333"/>
          <w:sz w:val="22"/>
          <w:szCs w:val="22"/>
        </w:rPr>
        <w:t>本办法所称建设项目用地预审，是指国土资源主管部门在建设项目审批、核准、备案阶段，依法对建设项目涉及的土地利用事项进行的审查。</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第三条</w:t>
      </w:r>
      <w:r>
        <w:rPr>
          <w:rFonts w:ascii="Times New Roman" w:hAnsi="Times New Roman" w:hint="eastAsia"/>
          <w:color w:val="333333"/>
          <w:sz w:val="22"/>
          <w:szCs w:val="22"/>
        </w:rPr>
        <w:t>预审应当遵循下列原则：</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（一）符合土地利用总体规划；</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（二）保护耕地，特别是基本农田；</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（三）合理和集约节约利用土地；</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（四）符合国家供地政策。</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第四条</w:t>
      </w:r>
      <w:r>
        <w:rPr>
          <w:rFonts w:ascii="Times New Roman" w:hAnsi="Times New Roman" w:hint="eastAsia"/>
          <w:color w:val="333333"/>
          <w:sz w:val="22"/>
          <w:szCs w:val="22"/>
        </w:rPr>
        <w:t>建设项目用地实行分级预审。</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需人民政府或有批准权的人民政府发展和改革等部门审批的建设项目，由该人民政府的国土资源主管部门预审。</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需核准和备案的建设项目，由与核准、备案机关同级的国土资源主管部门预审。</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第五条</w:t>
      </w:r>
      <w:r>
        <w:rPr>
          <w:rFonts w:ascii="Times New Roman" w:hAnsi="Times New Roman" w:hint="eastAsia"/>
          <w:color w:val="333333"/>
          <w:sz w:val="22"/>
          <w:szCs w:val="22"/>
        </w:rPr>
        <w:t>需审批的建设项目在可行性研究阶段，由建设用地单位提出预审申请。</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需核准的建设项目在项目申请报告核准前，由建设单位提出用地预审申请。</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需备案的建设项目在办理备案手续后，由建设单位提出用地预审申请。</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第六条</w:t>
      </w:r>
      <w:r>
        <w:rPr>
          <w:rFonts w:ascii="Times New Roman" w:hAnsi="Times New Roman" w:hint="eastAsia"/>
          <w:color w:val="333333"/>
          <w:sz w:val="22"/>
          <w:szCs w:val="22"/>
        </w:rPr>
        <w:t>依照本办法第四条规定应当由国土资源部预审的建设项目，国土资源部委托项目所在地的省级国土资源主管部门受理，但建设项目占用规划确定的城市建设用地范围内土地的，委托市级国土资源主管部门受理。受理后，提出初审意见，转报国土资源部。</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涉密军事项目和国务院批准的特殊建设项目用地，建设用地单位可直接向国土资源部提出预审申请。</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应当由国土资源部负责预审的输电线塔基、钻探井位、通讯基站等小面积零星分散建设项目用地，由省级国土资源主管部门预审，并报国土资源部备案。</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hint="eastAsia"/>
          <w:color w:val="333333"/>
          <w:sz w:val="22"/>
          <w:szCs w:val="22"/>
        </w:rPr>
        <w:t>申请用地预审的项目建设单位，应当提交下列材料：</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（一）建设项目用地预审申请表；</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（二）建设项目用地预审申请报告，内容包括拟建项目的基本情况、拟选址占地情况、拟用地是否符合土地利用总体规划、拟用地面积是否符合土地使用标准、拟用地是否符合供地政策等；</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（三）审批项目建议书的建设项目提供项目建议书批复文件，直接审批可行性研究报告或者需核准的建设项目提供建设项目列入相关规划或者产业政策的文件。</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前款规定的用地预审申请表样式由国土资源部制定。</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第八条</w:t>
      </w:r>
      <w:r>
        <w:rPr>
          <w:rFonts w:ascii="Times New Roman" w:hAnsi="Times New Roman" w:hint="eastAsia"/>
          <w:color w:val="333333"/>
          <w:sz w:val="22"/>
          <w:szCs w:val="22"/>
        </w:rPr>
        <w:t>建设单位应当对单独选址建设项目是否位于地质灾害易发区、是否压覆重要矿产资源进行查询核实；位于地质灾害易发区或者压覆重要矿产资源的，应当依据相关法律法规的规定，在办理用地预审手续后，完成地质灾害危险性评估、压覆矿产资源登记等。</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第九条</w:t>
      </w:r>
      <w:r>
        <w:rPr>
          <w:rFonts w:ascii="Times New Roman" w:hAnsi="Times New Roman" w:hint="eastAsia"/>
          <w:color w:val="333333"/>
          <w:sz w:val="22"/>
          <w:szCs w:val="22"/>
        </w:rPr>
        <w:t>负责初审的国土资源主管部门在转报用地预审申请时，应当提供下列材料：</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（一）依据本办法第十一条有关规定，对申报材料作出的初步审查意见；</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（二）标注项目用地范围的土地利用总体规划图、土地利用现状图及其他相关图件；</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（三）属于《土地管理法》第二十六条规定情形，建设项目用地需修改土地利用总体规划的，应当出具规划修改方案。</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第十条</w:t>
      </w:r>
      <w:r>
        <w:rPr>
          <w:rFonts w:ascii="Times New Roman" w:hAnsi="Times New Roman" w:hint="eastAsia"/>
          <w:color w:val="333333"/>
          <w:sz w:val="22"/>
          <w:szCs w:val="22"/>
        </w:rPr>
        <w:t>符合本办法第七条规定的预审申请和第九条规定的初审转报件，国土资源主管部门应当受理和接收。不符合的，应当场或在五日内书面通知申请人和转报人，逾期不通知的，视为受理和接收。</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受国土资源部委托负责初审的国土资源主管部门应当自受理之日起二十日内完成初审工作，并转报国土资源部。</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第十一条</w:t>
      </w:r>
      <w:r>
        <w:rPr>
          <w:rFonts w:ascii="Times New Roman" w:hAnsi="Times New Roman" w:hint="eastAsia"/>
          <w:color w:val="333333"/>
          <w:sz w:val="22"/>
          <w:szCs w:val="22"/>
        </w:rPr>
        <w:t>预审应当审查以下内容</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（一）建设项目用地是否符合国家供地政策和土地管理法律、法规规定的条件；</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（二）建设项目选址是否符合土地利用总体规划，属《土地管理法》第二十六条规定情形，建设项目用地需修改土地利用总体规划的，规划修改方案是否符合法律、法规的规定；</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（三）建设项目用地规模是否符合有关土地使用标准的规定</w:t>
      </w:r>
      <w:r>
        <w:rPr>
          <w:rFonts w:ascii="Times New Roman" w:hAnsi="Times New Roman" w:cs="Times New Roman"/>
          <w:color w:val="333333"/>
          <w:sz w:val="22"/>
          <w:szCs w:val="22"/>
        </w:rPr>
        <w:t>;</w:t>
      </w:r>
      <w:r>
        <w:rPr>
          <w:rFonts w:ascii="Times New Roman" w:hAnsi="Times New Roman" w:hint="eastAsia"/>
          <w:color w:val="333333"/>
          <w:sz w:val="22"/>
          <w:szCs w:val="22"/>
        </w:rPr>
        <w:t>对国家和地方尚未颁布土地使用标准和建设标准的建设项目，以及确需突破土地使用标准确定的规模和功能分区的建设项目，是否已组织建设项目节地评价并出具评审论证意见。</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占用基本农田或者其他耕地规模较大的建设项目，还应当审查是否已经组织踏勘论证。</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第十二条</w:t>
      </w:r>
      <w:r>
        <w:rPr>
          <w:rFonts w:ascii="Times New Roman" w:hAnsi="Times New Roman" w:hint="eastAsia"/>
          <w:color w:val="333333"/>
          <w:sz w:val="22"/>
          <w:szCs w:val="22"/>
        </w:rPr>
        <w:t>国土资源主管部门应当自受理预审申请或者收到转报材料之日起二十日内，完成审查工作，并出具预审意见。二十日内不能出具预审意见的，经负责预审的国土资源主管部门负责人批准，可以延长十日。</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第十三条</w:t>
      </w:r>
      <w:r>
        <w:rPr>
          <w:rFonts w:ascii="Times New Roman" w:hAnsi="Times New Roman" w:hint="eastAsia"/>
          <w:color w:val="333333"/>
          <w:sz w:val="22"/>
          <w:szCs w:val="22"/>
        </w:rPr>
        <w:t>预审意见应当包括对本办法第十一条规定内容的结论性意见和对建设用地单位的具体要求。</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第十四条</w:t>
      </w:r>
      <w:r>
        <w:rPr>
          <w:rFonts w:ascii="Times New Roman" w:hAnsi="Times New Roman" w:hint="eastAsia"/>
          <w:color w:val="333333"/>
          <w:sz w:val="22"/>
          <w:szCs w:val="22"/>
        </w:rPr>
        <w:t>预审意见是有关部门审批项目可行性研究报告、核准项目申请报告的必备文件。</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第十五条</w:t>
      </w:r>
      <w:r>
        <w:rPr>
          <w:rFonts w:ascii="Times New Roman" w:hAnsi="Times New Roman" w:hint="eastAsia"/>
          <w:color w:val="333333"/>
          <w:sz w:val="22"/>
          <w:szCs w:val="22"/>
        </w:rPr>
        <w:t>建设项目用地预审文件有效期为三年，自批准之日起计算。已经预审的项目，如需对土地用途、建设项目选址等进行重大调整的，应当重新申请预审。</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未经预审或者预审未通过的，不得批复可行性研究报告、核准项目申请报告；不得批准农用地转用、土地征收，不得办理供地手续。预审审查的相关内容在建设用地报批时，未发生重大变化的，不再重复审查。</w:t>
      </w:r>
    </w:p>
    <w:p w:rsidR="00A32067" w:rsidRDefault="00A32067" w:rsidP="005431C7">
      <w:pPr>
        <w:pStyle w:val="NormalWeb"/>
        <w:shd w:val="clear" w:color="auto" w:fill="FFFFFF"/>
        <w:spacing w:before="0" w:beforeAutospacing="0" w:after="0" w:afterAutospacing="0" w:line="400" w:lineRule="exact"/>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第十六条</w:t>
      </w:r>
      <w:r>
        <w:rPr>
          <w:rFonts w:ascii="Times New Roman" w:hAnsi="Times New Roman" w:hint="eastAsia"/>
          <w:color w:val="333333"/>
          <w:sz w:val="22"/>
          <w:szCs w:val="22"/>
        </w:rPr>
        <w:t>本办法自</w:t>
      </w:r>
      <w:r>
        <w:rPr>
          <w:rFonts w:ascii="Times New Roman" w:hAnsi="Times New Roman" w:cs="Times New Roman"/>
          <w:color w:val="333333"/>
          <w:sz w:val="22"/>
          <w:szCs w:val="22"/>
        </w:rPr>
        <w:t>2009</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spacing w:line="220" w:lineRule="atLeast"/>
      </w:pP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z w:val="40"/>
          <w:szCs w:val="40"/>
        </w:rPr>
      </w:pPr>
      <w:bookmarkStart w:id="17" w:name="_Toc519872260"/>
      <w:r>
        <w:rPr>
          <w:rFonts w:ascii="Times New Roman" w:hAnsi="Times New Roman" w:hint="eastAsia"/>
          <w:b/>
          <w:bCs/>
          <w:color w:val="333333"/>
          <w:sz w:val="44"/>
          <w:szCs w:val="44"/>
        </w:rPr>
        <w:t>国土资源部关于修改</w:t>
      </w:r>
      <w:r>
        <w:rPr>
          <w:rFonts w:ascii="Times New Roman" w:hAnsi="Times New Roman" w:cs="Times New Roman"/>
          <w:b/>
          <w:bCs/>
          <w:color w:val="333333"/>
          <w:sz w:val="44"/>
          <w:szCs w:val="44"/>
        </w:rPr>
        <w:br/>
      </w:r>
      <w:r>
        <w:rPr>
          <w:rFonts w:ascii="Times New Roman" w:hAnsi="Times New Roman" w:hint="eastAsia"/>
          <w:b/>
          <w:bCs/>
          <w:color w:val="333333"/>
          <w:sz w:val="44"/>
          <w:szCs w:val="44"/>
        </w:rPr>
        <w:t>《建设用地审查报批管理办法》的决定</w:t>
      </w:r>
      <w:r>
        <w:rPr>
          <w:rFonts w:ascii="Times New Roman" w:hAnsi="Times New Roman" w:cs="Times New Roman"/>
          <w:b/>
          <w:bCs/>
          <w:color w:val="333333"/>
          <w:sz w:val="44"/>
          <w:szCs w:val="44"/>
        </w:rPr>
        <w:br/>
      </w:r>
      <w:r>
        <w:rPr>
          <w:rFonts w:ascii="Times New Roman" w:hAnsi="Times New Roman" w:hint="eastAsia"/>
          <w:color w:val="333333"/>
          <w:spacing w:val="10"/>
          <w:sz w:val="22"/>
          <w:szCs w:val="22"/>
        </w:rPr>
        <w:t>中华人民共和国国土资源部令</w:t>
      </w:r>
      <w:r>
        <w:rPr>
          <w:rFonts w:ascii="Times New Roman" w:hAnsi="Times New Roman" w:hint="eastAsia"/>
          <w:color w:val="000000"/>
          <w:sz w:val="22"/>
          <w:szCs w:val="22"/>
        </w:rPr>
        <w:t>第</w:t>
      </w:r>
      <w:r>
        <w:rPr>
          <w:rFonts w:ascii="Times New Roman" w:hAnsi="Times New Roman" w:cs="Times New Roman"/>
          <w:color w:val="000000"/>
          <w:sz w:val="22"/>
          <w:szCs w:val="22"/>
        </w:rPr>
        <w:t>69</w:t>
      </w:r>
      <w:r>
        <w:rPr>
          <w:rFonts w:ascii="Times New Roman" w:hAnsi="Times New Roman" w:hint="eastAsia"/>
          <w:color w:val="000000"/>
          <w:sz w:val="22"/>
          <w:szCs w:val="22"/>
        </w:rPr>
        <w:t>号</w:t>
      </w:r>
      <w:bookmarkEnd w:id="17"/>
    </w:p>
    <w:p w:rsidR="00A32067" w:rsidRDefault="00A32067">
      <w:pPr>
        <w:pStyle w:val="NormalWeb"/>
        <w:shd w:val="clear" w:color="auto" w:fill="FFFFFF"/>
        <w:spacing w:before="0" w:beforeAutospacing="0" w:after="0" w:afterAutospacing="0" w:line="480" w:lineRule="auto"/>
        <w:ind w:firstLine="879"/>
        <w:jc w:val="center"/>
        <w:rPr>
          <w:rFonts w:ascii="Times New Roman" w:hAnsi="Times New Roman" w:cs="Times New Roman"/>
          <w:b/>
          <w:bCs/>
          <w:color w:val="333333"/>
          <w:spacing w:val="10"/>
          <w:sz w:val="22"/>
          <w:szCs w:val="22"/>
        </w:rPr>
      </w:pP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《国土资源部关于修改〈建设用地审查报批管理办法〉的决定》，已经</w:t>
      </w:r>
      <w:r>
        <w:rPr>
          <w:color w:val="333333"/>
          <w:kern w:val="0"/>
          <w:sz w:val="22"/>
          <w:szCs w:val="22"/>
        </w:rPr>
        <w:t>2016</w:t>
      </w:r>
      <w:r>
        <w:rPr>
          <w:rFonts w:cs="宋体" w:hint="eastAsia"/>
          <w:color w:val="333333"/>
          <w:kern w:val="0"/>
          <w:sz w:val="22"/>
          <w:szCs w:val="22"/>
        </w:rPr>
        <w:t>年</w:t>
      </w:r>
      <w:r>
        <w:rPr>
          <w:color w:val="333333"/>
          <w:kern w:val="0"/>
          <w:sz w:val="22"/>
          <w:szCs w:val="22"/>
        </w:rPr>
        <w:t>11</w:t>
      </w:r>
      <w:r>
        <w:rPr>
          <w:rFonts w:cs="宋体" w:hint="eastAsia"/>
          <w:color w:val="333333"/>
          <w:kern w:val="0"/>
          <w:sz w:val="22"/>
          <w:szCs w:val="22"/>
        </w:rPr>
        <w:t>月</w:t>
      </w:r>
      <w:r>
        <w:rPr>
          <w:color w:val="333333"/>
          <w:kern w:val="0"/>
          <w:sz w:val="22"/>
          <w:szCs w:val="22"/>
        </w:rPr>
        <w:t>25</w:t>
      </w:r>
      <w:r>
        <w:rPr>
          <w:rFonts w:cs="宋体" w:hint="eastAsia"/>
          <w:color w:val="333333"/>
          <w:kern w:val="0"/>
          <w:sz w:val="22"/>
          <w:szCs w:val="22"/>
        </w:rPr>
        <w:t>日国土资源部第</w:t>
      </w:r>
      <w:r>
        <w:rPr>
          <w:color w:val="333333"/>
          <w:kern w:val="0"/>
          <w:sz w:val="22"/>
          <w:szCs w:val="22"/>
        </w:rPr>
        <w:t>4</w:t>
      </w:r>
      <w:r>
        <w:rPr>
          <w:rFonts w:cs="宋体" w:hint="eastAsia"/>
          <w:color w:val="333333"/>
          <w:kern w:val="0"/>
          <w:sz w:val="22"/>
          <w:szCs w:val="22"/>
        </w:rPr>
        <w:t>次部务会议审议通过，现予发布，自</w:t>
      </w:r>
      <w:r>
        <w:rPr>
          <w:color w:val="333333"/>
          <w:kern w:val="0"/>
          <w:sz w:val="22"/>
          <w:szCs w:val="22"/>
        </w:rPr>
        <w:t>2017</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日起施行。</w:t>
      </w:r>
    </w:p>
    <w:p w:rsidR="00A32067" w:rsidRDefault="00A32067">
      <w:pPr>
        <w:pStyle w:val="NormalWeb"/>
        <w:shd w:val="clear" w:color="auto" w:fill="FFFFFF"/>
        <w:spacing w:before="0" w:beforeAutospacing="0" w:after="0" w:afterAutospacing="0" w:line="360" w:lineRule="auto"/>
        <w:ind w:right="120" w:firstLine="200"/>
        <w:jc w:val="right"/>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部　长　姜大明　　　　　　　　　　　　　　　　　　　　　　　　　　　　　　　　　　　　　　　　　　</w:t>
      </w:r>
      <w:r>
        <w:rPr>
          <w:rFonts w:ascii="Times New Roman" w:hAnsi="Times New Roman" w:cs="Times New Roman"/>
          <w:color w:val="333333"/>
          <w:sz w:val="22"/>
          <w:szCs w:val="22"/>
        </w:rPr>
        <w:t>2016</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29</w:t>
      </w:r>
      <w:r>
        <w:rPr>
          <w:rFonts w:ascii="Times New Roman" w:hAnsi="Times New Roman" w:hint="eastAsia"/>
          <w:color w:val="333333"/>
          <w:sz w:val="22"/>
          <w:szCs w:val="22"/>
        </w:rPr>
        <w:t>日</w:t>
      </w:r>
    </w:p>
    <w:p w:rsidR="00A32067" w:rsidRDefault="00A32067">
      <w:pPr>
        <w:pStyle w:val="NormalWeb"/>
        <w:shd w:val="clear" w:color="auto" w:fill="FFFFFF"/>
        <w:spacing w:before="0" w:beforeAutospacing="0" w:after="0" w:afterAutospacing="0" w:line="360" w:lineRule="auto"/>
        <w:ind w:right="120" w:firstLine="200"/>
        <w:jc w:val="center"/>
        <w:rPr>
          <w:rFonts w:ascii="Times New Roman" w:hAnsi="Times New Roman" w:cs="Times New Roman"/>
          <w:b/>
          <w:bCs/>
          <w:color w:val="333333"/>
          <w:sz w:val="32"/>
          <w:szCs w:val="32"/>
        </w:rPr>
      </w:pPr>
      <w:r>
        <w:rPr>
          <w:rFonts w:ascii="Times New Roman" w:hAnsi="Times New Roman" w:hint="eastAsia"/>
          <w:b/>
          <w:bCs/>
          <w:color w:val="333333"/>
          <w:sz w:val="32"/>
          <w:szCs w:val="32"/>
        </w:rPr>
        <w:t>国土资源部关于修改</w:t>
      </w:r>
      <w:r>
        <w:rPr>
          <w:rFonts w:ascii="Times New Roman" w:hAnsi="Times New Roman" w:cs="Times New Roman"/>
          <w:b/>
          <w:bCs/>
          <w:color w:val="333333"/>
          <w:sz w:val="32"/>
          <w:szCs w:val="32"/>
        </w:rPr>
        <w:br/>
      </w:r>
      <w:r>
        <w:rPr>
          <w:rFonts w:ascii="Times New Roman" w:hAnsi="Times New Roman" w:hint="eastAsia"/>
          <w:b/>
          <w:bCs/>
          <w:color w:val="333333"/>
          <w:sz w:val="32"/>
          <w:szCs w:val="32"/>
        </w:rPr>
        <w:t>《建设用地审查报批管理办法》的决定</w:t>
      </w:r>
    </w:p>
    <w:p w:rsidR="00A32067" w:rsidRDefault="00A32067">
      <w:pPr>
        <w:pStyle w:val="NormalWeb"/>
        <w:shd w:val="clear" w:color="auto" w:fill="FFFFFF"/>
        <w:spacing w:before="0" w:beforeAutospacing="0" w:after="0" w:afterAutospacing="0" w:line="360" w:lineRule="auto"/>
        <w:ind w:right="120" w:firstLine="200"/>
        <w:jc w:val="center"/>
        <w:rPr>
          <w:rFonts w:ascii="Times New Roman" w:hAnsi="Times New Roman" w:cs="Times New Roman"/>
          <w:color w:val="333333"/>
        </w:rPr>
      </w:pP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为进一步简化建设用地审批程序，减少审批要件，提高审批效率，决定对《建设用地审查报批管理办法》（国土资源部令第</w:t>
      </w:r>
      <w:r>
        <w:rPr>
          <w:rFonts w:ascii="Times New Roman" w:hAnsi="Times New Roman" w:cs="Times New Roman"/>
          <w:color w:val="333333"/>
          <w:sz w:val="22"/>
          <w:szCs w:val="22"/>
        </w:rPr>
        <w:t>3</w:t>
      </w:r>
      <w:r>
        <w:rPr>
          <w:rFonts w:ascii="Times New Roman" w:hAnsi="Times New Roman" w:hint="eastAsia"/>
          <w:color w:val="333333"/>
          <w:sz w:val="22"/>
          <w:szCs w:val="22"/>
        </w:rPr>
        <w:t>号）作出如下修改：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一、将第四条修改为：</w:t>
      </w:r>
      <w:r>
        <w:rPr>
          <w:rFonts w:ascii="Times New Roman" w:hAnsi="Times New Roman" w:cs="Times New Roman"/>
          <w:color w:val="333333"/>
          <w:sz w:val="22"/>
          <w:szCs w:val="22"/>
        </w:rPr>
        <w:t>“</w:t>
      </w:r>
      <w:r>
        <w:rPr>
          <w:rFonts w:ascii="Times New Roman" w:hAnsi="Times New Roman" w:hint="eastAsia"/>
          <w:color w:val="333333"/>
          <w:sz w:val="22"/>
          <w:szCs w:val="22"/>
        </w:rPr>
        <w:t>在建设项目审批、核准、备案阶段，建设单位应当向建设项目批准机关的同级国土资源主管部门提出建设项目用地预审申请。</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受理预审申请的国土资源主管部门应当依据土地利用总体规划、土地使用标准和国家土地供应政策，对建设项目的有关事项进行预审，出具建设项目用地预审意见。</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二、将第五条第二款修改为：</w:t>
      </w:r>
      <w:r>
        <w:rPr>
          <w:rFonts w:ascii="Times New Roman" w:hAnsi="Times New Roman" w:cs="Times New Roman"/>
          <w:color w:val="333333"/>
          <w:sz w:val="22"/>
          <w:szCs w:val="22"/>
        </w:rPr>
        <w:t>“</w:t>
      </w:r>
      <w:r>
        <w:rPr>
          <w:rFonts w:ascii="Times New Roman" w:hAnsi="Times New Roman" w:hint="eastAsia"/>
          <w:color w:val="333333"/>
          <w:sz w:val="22"/>
          <w:szCs w:val="22"/>
        </w:rPr>
        <w:t>建设单位提出用地申请时，应当填写《建设用地申请表》，并附具下列材料：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（一）建设项目用地预审意见；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（二）建设项目批准、核准或者备案文件；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（三）建设项目初步设计批准或者审核文件。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增加一款，作为第三款：</w:t>
      </w:r>
      <w:r>
        <w:rPr>
          <w:rFonts w:ascii="Times New Roman" w:hAnsi="Times New Roman" w:cs="Times New Roman"/>
          <w:color w:val="333333"/>
          <w:sz w:val="22"/>
          <w:szCs w:val="22"/>
        </w:rPr>
        <w:t>“</w:t>
      </w:r>
      <w:r>
        <w:rPr>
          <w:rFonts w:ascii="Times New Roman" w:hAnsi="Times New Roman" w:hint="eastAsia"/>
          <w:color w:val="333333"/>
          <w:sz w:val="22"/>
          <w:szCs w:val="22"/>
        </w:rPr>
        <w:t>建设项目拟占用耕地的，还应当提出补充耕地方案；建设项目位于地质灾害易发区的，还应当提供地质灾害危险性评估报告。</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三、增加一条，作为第六条：国家重点建设项目中的控制工期的单体工程和因工期紧或者受季节影响急需动工建设的其他工程，可以由省、自治区、直辖市国土资源主管部门向国土资源部申请先行用地。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申请先行用地，应当提交下列材料：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（一）省、自治区、直辖市国土资源主管部门先行用地申请；</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（二）建设项目用地预审意见；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（三）建设项目批准、核准或者备案文件；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（四）建设项目初步设计批准文件、审核文件或者有关部门确认工程建设的文件；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（五）国土资源部规定的其他材料。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经批准先行用地的，应当在规定期限内完成用地报批手续。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四、将第七条改为第八条，增加一款，作为第三款：</w:t>
      </w:r>
      <w:r>
        <w:rPr>
          <w:rFonts w:ascii="Times New Roman" w:hAnsi="Times New Roman" w:cs="Times New Roman"/>
          <w:color w:val="333333"/>
          <w:sz w:val="22"/>
          <w:szCs w:val="22"/>
        </w:rPr>
        <w:t>“</w:t>
      </w:r>
      <w:r>
        <w:rPr>
          <w:rFonts w:ascii="Times New Roman" w:hAnsi="Times New Roman" w:hint="eastAsia"/>
          <w:color w:val="333333"/>
          <w:sz w:val="22"/>
          <w:szCs w:val="22"/>
        </w:rPr>
        <w:t>报国务院批准的城市建设用地，农用地转用方案、补充耕地方案和征收土地方案可以合并编制，一年申报一次；国务院批准城市建设用地后，由省、自治区、直辖市人民政府对设区的市人民政府分期分批申报的农用地转用和征收土地实施方案进行审核并回复。</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五、将第九条改为第十条，删除第（四）项，将第（五）项改为第（四）项。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六、将第十条改为第十一条，修改为：农用地转用方案，应当包括占用农用地的种类、面积、质量等，以及符合规划计划、基本农田占用补划等情况。</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补充耕地方案，应当包括补充耕地的位置、面积、质量，补充的期限，资金落实情况等，以及补充耕地项目备案信息。</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征收土地方案，应当包括征收土地的范围、种类、面积、权属，土地补偿费和安置补助费标准，需要安置人员的安置途径等。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供地方案，应当包括供地方式、面积、用途等。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七、将第十五条改为第十六条，删除第（三）项、第（四）项，将第（五）项改为第（三）项。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八、将第十六条改为第十七条，将第二款修改为：</w:t>
      </w:r>
      <w:r>
        <w:rPr>
          <w:rFonts w:ascii="Times New Roman" w:hAnsi="Times New Roman" w:cs="Times New Roman"/>
          <w:color w:val="333333"/>
          <w:sz w:val="22"/>
          <w:szCs w:val="22"/>
        </w:rPr>
        <w:t>“</w:t>
      </w:r>
      <w:r>
        <w:rPr>
          <w:rFonts w:ascii="Times New Roman" w:hAnsi="Times New Roman" w:hint="eastAsia"/>
          <w:color w:val="333333"/>
          <w:sz w:val="22"/>
          <w:szCs w:val="22"/>
        </w:rPr>
        <w:t>未按规定缴纳新增建设用地土地有偿使用费的，不予批复建设用地。其中，报国务院批准的城市建设用地，省、自治区、直辖市人民政府在设区的市人民政府按照有关规定缴纳新增建设用地土地有偿使用费后办理回复文件。</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九、将第十九条改为第二十条，将第一款和第二款合并，修改为：</w:t>
      </w:r>
      <w:r>
        <w:rPr>
          <w:rFonts w:ascii="Times New Roman" w:hAnsi="Times New Roman" w:cs="Times New Roman"/>
          <w:color w:val="333333"/>
          <w:sz w:val="22"/>
          <w:szCs w:val="22"/>
        </w:rPr>
        <w:t>“</w:t>
      </w:r>
      <w:r>
        <w:rPr>
          <w:rFonts w:ascii="Times New Roman" w:hAnsi="Times New Roman" w:hint="eastAsia"/>
          <w:color w:val="333333"/>
          <w:sz w:val="22"/>
          <w:szCs w:val="22"/>
        </w:rPr>
        <w:t>征收土地公告和征地补偿、安置方案公告，按照《征收土地公告办法》的有关规定执行。</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将第三款改为第二款。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十、将第三条、第六条、第八条、第十一条、第十二条、第十三条、第十四条、第十八条、第十九条、第二十条、第二十一条、第二十二条中的</w:t>
      </w:r>
      <w:r>
        <w:rPr>
          <w:rFonts w:ascii="Times New Roman" w:hAnsi="Times New Roman" w:cs="Times New Roman"/>
          <w:color w:val="333333"/>
          <w:sz w:val="22"/>
          <w:szCs w:val="22"/>
        </w:rPr>
        <w:t>“</w:t>
      </w:r>
      <w:r>
        <w:rPr>
          <w:rFonts w:ascii="Times New Roman" w:hAnsi="Times New Roman" w:hint="eastAsia"/>
          <w:color w:val="333333"/>
          <w:sz w:val="22"/>
          <w:szCs w:val="22"/>
        </w:rPr>
        <w:t>土地行政主管部门</w:t>
      </w:r>
      <w:r>
        <w:rPr>
          <w:rFonts w:ascii="Times New Roman" w:hAnsi="Times New Roman" w:cs="Times New Roman"/>
          <w:color w:val="333333"/>
          <w:sz w:val="22"/>
          <w:szCs w:val="22"/>
        </w:rPr>
        <w:t>”</w:t>
      </w:r>
      <w:r>
        <w:rPr>
          <w:rFonts w:ascii="Times New Roman" w:hAnsi="Times New Roman" w:hint="eastAsia"/>
          <w:color w:val="333333"/>
          <w:sz w:val="22"/>
          <w:szCs w:val="22"/>
        </w:rPr>
        <w:t>修改为</w:t>
      </w:r>
      <w:r>
        <w:rPr>
          <w:rFonts w:ascii="Times New Roman" w:hAnsi="Times New Roman" w:cs="Times New Roman"/>
          <w:color w:val="333333"/>
          <w:sz w:val="22"/>
          <w:szCs w:val="22"/>
        </w:rPr>
        <w:t>“</w:t>
      </w:r>
      <w:r>
        <w:rPr>
          <w:rFonts w:ascii="Times New Roman" w:hAnsi="Times New Roman" w:hint="eastAsia"/>
          <w:color w:val="333333"/>
          <w:sz w:val="22"/>
          <w:szCs w:val="22"/>
        </w:rPr>
        <w:t>国土资源主管部门</w:t>
      </w:r>
      <w:r>
        <w:rPr>
          <w:rFonts w:ascii="Times New Roman" w:hAnsi="Times New Roman" w:cs="Times New Roman"/>
          <w:color w:val="333333"/>
          <w:sz w:val="22"/>
          <w:szCs w:val="22"/>
        </w:rPr>
        <w:t>”</w:t>
      </w:r>
      <w:r>
        <w:rPr>
          <w:rFonts w:ascii="Times New Roman" w:hAnsi="Times New Roman" w:hint="eastAsia"/>
          <w:color w:val="333333"/>
          <w:sz w:val="22"/>
          <w:szCs w:val="22"/>
        </w:rPr>
        <w:t>。</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本决定自</w:t>
      </w: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《建设用地审查报批管理办法》根据本决定作相应修改后，重新发布。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p>
    <w:p w:rsidR="00A32067" w:rsidRDefault="00A32067">
      <w:pPr>
        <w:spacing w:line="220" w:lineRule="atLeast"/>
        <w:rPr>
          <w:b/>
          <w:bCs/>
          <w:color w:val="333333"/>
          <w:sz w:val="24"/>
          <w:szCs w:val="24"/>
        </w:rPr>
      </w:pPr>
    </w:p>
    <w:p w:rsidR="00A32067" w:rsidRDefault="00A32067">
      <w:pPr>
        <w:spacing w:line="480" w:lineRule="auto"/>
        <w:jc w:val="center"/>
        <w:outlineLvl w:val="2"/>
        <w:rPr>
          <w:b/>
          <w:bCs/>
          <w:color w:val="333333"/>
          <w:sz w:val="44"/>
          <w:szCs w:val="44"/>
        </w:rPr>
        <w:sectPr w:rsidR="00A32067">
          <w:pgSz w:w="11907" w:h="16840"/>
          <w:pgMar w:top="1134" w:right="1077" w:bottom="1134" w:left="1077" w:header="794" w:footer="567" w:gutter="284"/>
          <w:cols w:space="720"/>
          <w:docGrid w:linePitch="312"/>
        </w:sectPr>
      </w:pPr>
      <w:bookmarkStart w:id="18" w:name="_Toc519872261"/>
    </w:p>
    <w:p w:rsidR="00A32067" w:rsidRDefault="00A32067">
      <w:pPr>
        <w:spacing w:line="480" w:lineRule="auto"/>
        <w:jc w:val="center"/>
        <w:outlineLvl w:val="2"/>
        <w:rPr>
          <w:b/>
          <w:bCs/>
          <w:color w:val="333333"/>
          <w:sz w:val="44"/>
          <w:szCs w:val="44"/>
        </w:rPr>
      </w:pPr>
      <w:r>
        <w:rPr>
          <w:rFonts w:cs="宋体" w:hint="eastAsia"/>
          <w:b/>
          <w:bCs/>
          <w:color w:val="333333"/>
          <w:sz w:val="44"/>
          <w:szCs w:val="44"/>
        </w:rPr>
        <w:t>建设用地审查报批管理办法</w:t>
      </w:r>
      <w:bookmarkEnd w:id="18"/>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w:t>
      </w:r>
      <w:r>
        <w:rPr>
          <w:rFonts w:ascii="Times New Roman" w:hAnsi="Times New Roman" w:cs="Times New Roman"/>
          <w:color w:val="333333"/>
          <w:sz w:val="22"/>
          <w:szCs w:val="22"/>
        </w:rPr>
        <w:t>1999</w:t>
      </w:r>
      <w:r>
        <w:rPr>
          <w:rFonts w:ascii="Times New Roman" w:hAnsi="Times New Roman" w:hint="eastAsia"/>
          <w:color w:val="333333"/>
          <w:sz w:val="22"/>
          <w:szCs w:val="22"/>
        </w:rPr>
        <w:t>年</w:t>
      </w:r>
      <w:r>
        <w:rPr>
          <w:rFonts w:ascii="Times New Roman" w:hAnsi="Times New Roman" w:cs="Times New Roman"/>
          <w:color w:val="333333"/>
          <w:sz w:val="22"/>
          <w:szCs w:val="22"/>
        </w:rPr>
        <w:t>3</w:t>
      </w:r>
      <w:r>
        <w:rPr>
          <w:rFonts w:ascii="Times New Roman" w:hAnsi="Times New Roman" w:hint="eastAsia"/>
          <w:color w:val="333333"/>
          <w:sz w:val="22"/>
          <w:szCs w:val="22"/>
        </w:rPr>
        <w:t>月</w:t>
      </w:r>
      <w:r>
        <w:rPr>
          <w:rFonts w:ascii="Times New Roman" w:hAnsi="Times New Roman" w:cs="Times New Roman"/>
          <w:color w:val="333333"/>
          <w:sz w:val="22"/>
          <w:szCs w:val="22"/>
        </w:rPr>
        <w:t>2</w:t>
      </w:r>
      <w:r>
        <w:rPr>
          <w:rFonts w:ascii="Times New Roman" w:hAnsi="Times New Roman" w:hint="eastAsia"/>
          <w:color w:val="333333"/>
          <w:sz w:val="22"/>
          <w:szCs w:val="22"/>
        </w:rPr>
        <w:t>日中华人民共和国国土资源部令第</w:t>
      </w:r>
      <w:r>
        <w:rPr>
          <w:rFonts w:ascii="Times New Roman" w:hAnsi="Times New Roman" w:cs="Times New Roman"/>
          <w:color w:val="333333"/>
          <w:sz w:val="22"/>
          <w:szCs w:val="22"/>
        </w:rPr>
        <w:t>3</w:t>
      </w:r>
      <w:r>
        <w:rPr>
          <w:rFonts w:ascii="Times New Roman" w:hAnsi="Times New Roman" w:hint="eastAsia"/>
          <w:color w:val="333333"/>
          <w:sz w:val="22"/>
          <w:szCs w:val="22"/>
        </w:rPr>
        <w:t xml:space="preserve">号发布　</w:t>
      </w:r>
      <w:r>
        <w:rPr>
          <w:rFonts w:ascii="Times New Roman" w:hAnsi="Times New Roman" w:cs="Times New Roman"/>
          <w:color w:val="333333"/>
          <w:sz w:val="22"/>
          <w:szCs w:val="22"/>
        </w:rPr>
        <w:t>2010</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30</w:t>
      </w:r>
      <w:r>
        <w:rPr>
          <w:rFonts w:ascii="Times New Roman" w:hAnsi="Times New Roman" w:hint="eastAsia"/>
          <w:color w:val="333333"/>
          <w:sz w:val="22"/>
          <w:szCs w:val="22"/>
        </w:rPr>
        <w:t>日第一次修正根据</w:t>
      </w:r>
      <w:r>
        <w:rPr>
          <w:rFonts w:ascii="Times New Roman" w:hAnsi="Times New Roman" w:cs="Times New Roman"/>
          <w:color w:val="333333"/>
          <w:sz w:val="22"/>
          <w:szCs w:val="22"/>
        </w:rPr>
        <w:t>2016</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25</w:t>
      </w:r>
      <w:r>
        <w:rPr>
          <w:rFonts w:ascii="Times New Roman" w:hAnsi="Times New Roman" w:hint="eastAsia"/>
          <w:color w:val="333333"/>
          <w:sz w:val="22"/>
          <w:szCs w:val="22"/>
        </w:rPr>
        <w:t>日《国土资源部关于修改〈建设用地审查报批管理办法〉的决定》第二次修正）</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hint="eastAsia"/>
          <w:color w:val="333333"/>
          <w:sz w:val="22"/>
          <w:szCs w:val="22"/>
        </w:rPr>
        <w:t xml:space="preserve">　为加强土地管理，规范建设用地审查报批工作，根据《中华人民共和国土地管理法》（以下简称《土地管理法》）、《中华人民共和国土地管理法实施条例》（以下简称《土地管理法实施条例》），制定本办法。</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hint="eastAsia"/>
          <w:color w:val="333333"/>
          <w:sz w:val="22"/>
          <w:szCs w:val="22"/>
        </w:rPr>
        <w:t xml:space="preserve">　依法应当报国务院和省、自治区、直辖市人民政府批准的建设用地的申请、审查、报批和实施，适用本办法。</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第三条　</w:t>
      </w:r>
      <w:r>
        <w:rPr>
          <w:rFonts w:ascii="Times New Roman" w:hAnsi="Times New Roman" w:hint="eastAsia"/>
          <w:color w:val="333333"/>
          <w:sz w:val="22"/>
          <w:szCs w:val="22"/>
        </w:rPr>
        <w:t>县级以上国土资源主管部门负责建设用地的申请受理、审查、报批工作。</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第四条　</w:t>
      </w:r>
      <w:r>
        <w:rPr>
          <w:rFonts w:ascii="Times New Roman" w:hAnsi="Times New Roman" w:hint="eastAsia"/>
          <w:color w:val="333333"/>
          <w:sz w:val="22"/>
          <w:szCs w:val="22"/>
        </w:rPr>
        <w:t>在建设项目审批、核准、备案阶段，建设单位应当向建设项目批准机关的同级国土资源主管部门提出建设项目用地预审申请。</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受理预审申请的国土资源主管部门应当依据土地利用总体规划、土地使用标准和国家土地供应政策，对建设项目的有关事项进行预审，出具建设项目用地预审意见。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第五条　</w:t>
      </w:r>
      <w:r>
        <w:rPr>
          <w:rFonts w:ascii="Times New Roman" w:hAnsi="Times New Roman" w:hint="eastAsia"/>
          <w:color w:val="333333"/>
          <w:sz w:val="22"/>
          <w:szCs w:val="22"/>
        </w:rPr>
        <w:t>在土地利用总体规划确定的城市建设用地范围外单独选址的建设项目使用土地的，建设单位应当向土地所在地的市、县国土资源主管部门提出用地申请。</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建设单位提出用地申请时，应当填写《建设用地申请表》，并附具下列材料：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（一）建设项目用地预审意见；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（二）建设项目批准、核准或者备案文件；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（三）建设项目初步设计批准或者审核文件。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建设项目拟占用耕地的，还应当提出补充耕地方案；建设项目位于地质灾害易发区的，还应当提供地质灾害危险性评估报告。</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第六条　</w:t>
      </w:r>
      <w:r>
        <w:rPr>
          <w:rFonts w:ascii="Times New Roman" w:hAnsi="Times New Roman" w:hint="eastAsia"/>
          <w:color w:val="333333"/>
          <w:sz w:val="22"/>
          <w:szCs w:val="22"/>
        </w:rPr>
        <w:t>国家重点建设项目中的控制工期的单体工程和因工期紧或者受季节影响急需动工建设的其他工程，可以由省、自治区、直辖市国土资源主管部门向国土资源部申请先行用地。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申请先行用地，应当提交下列材料：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（一）省、自治区、直辖市国土资源主管部门先行用地申请；</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（二）建设项目用地预审意见；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（三）建设项目批准、核准或者备案文件；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（四）建设项目初步设计批准文件、审核文件或者有关部门确认工程建设的文件；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（五）国土资源部规定的其他材料。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经批准先行用地的，应当在规定期限内完成用地报批手续。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第七条　</w:t>
      </w:r>
      <w:r>
        <w:rPr>
          <w:rFonts w:ascii="Times New Roman" w:hAnsi="Times New Roman" w:hint="eastAsia"/>
          <w:color w:val="333333"/>
          <w:sz w:val="22"/>
          <w:szCs w:val="22"/>
        </w:rPr>
        <w:t>市、县国土资源主管部门对材料齐全、符合条件的建设用地申请，应当受理，并在收到申请之日起</w:t>
      </w:r>
      <w:r>
        <w:rPr>
          <w:rFonts w:ascii="Times New Roman" w:hAnsi="Times New Roman" w:cs="Times New Roman"/>
          <w:color w:val="333333"/>
          <w:sz w:val="22"/>
          <w:szCs w:val="22"/>
        </w:rPr>
        <w:t>30</w:t>
      </w:r>
      <w:r>
        <w:rPr>
          <w:rFonts w:ascii="Times New Roman" w:hAnsi="Times New Roman" w:hint="eastAsia"/>
          <w:color w:val="333333"/>
          <w:sz w:val="22"/>
          <w:szCs w:val="22"/>
        </w:rPr>
        <w:t>日内拟订农用地转用方案、补充耕地方案、征收土地方案和供地方案，编制建设项目用地呈报说明书，经同级人民政府审核同意后，报上一级国土资源主管部门审查。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第八条　</w:t>
      </w:r>
      <w:r>
        <w:rPr>
          <w:rFonts w:ascii="Times New Roman" w:hAnsi="Times New Roman" w:hint="eastAsia"/>
          <w:color w:val="333333"/>
          <w:sz w:val="22"/>
          <w:szCs w:val="22"/>
        </w:rPr>
        <w:t>在土地利用总体规划确定的城市建设用地范围内，为实施城市规划占用土地的，由市、县国土资源主管部门拟订农用地转用方案、补充耕地方案和征收土地方案，编制建设项目用地呈报说明书，经同级人民政府审核同意后，报上一级国土资源主管部门审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在土地利用总体规划确定的村庄和集镇建设用地范围内，为实施村庄和集镇规划占用土地的，由市、县国土资源主管部门拟订农用地转用方案、补充耕地方案，编制建设项目用地呈报说明书，经同级人民政府审核同意后，报上一级国土资源主管部门审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报国务院批准的城市建设用地，农用地转用方案、补充耕地方案和征收土地方案可以合并编制，一年申报一次；国务院批准城市建设用地后，由省、自治区、直辖市人民政府对设区的市人民政府分期分批申报的农用地转用和征收土地实施方案进行审核并回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第九条　</w:t>
      </w:r>
      <w:r>
        <w:rPr>
          <w:rFonts w:ascii="Times New Roman" w:hAnsi="Times New Roman" w:hint="eastAsia"/>
          <w:color w:val="333333"/>
          <w:sz w:val="22"/>
          <w:szCs w:val="22"/>
        </w:rPr>
        <w:t>建设只占用国有农用地的，市、县国土资源主管部门只需拟订农用地转用方案、补充耕地方案和供地方案。</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建设只占用农民集体所有建设用地的，市、县国土资源主管部门只需拟订征收土地方案和供地方案。</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只占用国有未利用地，按照《土地管理法实施条例》第二十四条规定应由国务院批准的，市、县国土资源主管部门只需拟订供地方案；其他建设项目使用国有未利用地的，按照省、自治区、直辖市的规定办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第十条　</w:t>
      </w:r>
      <w:r>
        <w:rPr>
          <w:rFonts w:ascii="Times New Roman" w:hAnsi="Times New Roman" w:hint="eastAsia"/>
          <w:color w:val="333333"/>
          <w:sz w:val="22"/>
          <w:szCs w:val="22"/>
        </w:rPr>
        <w:t>建设项目用地呈报说明书应当包括用地安排情况、拟使用土地情况等，并应附具下列材料：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（一）经批准的市、县土地利用总体规划图和分幅土地利用现状图，占用基本农田的，同时提供乡级土地利用总体规划图；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（二）有资格的单位出具的勘测定界图及勘测定界技术报告书；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（三）地籍资料或者其他土地权属证明材料；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（四）为实施城市规划和村庄、集镇规划占用土地的，提供城市规划图和村庄、集镇规划图。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第十一条　</w:t>
      </w:r>
      <w:r>
        <w:rPr>
          <w:rFonts w:ascii="Times New Roman" w:hAnsi="Times New Roman" w:hint="eastAsia"/>
          <w:color w:val="333333"/>
          <w:sz w:val="22"/>
          <w:szCs w:val="22"/>
        </w:rPr>
        <w:t>农用地转用方案，应当包括占用农用地的种类、面积、质量等，以及符合规划计划、基本农田占用补划等情况。</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补充耕地方案，应当包括补充耕地的位置、面积、质量，补充的期限，资金落实情况等，以及补充耕地项目备案信息。</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征收土地方案，应当包括征收土地的范围、种类、面积、权属，土地补偿费和安置补助费标准，需要安置人员的安置途径等。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供地方案，应当包括供地方式、面积、用途等。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第十二条　</w:t>
      </w:r>
      <w:r>
        <w:rPr>
          <w:rFonts w:ascii="Times New Roman" w:hAnsi="Times New Roman" w:hint="eastAsia"/>
          <w:color w:val="333333"/>
          <w:sz w:val="22"/>
          <w:szCs w:val="22"/>
        </w:rPr>
        <w:t>有关国土资源主管部门收到上报的建设项目用地呈报说明书和有关方案后，对材料齐全、符合条件的，应当在</w:t>
      </w:r>
      <w:r>
        <w:rPr>
          <w:rFonts w:ascii="Times New Roman" w:hAnsi="Times New Roman" w:cs="Times New Roman"/>
          <w:color w:val="333333"/>
          <w:sz w:val="22"/>
          <w:szCs w:val="22"/>
        </w:rPr>
        <w:t>5</w:t>
      </w:r>
      <w:r>
        <w:rPr>
          <w:rFonts w:ascii="Times New Roman" w:hAnsi="Times New Roman" w:hint="eastAsia"/>
          <w:color w:val="333333"/>
          <w:sz w:val="22"/>
          <w:szCs w:val="22"/>
        </w:rPr>
        <w:t>日内报经同级人民政府审核。同级人民政府审核同意后，逐级上报有批准权的人民政府，并将审查所需的材料及时送该级国土资源主管部门审查。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对依法应由国务院批准的建设项目用地呈报说明书和有关方案，省、自治区、直辖市人民政府必须提出明确的审查意见，并对报送材料的真实性、合法性负责。</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省、自治区、直辖市人民政府批准农用地转用、国务院批准征收土地的，省、自治区、直辖市人民政府批准农用地转用方案后，应当将批准文件和下级国土资源主管部门上报的材料一并上报。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第十三条　</w:t>
      </w:r>
      <w:r>
        <w:rPr>
          <w:rFonts w:ascii="Times New Roman" w:hAnsi="Times New Roman" w:hint="eastAsia"/>
          <w:color w:val="333333"/>
          <w:sz w:val="22"/>
          <w:szCs w:val="22"/>
        </w:rPr>
        <w:t>有批准权的国土资源主管部门应当自收到上报的农用地转用方案、补充耕地方案、征收土地方案和供地方案并按规定征求有关方面意见后</w:t>
      </w:r>
      <w:r>
        <w:rPr>
          <w:rFonts w:ascii="Times New Roman" w:hAnsi="Times New Roman" w:cs="Times New Roman"/>
          <w:color w:val="333333"/>
          <w:sz w:val="22"/>
          <w:szCs w:val="22"/>
        </w:rPr>
        <w:t>30</w:t>
      </w:r>
      <w:r>
        <w:rPr>
          <w:rFonts w:ascii="Times New Roman" w:hAnsi="Times New Roman" w:hint="eastAsia"/>
          <w:color w:val="333333"/>
          <w:sz w:val="22"/>
          <w:szCs w:val="22"/>
        </w:rPr>
        <w:t>日内审查完毕。</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建设用地审查应当实行国土资源主管部门内部会审制度。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第十四条　</w:t>
      </w:r>
      <w:r>
        <w:rPr>
          <w:rFonts w:ascii="Times New Roman" w:hAnsi="Times New Roman" w:hint="eastAsia"/>
          <w:color w:val="333333"/>
          <w:sz w:val="22"/>
          <w:szCs w:val="22"/>
        </w:rPr>
        <w:t>农用地转用方案和补充耕地方案符合下列条件的，国土资源主管部门方可报人民政府批准：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（一）符合土地利用总体规划；</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（二）确属必需占用农用地且符合土地利用年度计划确定的控制指标；</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（三）占用耕地的，补充耕地方案符合土地整理开发专项规划且面积、质量符合规定要求；</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（四）单独办理农用地转用的，必须符合单独选址条件。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第十五条　</w:t>
      </w:r>
      <w:r>
        <w:rPr>
          <w:rFonts w:ascii="Times New Roman" w:hAnsi="Times New Roman" w:hint="eastAsia"/>
          <w:color w:val="333333"/>
          <w:sz w:val="22"/>
          <w:szCs w:val="22"/>
        </w:rPr>
        <w:t>征收土地方案符合下列条件的，国土资源主管部门方可报人民政府批准：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（一）被征收土地界址、地类、面积清楚，权属无争议的；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（二）被征收土地的补偿标准符合法律、法规规定的；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（三）被征收土地上需要安置人员的安置途径切实可行。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建设项目施工和地质勘查需要临时使用农民集体所有的土地的，依法签订临时使用土地合同并支付临时使用土地补偿费，不得办理土地征收。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第十六条　</w:t>
      </w:r>
      <w:r>
        <w:rPr>
          <w:rFonts w:ascii="Times New Roman" w:hAnsi="Times New Roman" w:hint="eastAsia"/>
          <w:color w:val="333333"/>
          <w:sz w:val="22"/>
          <w:szCs w:val="22"/>
        </w:rPr>
        <w:t>供地方案符合下列条件的，国土资源主管部门方可报人民政府批准：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（一）符合国家的土地供应政策；</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（二）申请用地面积符合建设用地标准和集约用地的要求；</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（三）只占用国有未利用地的，符合规划、界址清楚、面积准确。</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第十七条　</w:t>
      </w:r>
      <w:r>
        <w:rPr>
          <w:rFonts w:ascii="Times New Roman" w:hAnsi="Times New Roman" w:hint="eastAsia"/>
          <w:color w:val="333333"/>
          <w:sz w:val="22"/>
          <w:szCs w:val="22"/>
        </w:rPr>
        <w:t>农用地转用方案、补充耕地方案、征收土地方案和供地方案经有批准权的人民政府批准后，同级国土资源主管部门应当在收到批件后</w:t>
      </w:r>
      <w:r>
        <w:rPr>
          <w:rFonts w:ascii="Times New Roman" w:hAnsi="Times New Roman" w:cs="Times New Roman"/>
          <w:color w:val="333333"/>
          <w:sz w:val="22"/>
          <w:szCs w:val="22"/>
        </w:rPr>
        <w:t>5</w:t>
      </w:r>
      <w:r>
        <w:rPr>
          <w:rFonts w:ascii="Times New Roman" w:hAnsi="Times New Roman" w:hint="eastAsia"/>
          <w:color w:val="333333"/>
          <w:sz w:val="22"/>
          <w:szCs w:val="22"/>
        </w:rPr>
        <w:t>日内将批复发出。</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未按规定缴纳新增建设用地土地有偿使用费的，不予批复建设用地。其中，报国务院批准的城市建设用地，省、自治区、直辖市人民政府在设区的市人民政府按照有关规定缴纳新增建设用地土地有偿使用费后办理回复文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第十八条　</w:t>
      </w:r>
      <w:r>
        <w:rPr>
          <w:rFonts w:ascii="Times New Roman" w:hAnsi="Times New Roman" w:hint="eastAsia"/>
          <w:color w:val="333333"/>
          <w:sz w:val="22"/>
          <w:szCs w:val="22"/>
        </w:rPr>
        <w:t>经批准的农用地转用方案、补充耕地方案、征收土地方案和供地方案，由土地所在地的市、县人民政府组织实施。第十九条　建设项目补充耕地方案经批准下达后，在土地利用总体规划确定的城市建设用地范围外单独选址的建设项目，由市、县国土资源主管部门负责监督落实；在土地利用总体规划确定的城市和村庄、集镇建设用地范围内，为实施城市规划和村庄、集镇规划占用土地的，由省、自治区、直辖市国土资源主管部门负责监督落实。</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第二十条　</w:t>
      </w:r>
      <w:r>
        <w:rPr>
          <w:rFonts w:ascii="Times New Roman" w:hAnsi="Times New Roman" w:hint="eastAsia"/>
          <w:color w:val="333333"/>
          <w:sz w:val="22"/>
          <w:szCs w:val="22"/>
        </w:rPr>
        <w:t>征收土地公告和征地补偿、安置方案公告，按照《征收土地公告办法》的有关规定执行。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征地补偿、安置方案确定后，市、县国土资源主管部门应当依照征地补偿、安置方案向被征收土地的农村集体经济组织和农民支付土地补偿费、地上附着物和青苗补偿费，并落实需要安置农业人口的安置途径。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第二十一条　</w:t>
      </w:r>
      <w:r>
        <w:rPr>
          <w:rFonts w:ascii="Times New Roman" w:hAnsi="Times New Roman" w:hint="eastAsia"/>
          <w:color w:val="333333"/>
          <w:sz w:val="22"/>
          <w:szCs w:val="22"/>
        </w:rPr>
        <w:t>在土地利用总体规划确定的城市建设用地范围内，为实施城市规划占用土地的，经依法批准后，市、县国土资源主管部门应当公布规划要求，设定使用条件，确定使用方式，并组织实施。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第二十二条　</w:t>
      </w:r>
      <w:r>
        <w:rPr>
          <w:rFonts w:ascii="Times New Roman" w:hAnsi="Times New Roman" w:hint="eastAsia"/>
          <w:color w:val="333333"/>
          <w:sz w:val="22"/>
          <w:szCs w:val="22"/>
        </w:rPr>
        <w:t>以有偿使用方式提供国有土地使用权的，由市、县国土资源主管部门与土地使用者签订土地有偿使用合同，并向建设单位颁发《建设用地批准书》。土地使用者缴纳土地有偿使用费后，依照规定办理土地登记。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以划拨方式提供国有土地使用权的，由市、县国土资源主管部门向建设单位颁发《国有土地划拨决定书》和《建设用地批准书》，依照规定办理土地登记。《国有土地划拨决定书》应当包括划拨土地面积、土地用途、土地使用条件等内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建设项目施工期间，建设单位应当将《建设用地批准书》公示于施工现场。</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市、县国土资源主管部门应当将提供国有土地的情况定期予以公布。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第二十三条　</w:t>
      </w:r>
      <w:r>
        <w:rPr>
          <w:rFonts w:ascii="Times New Roman" w:hAnsi="Times New Roman" w:hint="eastAsia"/>
          <w:color w:val="333333"/>
          <w:sz w:val="22"/>
          <w:szCs w:val="22"/>
        </w:rPr>
        <w:t>各级国土资源主管部门应当对建设用地进行跟踪检查。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对违反本办法批准建设用地或者未经批准非法占用土地的，应当依法予以处罚。</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第二十四条　</w:t>
      </w:r>
      <w:r>
        <w:rPr>
          <w:rFonts w:ascii="Times New Roman" w:hAnsi="Times New Roman" w:hint="eastAsia"/>
          <w:color w:val="333333"/>
          <w:sz w:val="22"/>
          <w:szCs w:val="22"/>
        </w:rPr>
        <w:t>本办法自发布之日起施行。</w:t>
      </w:r>
    </w:p>
    <w:p w:rsidR="00A32067" w:rsidRDefault="00A32067">
      <w:pPr>
        <w:spacing w:line="220" w:lineRule="atLeast"/>
        <w:rPr>
          <w:rFonts w:eastAsia="微软雅黑"/>
          <w:sz w:val="24"/>
          <w:szCs w:val="24"/>
        </w:rPr>
      </w:pPr>
      <w:r>
        <w:rPr>
          <w:rFonts w:eastAsia="微软雅黑"/>
          <w:sz w:val="24"/>
          <w:szCs w:val="24"/>
        </w:rPr>
        <w:br w:type="page"/>
      </w: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z w:val="40"/>
          <w:szCs w:val="40"/>
        </w:rPr>
      </w:pPr>
      <w:bookmarkStart w:id="19" w:name="_Toc519872262"/>
      <w:r>
        <w:rPr>
          <w:rFonts w:ascii="Times New Roman" w:hAnsi="Times New Roman" w:hint="eastAsia"/>
          <w:b/>
          <w:bCs/>
          <w:color w:val="333333"/>
          <w:sz w:val="44"/>
          <w:szCs w:val="44"/>
        </w:rPr>
        <w:t>土地利用总体规划管理办法</w:t>
      </w:r>
      <w:r>
        <w:rPr>
          <w:rFonts w:ascii="Times New Roman" w:hAnsi="Times New Roman" w:cs="Times New Roman"/>
          <w:b/>
          <w:bCs/>
          <w:color w:val="333333"/>
          <w:sz w:val="40"/>
          <w:szCs w:val="40"/>
        </w:rPr>
        <w:br/>
      </w:r>
      <w:r>
        <w:rPr>
          <w:rFonts w:ascii="Times New Roman" w:eastAsia="微软雅黑" w:hAnsi="Times New Roman" w:cs="Times New Roman"/>
          <w:sz w:val="27"/>
          <w:szCs w:val="27"/>
        </w:rPr>
        <w:t> </w:t>
      </w:r>
      <w:r>
        <w:rPr>
          <w:rFonts w:ascii="Times New Roman" w:hAnsi="Times New Roman" w:hint="eastAsia"/>
          <w:color w:val="333333"/>
          <w:sz w:val="22"/>
          <w:szCs w:val="22"/>
        </w:rPr>
        <w:t>中华人民共和国国土资源部部令第</w:t>
      </w:r>
      <w:r>
        <w:rPr>
          <w:rFonts w:ascii="Times New Roman" w:hAnsi="Times New Roman" w:cs="Times New Roman"/>
          <w:color w:val="333333"/>
          <w:sz w:val="22"/>
          <w:szCs w:val="22"/>
        </w:rPr>
        <w:t>72</w:t>
      </w:r>
      <w:r>
        <w:rPr>
          <w:rFonts w:ascii="Times New Roman" w:hAnsi="Times New Roman" w:hint="eastAsia"/>
          <w:color w:val="333333"/>
          <w:sz w:val="22"/>
          <w:szCs w:val="22"/>
        </w:rPr>
        <w:t>号</w:t>
      </w:r>
      <w:bookmarkEnd w:id="19"/>
    </w:p>
    <w:p w:rsidR="00A32067" w:rsidRDefault="00A32067">
      <w:pPr>
        <w:shd w:val="clear" w:color="auto" w:fill="FFFFFF"/>
        <w:spacing w:line="480" w:lineRule="auto"/>
        <w:jc w:val="center"/>
        <w:rPr>
          <w:rFonts w:eastAsia="微软雅黑"/>
          <w:sz w:val="27"/>
          <w:szCs w:val="27"/>
        </w:rPr>
      </w:pPr>
    </w:p>
    <w:p w:rsidR="00A32067" w:rsidRDefault="00A32067" w:rsidP="005431C7">
      <w:pPr>
        <w:shd w:val="clear" w:color="auto" w:fill="FFFFFF"/>
        <w:spacing w:line="360" w:lineRule="auto"/>
        <w:ind w:firstLineChars="200" w:firstLine="31680"/>
        <w:rPr>
          <w:rFonts w:eastAsia="微软雅黑"/>
          <w:color w:val="333333"/>
          <w:sz w:val="24"/>
          <w:szCs w:val="24"/>
        </w:rPr>
      </w:pPr>
      <w:r>
        <w:rPr>
          <w:rFonts w:eastAsia="微软雅黑" w:cs="微软雅黑" w:hint="eastAsia"/>
          <w:color w:val="333333"/>
          <w:sz w:val="24"/>
          <w:szCs w:val="24"/>
        </w:rPr>
        <w:t>《土地利用总体规划管理办法》已经</w:t>
      </w:r>
      <w:r>
        <w:rPr>
          <w:rFonts w:eastAsia="微软雅黑"/>
          <w:color w:val="333333"/>
          <w:sz w:val="24"/>
          <w:szCs w:val="24"/>
        </w:rPr>
        <w:t>2017</w:t>
      </w:r>
      <w:r>
        <w:rPr>
          <w:rFonts w:eastAsia="微软雅黑" w:cs="微软雅黑" w:hint="eastAsia"/>
          <w:color w:val="333333"/>
          <w:sz w:val="24"/>
          <w:szCs w:val="24"/>
        </w:rPr>
        <w:t>年</w:t>
      </w:r>
      <w:r>
        <w:rPr>
          <w:rFonts w:eastAsia="微软雅黑"/>
          <w:color w:val="333333"/>
          <w:sz w:val="24"/>
          <w:szCs w:val="24"/>
        </w:rPr>
        <w:t>5</w:t>
      </w:r>
      <w:r>
        <w:rPr>
          <w:rFonts w:eastAsia="微软雅黑" w:cs="微软雅黑" w:hint="eastAsia"/>
          <w:color w:val="333333"/>
          <w:sz w:val="24"/>
          <w:szCs w:val="24"/>
        </w:rPr>
        <w:t>月</w:t>
      </w:r>
      <w:r>
        <w:rPr>
          <w:rFonts w:eastAsia="微软雅黑"/>
          <w:color w:val="333333"/>
          <w:sz w:val="24"/>
          <w:szCs w:val="24"/>
        </w:rPr>
        <w:t>2</w:t>
      </w:r>
      <w:r>
        <w:rPr>
          <w:rFonts w:eastAsia="微软雅黑" w:cs="微软雅黑" w:hint="eastAsia"/>
          <w:color w:val="333333"/>
          <w:sz w:val="24"/>
          <w:szCs w:val="24"/>
        </w:rPr>
        <w:t>日国土资源部第</w:t>
      </w:r>
      <w:r>
        <w:rPr>
          <w:rFonts w:eastAsia="微软雅黑"/>
          <w:color w:val="333333"/>
          <w:sz w:val="24"/>
          <w:szCs w:val="24"/>
        </w:rPr>
        <w:t>1</w:t>
      </w:r>
      <w:r>
        <w:rPr>
          <w:rFonts w:eastAsia="微软雅黑" w:cs="微软雅黑" w:hint="eastAsia"/>
          <w:color w:val="333333"/>
          <w:sz w:val="24"/>
          <w:szCs w:val="24"/>
        </w:rPr>
        <w:t>次部务会议审议通过，现予公布，自公布之日起施行。</w:t>
      </w:r>
      <w:r>
        <w:rPr>
          <w:rFonts w:eastAsia="微软雅黑"/>
          <w:color w:val="333333"/>
          <w:sz w:val="24"/>
          <w:szCs w:val="24"/>
        </w:rPr>
        <w:t> </w:t>
      </w:r>
    </w:p>
    <w:p w:rsidR="00A32067" w:rsidRDefault="00A32067">
      <w:pPr>
        <w:shd w:val="clear" w:color="auto" w:fill="FFFFFF"/>
        <w:spacing w:line="360" w:lineRule="auto"/>
        <w:jc w:val="right"/>
        <w:rPr>
          <w:rFonts w:eastAsia="微软雅黑"/>
          <w:sz w:val="24"/>
          <w:szCs w:val="24"/>
        </w:rPr>
      </w:pPr>
      <w:r>
        <w:rPr>
          <w:rFonts w:eastAsia="微软雅黑" w:cs="微软雅黑" w:hint="eastAsia"/>
          <w:sz w:val="24"/>
          <w:szCs w:val="24"/>
        </w:rPr>
        <w:t>部长姜大明</w:t>
      </w:r>
    </w:p>
    <w:p w:rsidR="00A32067" w:rsidRDefault="00A32067">
      <w:pPr>
        <w:shd w:val="clear" w:color="auto" w:fill="FFFFFF"/>
        <w:spacing w:line="360" w:lineRule="auto"/>
        <w:jc w:val="right"/>
        <w:rPr>
          <w:rFonts w:eastAsia="微软雅黑"/>
          <w:sz w:val="24"/>
          <w:szCs w:val="24"/>
        </w:rPr>
      </w:pPr>
      <w:r>
        <w:rPr>
          <w:rFonts w:eastAsia="微软雅黑"/>
          <w:sz w:val="24"/>
          <w:szCs w:val="24"/>
        </w:rPr>
        <w:t>2017</w:t>
      </w:r>
      <w:r>
        <w:rPr>
          <w:rFonts w:eastAsia="微软雅黑" w:cs="微软雅黑" w:hint="eastAsia"/>
          <w:sz w:val="24"/>
          <w:szCs w:val="24"/>
        </w:rPr>
        <w:t>年</w:t>
      </w:r>
      <w:r>
        <w:rPr>
          <w:rFonts w:eastAsia="微软雅黑"/>
          <w:sz w:val="24"/>
          <w:szCs w:val="24"/>
        </w:rPr>
        <w:t>5</w:t>
      </w:r>
      <w:r>
        <w:rPr>
          <w:rFonts w:eastAsia="微软雅黑" w:cs="微软雅黑" w:hint="eastAsia"/>
          <w:sz w:val="24"/>
          <w:szCs w:val="24"/>
        </w:rPr>
        <w:t>月</w:t>
      </w:r>
      <w:r>
        <w:rPr>
          <w:rFonts w:eastAsia="微软雅黑"/>
          <w:sz w:val="24"/>
          <w:szCs w:val="24"/>
        </w:rPr>
        <w:t>8</w:t>
      </w:r>
      <w:r>
        <w:rPr>
          <w:rFonts w:eastAsia="微软雅黑" w:cs="微软雅黑" w:hint="eastAsia"/>
          <w:sz w:val="24"/>
          <w:szCs w:val="24"/>
        </w:rPr>
        <w:t>日</w:t>
      </w:r>
    </w:p>
    <w:p w:rsidR="00A32067" w:rsidRDefault="00A32067">
      <w:pPr>
        <w:pStyle w:val="NormalWeb"/>
        <w:shd w:val="clear" w:color="auto" w:fill="FFFFFF"/>
        <w:spacing w:before="0" w:beforeAutospacing="0" w:after="0" w:afterAutospacing="0" w:line="360" w:lineRule="auto"/>
        <w:ind w:right="120" w:firstLine="200"/>
        <w:jc w:val="center"/>
        <w:rPr>
          <w:rFonts w:ascii="Times New Roman" w:hAnsi="Times New Roman" w:cs="Times New Roman"/>
          <w:b/>
          <w:bCs/>
          <w:color w:val="333333"/>
          <w:sz w:val="32"/>
          <w:szCs w:val="32"/>
        </w:rPr>
      </w:pPr>
      <w:r>
        <w:rPr>
          <w:rFonts w:ascii="Times New Roman" w:hAnsi="Times New Roman" w:hint="eastAsia"/>
          <w:b/>
          <w:bCs/>
          <w:color w:val="333333"/>
          <w:sz w:val="32"/>
          <w:szCs w:val="32"/>
        </w:rPr>
        <w:t>土地利用总体规划管理办法</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hint="eastAsia"/>
          <w:color w:val="333333"/>
          <w:sz w:val="22"/>
          <w:szCs w:val="22"/>
        </w:rPr>
        <w:t>为落实创新、协调、绿色、开放、共享的发展理念，加强和规范土地利用总体规划管理，严格保护耕地，促进节约集约用地，根据《中华人民共和国土地管理法》和《中华人民共和国土地管理法实施条例》，制定本办法。</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hint="eastAsia"/>
          <w:color w:val="333333"/>
          <w:sz w:val="22"/>
          <w:szCs w:val="22"/>
        </w:rPr>
        <w:t>土地利用总体规划是国家空间规划体系的重要组成部分，是实施土地用途管制，保护土地资源，统筹各项土地利用活动的重要依据。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城乡建设、区域发展、基础设施建设、产业发展、生态环境保护、矿产资源勘查开发等各类与土地利用相关的规划，应当与土地利用总体规划相衔接。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第三条</w:t>
      </w:r>
      <w:r>
        <w:rPr>
          <w:rFonts w:ascii="Times New Roman" w:hAnsi="Times New Roman" w:hint="eastAsia"/>
          <w:color w:val="333333"/>
          <w:sz w:val="22"/>
          <w:szCs w:val="22"/>
        </w:rPr>
        <w:t>土地利用总体规划的编制、审查、实施、修改和监督检查，适用本办法。</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第四条</w:t>
      </w:r>
      <w:r>
        <w:rPr>
          <w:rFonts w:ascii="Times New Roman" w:hAnsi="Times New Roman" w:hint="eastAsia"/>
          <w:color w:val="333333"/>
          <w:sz w:val="22"/>
          <w:szCs w:val="22"/>
        </w:rPr>
        <w:t>在土地利用总体规划管理及其相关科学研究等方面取得显著成绩的单位和个人，由国土资源主管部门给予表彰和奖励。</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第二章规划编制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第五条</w:t>
      </w:r>
      <w:r>
        <w:rPr>
          <w:rFonts w:ascii="Times New Roman" w:hAnsi="Times New Roman" w:hint="eastAsia"/>
          <w:color w:val="333333"/>
          <w:sz w:val="22"/>
          <w:szCs w:val="22"/>
        </w:rPr>
        <w:t>土地利用总体规划分为国家、省、市、县和乡（镇）五级。</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村土地利用规划是乡（镇）土地利用总体规划的重要组成部分。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第六条</w:t>
      </w:r>
      <w:r>
        <w:rPr>
          <w:rFonts w:ascii="Times New Roman" w:hAnsi="Times New Roman" w:hint="eastAsia"/>
          <w:color w:val="333333"/>
          <w:sz w:val="22"/>
          <w:szCs w:val="22"/>
        </w:rPr>
        <w:t>土地利用总体规划依法由各级人民政府组织编制，国土资源主管部门具体承办。国土资源主管部门会同有关部门编制本级土地利用总体规划，审查下级土地利用总体规划。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编制土地利用总体规划，应当坚持政府组织、专家领衔、部门协作、公众参与的工作原则。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hint="eastAsia"/>
          <w:color w:val="333333"/>
          <w:sz w:val="22"/>
          <w:szCs w:val="22"/>
        </w:rPr>
        <w:t>土地利用总体规划编制前，国土资源主管部门应当对现行规划的实施情况进行评估，开展基础调查、土地调查成果资料收集、重大问题研究等前期工作。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第八条</w:t>
      </w:r>
      <w:r>
        <w:rPr>
          <w:rFonts w:ascii="Times New Roman" w:hAnsi="Times New Roman" w:hint="eastAsia"/>
          <w:color w:val="333333"/>
          <w:sz w:val="22"/>
          <w:szCs w:val="22"/>
        </w:rPr>
        <w:t>国土资源主管部门应当依据土地利用现状，按照国民经济和社会发展规划等要求，以主体功能区规划、国土规划、国家发展战略为基础，组织编制土地利用总体规划大纲。</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土地利用总体规划大纲包括：</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（一）规划背景；</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（二）土地利用现状与评价；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（三）指导思想和原则；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（四）土地利用战略定位和目标；</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（五）土地利用规模、结构与总体布局；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（六）规划实施措施。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乡（镇）土地利用总体规划大纲是否编制，由设区的市、自治州国土资源主管部门根据实际情况决定。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第九条</w:t>
      </w:r>
      <w:r>
        <w:rPr>
          <w:rFonts w:ascii="Times New Roman" w:hAnsi="Times New Roman" w:hint="eastAsia"/>
          <w:color w:val="333333"/>
          <w:sz w:val="22"/>
          <w:szCs w:val="22"/>
        </w:rPr>
        <w:t>县级以上地方国土资源主管部门依据经审核通过的土地利用总体规划大纲，编制土地利用总体规划。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乡（镇）土地利用总体规划可以与所在地的县级土地利用总体规划同步编制。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第十条</w:t>
      </w:r>
      <w:r>
        <w:rPr>
          <w:rFonts w:ascii="Times New Roman" w:hAnsi="Times New Roman" w:hint="eastAsia"/>
          <w:color w:val="333333"/>
          <w:sz w:val="22"/>
          <w:szCs w:val="22"/>
        </w:rPr>
        <w:t>在土地利用总体规划编制过程中，对涉及土地资源保护与可持续发展、土地节约集约利用、土地利用结构布局优化、土地生态环境保护与建设等重大问题，国土资源主管部门应当组织相关方面的专家进行专题研究和论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第十一条</w:t>
      </w:r>
      <w:r>
        <w:rPr>
          <w:rFonts w:ascii="Times New Roman" w:hAnsi="Times New Roman" w:hint="eastAsia"/>
          <w:color w:val="333333"/>
          <w:sz w:val="22"/>
          <w:szCs w:val="22"/>
        </w:rPr>
        <w:t>国土资源主管部门应当在本级人民政府的领导下，建立土地利用总体规划编制部门协调机制，听取各有关部门的意见。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第十二条</w:t>
      </w:r>
      <w:r>
        <w:rPr>
          <w:rFonts w:ascii="Times New Roman" w:hAnsi="Times New Roman" w:hint="eastAsia"/>
          <w:color w:val="333333"/>
          <w:sz w:val="22"/>
          <w:szCs w:val="22"/>
        </w:rPr>
        <w:t>对土地利用总体规划编制中的重大问题，国土资源主管部门可以根据实际情况采取多种方式向社会公众征询解决方案。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对直接涉及公民、法人和其他组织合法权益的规划内容，应当采取公告、听证或者其他方式，充分听取公众的意见。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采取公告方式听取意见的，公告的时间不得少于三十日。采取听证方式听取意见的，按照《国土资源听证规定》的程序进行。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征询、听取和采纳公众意见情况应当作为规划报送审查材料一并上报。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第十三条</w:t>
      </w:r>
      <w:r>
        <w:rPr>
          <w:rFonts w:ascii="Times New Roman" w:hAnsi="Times New Roman" w:hint="eastAsia"/>
          <w:color w:val="333333"/>
          <w:sz w:val="22"/>
          <w:szCs w:val="22"/>
        </w:rPr>
        <w:t>国土资源主管部门应当组织相关方面专家对土地利用总体规划进行论证，论证情况应当作为规划报送审查材料一并上报。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第十四条</w:t>
      </w:r>
      <w:r>
        <w:rPr>
          <w:rFonts w:ascii="Times New Roman" w:hAnsi="Times New Roman" w:hint="eastAsia"/>
          <w:color w:val="333333"/>
          <w:sz w:val="22"/>
          <w:szCs w:val="22"/>
        </w:rPr>
        <w:t>土地利用总体规划编制应当运用先进的科学技术手段，加强规划管理信息化建设，提高土地利用总体规划的编制水平。</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土地利用总体规划数据库建设工作应当与土地利用总体规划编制工作同步完成，同步审查确认。</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第三章规划内容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第十五条</w:t>
      </w:r>
      <w:r>
        <w:rPr>
          <w:rFonts w:ascii="Times New Roman" w:hAnsi="Times New Roman" w:hint="eastAsia"/>
          <w:color w:val="333333"/>
          <w:sz w:val="22"/>
          <w:szCs w:val="22"/>
        </w:rPr>
        <w:t>土地利用总体规划应当包括下列内容：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（一）现行规划实施情况评估；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（二）规划背景；</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（三）土地利用现状与评价；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（四）土地供需形势分析；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（五）土地利用战略；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（六）规划主要目标，包括耕地保有量、基本农田保护面积、建设用地规模和土地整治安排等；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（七）土地利用结构、布局、时序安排和节约集约用地的优化方案；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（八）土地利用的差别化政策；</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（九）规划实施的责任与保障措施；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（十）规划图件和图则；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（十一）规划说明以及与相关规划协调衔接情况。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乡（镇）土地利用总体规划可以根据实际情况，适当简化前款规定的内容。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第十六条</w:t>
      </w:r>
      <w:r>
        <w:rPr>
          <w:rFonts w:ascii="Times New Roman" w:hAnsi="Times New Roman" w:hint="eastAsia"/>
          <w:color w:val="333333"/>
          <w:sz w:val="22"/>
          <w:szCs w:val="22"/>
        </w:rPr>
        <w:t>省级土地利用总体规划，应当重点突出下列内容：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（一）国家级土地利用任务的落实情况；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（二）重大土地利用问题的解决方案；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（三）各区域土地利用的主要方向；</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（四）对市级土地利用的调控；</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（五）土地利用重大专项安排；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（六）规划实施的机制创新。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其中直辖市的土地利用总体规划，综合前款规定和本办法第十七条规定的内容编制。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第十七条</w:t>
      </w:r>
      <w:r>
        <w:rPr>
          <w:rFonts w:ascii="Times New Roman" w:hAnsi="Times New Roman" w:hint="eastAsia"/>
          <w:color w:val="333333"/>
          <w:sz w:val="22"/>
          <w:szCs w:val="22"/>
        </w:rPr>
        <w:t>市级土地利用总体规划，应当重点突出下列内容：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（一）省级土地利用任务的落实；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（二）土地利用规模、结构、布局和时序安排；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（三）土地利用功能分区及其分区管制规则；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（四）中心城区土地利用控制；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（五）对县级土地利用的调控；</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（六）基本农田集中划定区域；</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（七）重点工程安排；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（八）规划实施的责任落实。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前款第四项规定的中心城区，包括城市主城区及其相关联的功能组团，其土地利用控制的重点是按照土地用途管制的要求，确定规划期内新增建设用地的规模与布局安排，划定中心城区建设用地的扩展边界。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第十八条</w:t>
      </w:r>
      <w:r>
        <w:rPr>
          <w:rFonts w:ascii="Times New Roman" w:hAnsi="Times New Roman" w:hint="eastAsia"/>
          <w:color w:val="333333"/>
          <w:sz w:val="22"/>
          <w:szCs w:val="22"/>
        </w:rPr>
        <w:t>县级土地利用总体规划，应当重点突出下列内容：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（一）市级土地利用任务的落实；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（二）土地利用规模、结构、布局和时序安排；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（三）土地用途管制分区及其管制规则；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（四）中心城区土地利用控制；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（五）对乡（镇）土地利用的调控；</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（六）基本农田保护区的划定；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（七）城镇村用地扩展边界的划定；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（八）土地整治的规模、范围和重点区域的确定。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第十九条</w:t>
      </w:r>
      <w:r>
        <w:rPr>
          <w:rFonts w:ascii="Times New Roman" w:hAnsi="Times New Roman" w:hint="eastAsia"/>
          <w:color w:val="333333"/>
          <w:sz w:val="22"/>
          <w:szCs w:val="22"/>
        </w:rPr>
        <w:t>乡（镇）土地利用总体规划，应当重点突出下列内容：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（一）耕地、基本农田地块的落实；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（二）县级规划中土地用途分区、布局与边界的落实；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（三）地块土地用途的确定；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（四）镇和农村居民点用地扩展边界的划定；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（五）土地整治项目的安排。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第二十条</w:t>
      </w:r>
      <w:r>
        <w:rPr>
          <w:rFonts w:ascii="Times New Roman" w:hAnsi="Times New Roman" w:hint="eastAsia"/>
          <w:color w:val="333333"/>
          <w:sz w:val="22"/>
          <w:szCs w:val="22"/>
        </w:rPr>
        <w:t>村土地利用规划，应当重点突出下列内容：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（一）乡（镇）规划中土地用途分区、布局与边界的落实；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（二）农村集体建设用地的安排，农村宅基地、公益性设施用地等的范围；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（三）不同用途土地的使用规则。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第二十一条</w:t>
      </w:r>
      <w:r>
        <w:rPr>
          <w:rFonts w:ascii="Times New Roman" w:hAnsi="Times New Roman" w:hint="eastAsia"/>
          <w:color w:val="333333"/>
          <w:sz w:val="22"/>
          <w:szCs w:val="22"/>
        </w:rPr>
        <w:t>编制土地利用总体规划，应当综合考虑资源环境承载能力，统筹利用地上地下空间资源，按照下列布局次序、原则和要求，科学合理安排各类用地空间布局：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（一）优先布局国土安全和生态屏障用地；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（二）协调安排耕地、基本农田和基础设施用地；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（三）优化城乡建设用地结构和布局；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（四）维护和扩大城乡绿色空间；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（五）稳定自然和人文景观用地；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（六）发挥农地多重功能，拓展生态空间；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（七）防范污染区域环境风险，因地制宜整治利用；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（八）尽量避免地质灾害易发区和压覆国家重要矿产资源。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第二十二条</w:t>
      </w:r>
      <w:r>
        <w:rPr>
          <w:rFonts w:ascii="Times New Roman" w:hAnsi="Times New Roman" w:hint="eastAsia"/>
          <w:color w:val="333333"/>
          <w:sz w:val="22"/>
          <w:szCs w:val="22"/>
        </w:rPr>
        <w:t>编制市级、县级、乡（镇）土地利用总体规划，国土资源主管部门应当会同环境保护、住房城乡建设等部门，充分考虑生态保护红线、永久基本农田、城镇开发边界，因地制宜划定下列城乡建设用地管制边界和管制区域：</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（一）城乡建设用地规模边界；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（二）城乡建设用地扩展边界；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（三）城乡建设用地禁建边界；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（四）允许建设区；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（五）有条件建设区；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（六）限制建设区；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（七）禁止建设区。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第二十三条</w:t>
      </w:r>
      <w:r>
        <w:rPr>
          <w:rFonts w:ascii="Times New Roman" w:hAnsi="Times New Roman" w:hint="eastAsia"/>
          <w:color w:val="333333"/>
          <w:sz w:val="22"/>
          <w:szCs w:val="22"/>
        </w:rPr>
        <w:t>土地利用总体规划图件是土地利用总体规划的重要组成部分，与土地利用总体规划文本具有同等法律效力。</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土地利用总体规划图件包括：</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（一）土地利用总体规划图；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（二）土地利用总体规划附图。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前款第二项规定的土地利用总体规划附图，包括规划现状图、专题规划图和其他图件等。</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第四章审查和报批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第二十四条</w:t>
      </w:r>
      <w:r>
        <w:rPr>
          <w:rFonts w:ascii="Times New Roman" w:hAnsi="Times New Roman" w:hint="eastAsia"/>
          <w:color w:val="333333"/>
          <w:sz w:val="22"/>
          <w:szCs w:val="22"/>
        </w:rPr>
        <w:t>省、市、县级土地利用总体规划大纲经本级人民政府同意后，逐级上报规划审批机关同级的国土资源主管部门审核。</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土地利用总体规划大纲未通过审核的，有关国土资源主管部门应当根据审核意见修改土地利用总体规划大纲，按照规定程序重新上报审核。</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第二十五条</w:t>
      </w:r>
      <w:r>
        <w:rPr>
          <w:rFonts w:ascii="Times New Roman" w:hAnsi="Times New Roman" w:hint="eastAsia"/>
          <w:color w:val="333333"/>
          <w:sz w:val="22"/>
          <w:szCs w:val="22"/>
        </w:rPr>
        <w:t>土地利用总体规划大纲是土地利用总体规划编制的重要依据，有关国土资源主管部门应当依据审核通过的土地利用总体规划大纲编制土地利用总体规划。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第二十六条</w:t>
      </w:r>
      <w:r>
        <w:rPr>
          <w:rFonts w:ascii="Times New Roman" w:hAnsi="Times New Roman" w:hint="eastAsia"/>
          <w:color w:val="333333"/>
          <w:sz w:val="22"/>
          <w:szCs w:val="22"/>
        </w:rPr>
        <w:t>土地利用总体规划按照下级规划服从上级规划的原则，依法自上而下审查报批。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跨行政区域的土地利用总体规划由共同的上级人民政府国土资源主管部门会同发展改革等有关部门编制，依照法定权限报批。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第二十七条</w:t>
      </w:r>
      <w:r>
        <w:rPr>
          <w:rFonts w:ascii="Times New Roman" w:hAnsi="Times New Roman" w:hint="eastAsia"/>
          <w:color w:val="333333"/>
          <w:sz w:val="22"/>
          <w:szCs w:val="22"/>
        </w:rPr>
        <w:t>土地利用总体规划审查报批，应当提交下列材料：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（一）规划文本及说明；</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（二）规划图件；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（三）专题研究报告；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（四）规划数据库；</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（五）征求意见及论证情况、土地利用总体规划大纲审核意见及修改落实情况等其他材料。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第二十八条</w:t>
      </w:r>
      <w:r>
        <w:rPr>
          <w:rFonts w:ascii="Times New Roman" w:hAnsi="Times New Roman" w:hint="eastAsia"/>
          <w:color w:val="333333"/>
          <w:sz w:val="22"/>
          <w:szCs w:val="22"/>
        </w:rPr>
        <w:t>有关国土资源主管部门应当自收到人民政府转来的下级土地利用总体规划之日起五个工作日内，送其他有关部门和单位征求意见；自收到其他有关部门和单位的意见之日起三十日内，完成规划审查工作。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对土地利用总体规划有较大分歧时，有关国土资源主管部门应当组织其他有关部门和单位进行协调。因特殊情况，确需延长规划审查期限的，经本部门主要负责人批准，可以延长三十日。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第二十九条</w:t>
      </w:r>
      <w:r>
        <w:rPr>
          <w:rFonts w:ascii="Times New Roman" w:hAnsi="Times New Roman" w:hint="eastAsia"/>
          <w:color w:val="333333"/>
          <w:sz w:val="22"/>
          <w:szCs w:val="22"/>
        </w:rPr>
        <w:t>土地利用总体规划的审查依据包括：</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（一）现行法律、法规、规章及相关规范；</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（二）国家有关土地利用和管理的方针、政策；</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（三）上级土地利用总体规划；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（四）土地利用相关规划；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（五）其他可以依据的基础调查资料等。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第三十条</w:t>
      </w:r>
      <w:r>
        <w:rPr>
          <w:rFonts w:ascii="Times New Roman" w:hAnsi="Times New Roman" w:hint="eastAsia"/>
          <w:color w:val="333333"/>
          <w:sz w:val="22"/>
          <w:szCs w:val="22"/>
        </w:rPr>
        <w:t>土地利用总体规划的审查内容包括：</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（一）现行规划实施评价；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（二）土地利用现状与评价；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（三）规划目标；</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（四）土地利用规模、结构、布局和时序；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（五）土地利用主要指标分解情况；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（六）规划衔接协调论证情况和公众参与情况；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（七）规划实施保障措施；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（八）规划图件、数据库成果。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第三十一条</w:t>
      </w:r>
      <w:r>
        <w:rPr>
          <w:rFonts w:ascii="Times New Roman" w:hAnsi="Times New Roman" w:hint="eastAsia"/>
          <w:color w:val="333333"/>
          <w:sz w:val="22"/>
          <w:szCs w:val="22"/>
        </w:rPr>
        <w:t>土地利用总体规划经依法批准后，规划编制机关应当自规划批准之日起二十个工作日内，在本级人民政府或者国土资源主管部门门户网站向社会公布，接受公众查询和监督。其中，乡（镇）土地利用总体规划应当在本行政区域各村民委员会村务公开栏或者其他公共场所公布。但法律、行政法规规定不得公开的内容除外。</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第五章规划实施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第三十二条</w:t>
      </w:r>
      <w:r>
        <w:rPr>
          <w:rFonts w:ascii="Times New Roman" w:hAnsi="Times New Roman" w:hint="eastAsia"/>
          <w:color w:val="333333"/>
          <w:sz w:val="22"/>
          <w:szCs w:val="22"/>
        </w:rPr>
        <w:t>土地利用总体规划是实施土地用途管制的重要依据。任何土地利用活动，必须符合土地利用总体规划确定的土地用途，不得突破土地利用总体规划确定的用地规模和总体布局安排。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国土资源主管部门开展建设用地预审、编制土地利用计划、开展建设用地审查报批、划定基本农田等工作，应当以土地利用总体规划为依据，确保规划目标的落实。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第三十三条</w:t>
      </w:r>
      <w:r>
        <w:rPr>
          <w:rFonts w:ascii="Times New Roman" w:hAnsi="Times New Roman" w:hint="eastAsia"/>
          <w:color w:val="333333"/>
          <w:sz w:val="22"/>
          <w:szCs w:val="22"/>
        </w:rPr>
        <w:t>土地利用总体规划划定的城乡建设用地管制边界和管制区域，必须严格执行，未经依法批准，不得擅自突破。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需要使用土地的城、镇、村和工矿建设项目，应当在允许建设区内安排建设用地。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严禁在限制建设区和禁止建设区内安排城镇建设项目。交通、能源、水利、军事、国家安全、矿山和其他因生态环境保护要求确需在限制建设区和禁止建设区内单独选址的建设项目，必须经依法批准。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第三十四条</w:t>
      </w:r>
      <w:r>
        <w:rPr>
          <w:rFonts w:ascii="Times New Roman" w:hAnsi="Times New Roman" w:hint="eastAsia"/>
          <w:color w:val="333333"/>
          <w:sz w:val="22"/>
          <w:szCs w:val="22"/>
        </w:rPr>
        <w:t>为实施土地利用总体规划，国土资源主管部门可以会同发展改革等有关部门，按照国家有关规定编制和实施土地整治规划等专项规划，规范有序推进高标准农田建设、城乡建设用地增减挂钩、工矿废弃地复垦利用和城镇低效用地再开发等各项土地整治活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军队土地主管部门可以依据土地利用总体规划，编制和实施军用土地资源利用和管理的专项规划。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第三十五条</w:t>
      </w:r>
      <w:r>
        <w:rPr>
          <w:rFonts w:ascii="Times New Roman" w:hAnsi="Times New Roman" w:hint="eastAsia"/>
          <w:color w:val="333333"/>
          <w:sz w:val="22"/>
          <w:szCs w:val="22"/>
        </w:rPr>
        <w:t>依据土地利用总体规划和土地整治规划实施土地整治项目，应当优先在土地利用总体规划确定的重点区域、重大工程和基本农田保护区内安排，确保规划项目有效实施。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第三十六条</w:t>
      </w:r>
      <w:r>
        <w:rPr>
          <w:rFonts w:ascii="Times New Roman" w:hAnsi="Times New Roman" w:hint="eastAsia"/>
          <w:color w:val="333333"/>
          <w:sz w:val="22"/>
          <w:szCs w:val="22"/>
        </w:rPr>
        <w:t>土地利用总体规划经批准实施后，县级以上国土资源主管部门应当定期组织对规划实施情况进行全面评估，分析规划实施取得的成效、存在的问题及原因，提出促进规划有效实施的建议和措施。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国家、省、市和县级土地利用总体规划可以每年开展一次评估。乡（镇）土地利用总体规划可以根据需要适时开展评估。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第三十七条</w:t>
      </w:r>
      <w:r>
        <w:rPr>
          <w:rFonts w:ascii="Times New Roman" w:hAnsi="Times New Roman" w:hint="eastAsia"/>
          <w:color w:val="333333"/>
          <w:sz w:val="22"/>
          <w:szCs w:val="22"/>
        </w:rPr>
        <w:t>土地利用总体规划实施评估应当包括下列内容：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（一）耕地和基本农田保护落实情况；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（二）节约集约用地落实情况；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（三）建设用地规模、结构及空间布局实施情况；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（四）生态用地保护落实情况；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（五）土地利用重大工程与重点建设项目实施情况；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（六）规划实施措施执行情况；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（七）规划背景重大变化情况；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（八）评估结论。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第三十八条</w:t>
      </w:r>
      <w:r>
        <w:rPr>
          <w:rFonts w:ascii="Times New Roman" w:hAnsi="Times New Roman" w:hint="eastAsia"/>
          <w:color w:val="333333"/>
          <w:sz w:val="22"/>
          <w:szCs w:val="22"/>
        </w:rPr>
        <w:t>城、镇、村和工矿建设发展空间应当限定在土地利用总体规划确定的允许建设区内。</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市、县在不改变允许建设区规模、不突破城乡建设用地扩展边界和有条件建设区的前提下，可以制定城乡建设用地规模边界调整方案，经土地利用总体规划审批机关同级的国土资源主管部门同意后，调整允许建设区和有条件建设区的空间布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城乡建设用地扩展边界不得调整。确需调整的，依照本办法规定报规划原审批机关批准。</w:t>
      </w:r>
    </w:p>
    <w:p w:rsidR="00A32067" w:rsidRDefault="00A32067" w:rsidP="0002085C">
      <w:pPr>
        <w:pStyle w:val="NormalWeb"/>
        <w:shd w:val="clear" w:color="auto" w:fill="FFFFFF"/>
        <w:spacing w:beforeLines="50" w:beforeAutospacing="0" w:afterLines="100" w:afterAutospacing="0" w:line="360" w:lineRule="auto"/>
        <w:jc w:val="center"/>
        <w:rPr>
          <w:rFonts w:ascii="Times New Roman" w:hAnsi="Times New Roman" w:cs="Times New Roman"/>
          <w:b/>
          <w:bCs/>
          <w:color w:val="333333"/>
        </w:rPr>
      </w:pPr>
      <w:r>
        <w:rPr>
          <w:rFonts w:ascii="Times New Roman" w:hAnsi="Times New Roman" w:hint="eastAsia"/>
          <w:b/>
          <w:bCs/>
          <w:color w:val="333333"/>
        </w:rPr>
        <w:t>第六章规划修改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第三十九条</w:t>
      </w:r>
      <w:r>
        <w:rPr>
          <w:rFonts w:ascii="Times New Roman" w:hAnsi="Times New Roman" w:hint="eastAsia"/>
          <w:color w:val="333333"/>
          <w:sz w:val="22"/>
          <w:szCs w:val="22"/>
        </w:rPr>
        <w:t>有下列情形之一，确需修改土地利用总体规划的，规划编制机关可以依法组织修改规划，报原规划审批机关批准：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（一）国家或者省级重大战略实施、重大政策调整、经济社会发展条件发生重大变化；</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（二）经国务院或者省级人民政府及其投资主管部门批准的能源、交通、水利、矿山、军事设施等建设项目；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（三）重大自然灾害抢险避灾、灾后恢复重建；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（四）行政区划调整；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（五）重要民生项目建设；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（六）法律、行政法规规定的其他情形。</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经规划实施评估，确需修改土地利用总体规划的，依照前款规定执行。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规划修改报批程序依照本办法规定的规划编制报批程序执行。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第四十条</w:t>
      </w:r>
      <w:r>
        <w:rPr>
          <w:rFonts w:ascii="Times New Roman" w:hAnsi="Times New Roman" w:hint="eastAsia"/>
          <w:color w:val="333333"/>
          <w:sz w:val="22"/>
          <w:szCs w:val="22"/>
        </w:rPr>
        <w:t>申请修改土地利用总体规划，应当报送下列材料：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（一）规划修改方案主要内容，包括规划修改的原因、依据、主要内容、方案评价和措施建议；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（二）规划修改方案主要表格，包括土地利用结构调整情况表、规划指标调整情况表、建设用地空间管制分区变化情况表；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（三）规划修改方案主要图件，包括土地利用总体规划修改图、土地利用总体规划修改前后对比图、土地利用分区调整图、建设用地空间管制分区调整图；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（四）规划修改方案数据库成果；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（五）规划修改征求意见情况、修改说明等其他材料。属于评估后修改的，还需要同时报送规划实施评估报告。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第四十一条</w:t>
      </w:r>
      <w:r>
        <w:rPr>
          <w:rFonts w:ascii="Times New Roman" w:hAnsi="Times New Roman" w:hint="eastAsia"/>
          <w:color w:val="333333"/>
          <w:sz w:val="22"/>
          <w:szCs w:val="22"/>
        </w:rPr>
        <w:t>土地利用总体规划修改，应当重点审查下列内容：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（一）是否必要；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（二）是否符合法律、法规和本办法规定的适用范围；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（三）是否符合国家战略和土地利用管理政策，是否符合保护耕地、节约集约用地和改善生态环境的要求；</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（四）主要指标安排是否合理、可行，与上级规划是否衔接，涉及增加规划指标的，增加的途径是否落实；</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（五）是否与相关规划相协调；</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（六）实施措施是否落实了土地用途管制的要求。</w:t>
      </w:r>
    </w:p>
    <w:p w:rsidR="00A32067" w:rsidRDefault="00A32067" w:rsidP="0002085C">
      <w:pPr>
        <w:pStyle w:val="NormalWeb"/>
        <w:shd w:val="clear" w:color="auto" w:fill="FFFFFF"/>
        <w:spacing w:beforeLines="50" w:beforeAutospacing="0" w:afterLines="100" w:afterAutospacing="0" w:line="360" w:lineRule="auto"/>
        <w:jc w:val="center"/>
        <w:rPr>
          <w:rFonts w:ascii="Times New Roman" w:hAnsi="Times New Roman" w:cs="Times New Roman"/>
          <w:b/>
          <w:bCs/>
          <w:color w:val="333333"/>
        </w:rPr>
      </w:pPr>
      <w:r>
        <w:rPr>
          <w:rFonts w:ascii="Times New Roman" w:hAnsi="Times New Roman" w:hint="eastAsia"/>
          <w:b/>
          <w:bCs/>
          <w:color w:val="333333"/>
        </w:rPr>
        <w:t>第七章监督检查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第四十二条</w:t>
      </w:r>
      <w:r>
        <w:rPr>
          <w:rFonts w:ascii="Times New Roman" w:hAnsi="Times New Roman" w:hint="eastAsia"/>
          <w:color w:val="333333"/>
          <w:sz w:val="22"/>
          <w:szCs w:val="22"/>
        </w:rPr>
        <w:t>国土资源主管部门应当结合土地利用年度变更调查，加强对土地利用总体规划编制和实施情况的监督，健全完善随机抽查机制，及时发现、制止和纠正违反土地利用总体规划的行为。</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第四十三条</w:t>
      </w:r>
      <w:r>
        <w:rPr>
          <w:rFonts w:ascii="Times New Roman" w:hAnsi="Times New Roman" w:hint="eastAsia"/>
          <w:color w:val="333333"/>
          <w:sz w:val="22"/>
          <w:szCs w:val="22"/>
        </w:rPr>
        <w:t>派驻地方的国家土地督察机构按照国务院规定，对土地利用总体规划的编制和实施情况进行监督检查。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第四十四条</w:t>
      </w:r>
      <w:r>
        <w:rPr>
          <w:rFonts w:ascii="Times New Roman" w:hAnsi="Times New Roman" w:hint="eastAsia"/>
          <w:color w:val="333333"/>
          <w:sz w:val="22"/>
          <w:szCs w:val="22"/>
        </w:rPr>
        <w:t>国土资源主管部门应当加强信息化建设，充分应用卫星遥感、信息化等技术手段，开展土地利用总体规划数据库建设、更新及规划应用管理系统建设，建立健全土地利用总体规划数据库动态更新机制，纳入国土资源综合信息监管平台统一管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县级以上地方国土资源主管部门应当执行国土资源部制定的全国统一的土地利用总体规划数据库建设、更新的标准规范及数据质量检查规则，实现规划信息的集成管理和互通共享。</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第八章罚则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第四十五条</w:t>
      </w:r>
      <w:r>
        <w:rPr>
          <w:rFonts w:ascii="Times New Roman" w:hAnsi="Times New Roman" w:hint="eastAsia"/>
          <w:color w:val="333333"/>
          <w:sz w:val="22"/>
          <w:szCs w:val="22"/>
        </w:rPr>
        <w:t>国土资源主管部门及其工作人员违反本办法规定，有下列情形之一的，依法给予处分：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（一）违反本办法第三十二条规定，擅自突破土地利用总体规划确定的用地规模和总体布局安排的；</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（二）违反本办法第三十三条规定，未经批准擅自突破土地利用总体规划划定的城乡建设用地管制边界和管制区域，在限制建设区和禁止建设区内安排城镇建设项目用地的；</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（三）违反本办法第三十八条规定，未经批准擅自调整城乡建设用地扩展边界的；</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（四）违反本办法第三十九条规定，未经批准擅自修改土地利用总体规划的。</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第九章附则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第四十六条</w:t>
      </w:r>
      <w:r>
        <w:rPr>
          <w:rFonts w:ascii="Times New Roman" w:hAnsi="Times New Roman" w:hint="eastAsia"/>
          <w:color w:val="333333"/>
          <w:sz w:val="22"/>
          <w:szCs w:val="22"/>
        </w:rPr>
        <w:t>本办法自公布之日起施行。</w:t>
      </w:r>
      <w:r>
        <w:rPr>
          <w:rFonts w:ascii="Times New Roman" w:hAnsi="Times New Roman" w:cs="Times New Roman"/>
          <w:color w:val="333333"/>
          <w:sz w:val="22"/>
          <w:szCs w:val="22"/>
        </w:rPr>
        <w:t>2009</w:t>
      </w:r>
      <w:r>
        <w:rPr>
          <w:rFonts w:ascii="Times New Roman" w:hAnsi="Times New Roman" w:hint="eastAsia"/>
          <w:color w:val="333333"/>
          <w:sz w:val="22"/>
          <w:szCs w:val="22"/>
        </w:rPr>
        <w:t>年</w:t>
      </w:r>
      <w:r>
        <w:rPr>
          <w:rFonts w:ascii="Times New Roman" w:hAnsi="Times New Roman" w:cs="Times New Roman"/>
          <w:color w:val="333333"/>
          <w:sz w:val="22"/>
          <w:szCs w:val="22"/>
        </w:rPr>
        <w:t>2</w:t>
      </w:r>
      <w:r>
        <w:rPr>
          <w:rFonts w:ascii="Times New Roman" w:hAnsi="Times New Roman" w:hint="eastAsia"/>
          <w:color w:val="333333"/>
          <w:sz w:val="22"/>
          <w:szCs w:val="22"/>
        </w:rPr>
        <w:t>月</w:t>
      </w:r>
      <w:r>
        <w:rPr>
          <w:rFonts w:ascii="Times New Roman" w:hAnsi="Times New Roman" w:cs="Times New Roman"/>
          <w:color w:val="333333"/>
          <w:sz w:val="22"/>
          <w:szCs w:val="22"/>
        </w:rPr>
        <w:t>4</w:t>
      </w:r>
      <w:r>
        <w:rPr>
          <w:rFonts w:ascii="Times New Roman" w:hAnsi="Times New Roman" w:hint="eastAsia"/>
          <w:color w:val="333333"/>
          <w:sz w:val="22"/>
          <w:szCs w:val="22"/>
        </w:rPr>
        <w:t>日国土资源部发布的《土地利用总体规划编制审查办法》同时废止。</w:t>
      </w:r>
    </w:p>
    <w:p w:rsidR="00A32067" w:rsidRDefault="00A32067">
      <w:pPr>
        <w:spacing w:line="360" w:lineRule="auto"/>
        <w:rPr>
          <w:sz w:val="24"/>
          <w:szCs w:val="24"/>
        </w:rPr>
      </w:pPr>
    </w:p>
    <w:p w:rsidR="00A32067" w:rsidRDefault="00A32067">
      <w:pPr>
        <w:spacing w:line="220" w:lineRule="atLeast"/>
      </w:pPr>
    </w:p>
    <w:p w:rsidR="00A32067" w:rsidRDefault="00A32067">
      <w:pPr>
        <w:spacing w:line="220" w:lineRule="atLeast"/>
      </w:pPr>
      <w:r>
        <w:br w:type="page"/>
      </w:r>
    </w:p>
    <w:p w:rsidR="00A32067" w:rsidRDefault="00A32067" w:rsidP="0002085C">
      <w:pPr>
        <w:shd w:val="clear" w:color="auto" w:fill="FFFFFF"/>
        <w:spacing w:afterLines="50" w:line="360" w:lineRule="auto"/>
        <w:jc w:val="center"/>
        <w:outlineLvl w:val="2"/>
        <w:rPr>
          <w:b/>
          <w:bCs/>
          <w:color w:val="333333"/>
          <w:kern w:val="0"/>
          <w:sz w:val="44"/>
          <w:szCs w:val="44"/>
        </w:rPr>
      </w:pPr>
      <w:bookmarkStart w:id="20" w:name="_Toc519872263"/>
      <w:r>
        <w:rPr>
          <w:rFonts w:cs="宋体" w:hint="eastAsia"/>
          <w:b/>
          <w:bCs/>
          <w:color w:val="333333"/>
          <w:kern w:val="0"/>
          <w:sz w:val="44"/>
          <w:szCs w:val="44"/>
        </w:rPr>
        <w:t>国土资源部住房和城乡建设部</w:t>
      </w:r>
      <w:r>
        <w:rPr>
          <w:b/>
          <w:bCs/>
          <w:color w:val="333333"/>
          <w:kern w:val="0"/>
          <w:sz w:val="44"/>
          <w:szCs w:val="44"/>
        </w:rPr>
        <w:br/>
      </w:r>
      <w:r>
        <w:rPr>
          <w:rFonts w:cs="宋体" w:hint="eastAsia"/>
          <w:b/>
          <w:bCs/>
          <w:color w:val="333333"/>
          <w:kern w:val="0"/>
          <w:sz w:val="44"/>
          <w:szCs w:val="44"/>
        </w:rPr>
        <w:t>国家旅游局关于支持旅游业发展用地政策的意见</w:t>
      </w:r>
      <w:r>
        <w:rPr>
          <w:b/>
          <w:bCs/>
          <w:color w:val="333333"/>
          <w:kern w:val="0"/>
          <w:sz w:val="44"/>
          <w:szCs w:val="44"/>
        </w:rPr>
        <w:br/>
      </w:r>
      <w:r>
        <w:rPr>
          <w:rFonts w:cs="宋体" w:hint="eastAsia"/>
          <w:color w:val="333333"/>
          <w:kern w:val="0"/>
          <w:sz w:val="22"/>
          <w:szCs w:val="22"/>
        </w:rPr>
        <w:t>国土资规〔</w:t>
      </w:r>
      <w:r>
        <w:rPr>
          <w:color w:val="333333"/>
          <w:kern w:val="0"/>
          <w:sz w:val="22"/>
          <w:szCs w:val="22"/>
        </w:rPr>
        <w:t>2015</w:t>
      </w:r>
      <w:r>
        <w:rPr>
          <w:rFonts w:cs="宋体" w:hint="eastAsia"/>
          <w:color w:val="333333"/>
          <w:kern w:val="0"/>
          <w:sz w:val="22"/>
          <w:szCs w:val="22"/>
        </w:rPr>
        <w:t>〕</w:t>
      </w:r>
      <w:r>
        <w:rPr>
          <w:color w:val="333333"/>
          <w:kern w:val="0"/>
          <w:sz w:val="22"/>
          <w:szCs w:val="22"/>
        </w:rPr>
        <w:t>10</w:t>
      </w:r>
      <w:r>
        <w:rPr>
          <w:rFonts w:cs="宋体" w:hint="eastAsia"/>
          <w:color w:val="333333"/>
          <w:kern w:val="0"/>
          <w:sz w:val="22"/>
          <w:szCs w:val="22"/>
        </w:rPr>
        <w:t>号</w:t>
      </w:r>
      <w:bookmarkEnd w:id="20"/>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各省、自治区、直辖市和新疆生产建设兵团国土资源、住房和城乡建设、旅游主管部门：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为贯彻党的十八届五中全会精神，落实《国务院关于促进旅游业改革发展的若干意见》（国发〔</w:t>
      </w:r>
      <w:r>
        <w:rPr>
          <w:rFonts w:ascii="Times New Roman" w:hAnsi="Times New Roman" w:cs="Times New Roman"/>
          <w:color w:val="333333"/>
          <w:sz w:val="22"/>
          <w:szCs w:val="22"/>
        </w:rPr>
        <w:t>2014</w:t>
      </w:r>
      <w:r>
        <w:rPr>
          <w:rFonts w:ascii="Times New Roman" w:hAnsi="Times New Roman" w:hint="eastAsia"/>
          <w:color w:val="333333"/>
          <w:sz w:val="22"/>
          <w:szCs w:val="22"/>
        </w:rPr>
        <w:t>〕</w:t>
      </w:r>
      <w:r>
        <w:rPr>
          <w:rFonts w:ascii="Times New Roman" w:hAnsi="Times New Roman" w:cs="Times New Roman"/>
          <w:color w:val="333333"/>
          <w:sz w:val="22"/>
          <w:szCs w:val="22"/>
        </w:rPr>
        <w:t>31</w:t>
      </w:r>
      <w:r>
        <w:rPr>
          <w:rFonts w:ascii="Times New Roman" w:hAnsi="Times New Roman" w:hint="eastAsia"/>
          <w:color w:val="333333"/>
          <w:sz w:val="22"/>
          <w:szCs w:val="22"/>
        </w:rPr>
        <w:t>号）、《国务院办公厅关于进一步促进旅游投资和消费的若干意见》（国办发〔</w:t>
      </w:r>
      <w:r>
        <w:rPr>
          <w:rFonts w:ascii="Times New Roman" w:hAnsi="Times New Roman" w:cs="Times New Roman"/>
          <w:color w:val="333333"/>
          <w:sz w:val="22"/>
          <w:szCs w:val="22"/>
        </w:rPr>
        <w:t>2015</w:t>
      </w:r>
      <w:r>
        <w:rPr>
          <w:rFonts w:ascii="Times New Roman" w:hAnsi="Times New Roman" w:hint="eastAsia"/>
          <w:color w:val="333333"/>
          <w:sz w:val="22"/>
          <w:szCs w:val="22"/>
        </w:rPr>
        <w:t>〕</w:t>
      </w:r>
      <w:r>
        <w:rPr>
          <w:rFonts w:ascii="Times New Roman" w:hAnsi="Times New Roman" w:cs="Times New Roman"/>
          <w:color w:val="333333"/>
          <w:sz w:val="22"/>
          <w:szCs w:val="22"/>
        </w:rPr>
        <w:t>62</w:t>
      </w:r>
      <w:r>
        <w:rPr>
          <w:rFonts w:ascii="Times New Roman" w:hAnsi="Times New Roman" w:hint="eastAsia"/>
          <w:color w:val="333333"/>
          <w:sz w:val="22"/>
          <w:szCs w:val="22"/>
        </w:rPr>
        <w:t>号）相关部署，促进稳增长、调结构、扩就业，提高旅游业用地市场化配置和节约集约利用水平，现就相关用地问题提出以下意见。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一、积极保障旅游业发展用地供应</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有效落实旅游重点项目新增建设用地。按照资源和生态保护、文物安全、节约集约用地原则，在与土地利用总体规划、城乡规划、风景名胜区规划、环境保护规划等相关规划衔接的基础上，加快编制旅游发展规划。对符合相关规划的旅游项目，各地应按照项目建设时序，及时安排新增建设用地计划指标，依法办理土地转用、征收或收回手续，积极组织实施土地供应。加大旅游扶贫用地保障。</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支持使用未利用地、废弃地、边远海岛等土地建设旅游项目。在符合生态环境保护要求和相关规划的前提下，对使用荒山、荒地、荒滩及石漠化、边远海岛土地建设的旅游项目，优先安排新增建设用地计划指标，出让底价可按不低于土地取得成本、土地前期开发成本和按规定应收取相关费用之和的原则确定。对复垦利用垃圾场、废弃矿山等历史遗留损毁土地建设的旅游项目，各地可按照</w:t>
      </w:r>
      <w:r>
        <w:rPr>
          <w:rFonts w:ascii="Times New Roman" w:hAnsi="Times New Roman" w:cs="Times New Roman"/>
          <w:color w:val="333333"/>
          <w:sz w:val="22"/>
          <w:szCs w:val="22"/>
        </w:rPr>
        <w:t>“</w:t>
      </w:r>
      <w:r>
        <w:rPr>
          <w:rFonts w:ascii="Times New Roman" w:hAnsi="Times New Roman" w:hint="eastAsia"/>
          <w:color w:val="333333"/>
          <w:sz w:val="22"/>
          <w:szCs w:val="22"/>
        </w:rPr>
        <w:t>谁投资、谁受益</w:t>
      </w:r>
      <w:r>
        <w:rPr>
          <w:rFonts w:ascii="Times New Roman" w:hAnsi="Times New Roman" w:cs="Times New Roman"/>
          <w:color w:val="333333"/>
          <w:sz w:val="22"/>
          <w:szCs w:val="22"/>
        </w:rPr>
        <w:t>”</w:t>
      </w:r>
      <w:r>
        <w:rPr>
          <w:rFonts w:ascii="Times New Roman" w:hAnsi="Times New Roman" w:hint="eastAsia"/>
          <w:color w:val="333333"/>
          <w:sz w:val="22"/>
          <w:szCs w:val="22"/>
        </w:rPr>
        <w:t>的原则，制定支持政策，吸引社会投资，鼓励土地权利人自行复垦。政府收回和征收的历史遗留损毁土地用于旅游项目建设的，可合并开展确定复垦投资主体和土地供应工作，但应通过招标拍卖挂牌方式进行。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依法实行用地分类管理制度。旅游项目中，属于永久性设施建设用地的，依法按建设用地管理；属于自然景观用地及农牧渔业种植、养殖用地的，不征收（收回）、不转用，按现用途管理，由景区管理机构和经营主体与土地权利人依法协调种植、养殖、管护与旅游经营关系。</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多方式供应建设用地。旅游相关建设项目用地中，用途单一且符合法定划拨范围的，可以划拨方式供应；用途混合且包括经营性用途的，应当采取招标拍卖挂牌方式供应，其中影视城、仿古城等人造景观用地按《城市用地分类与规划建设用地标准》的</w:t>
      </w:r>
      <w:r>
        <w:rPr>
          <w:rFonts w:ascii="Times New Roman" w:hAnsi="Times New Roman" w:cs="Times New Roman"/>
          <w:color w:val="333333"/>
          <w:sz w:val="22"/>
          <w:szCs w:val="22"/>
        </w:rPr>
        <w:t>“</w:t>
      </w:r>
      <w:r>
        <w:rPr>
          <w:rFonts w:ascii="Times New Roman" w:hAnsi="Times New Roman" w:hint="eastAsia"/>
          <w:color w:val="333333"/>
          <w:sz w:val="22"/>
          <w:szCs w:val="22"/>
        </w:rPr>
        <w:t>娱乐康体用地</w:t>
      </w:r>
      <w:r>
        <w:rPr>
          <w:rFonts w:ascii="Times New Roman" w:hAnsi="Times New Roman" w:cs="Times New Roman"/>
          <w:color w:val="333333"/>
          <w:sz w:val="22"/>
          <w:szCs w:val="22"/>
        </w:rPr>
        <w:t>”</w:t>
      </w:r>
      <w:r>
        <w:rPr>
          <w:rFonts w:ascii="Times New Roman" w:hAnsi="Times New Roman" w:hint="eastAsia"/>
          <w:color w:val="333333"/>
          <w:sz w:val="22"/>
          <w:szCs w:val="22"/>
        </w:rPr>
        <w:t>办理规划手续，土地供应方式、价格、使用年限依法按旅游用地确定。景区内建设亭、台、栈道、厕所、步道、索道缆车等设施用地，可按《城市用地分类与规划建设用地标准》</w:t>
      </w:r>
      <w:r>
        <w:rPr>
          <w:rFonts w:ascii="Times New Roman" w:hAnsi="Times New Roman" w:cs="Times New Roman"/>
          <w:color w:val="333333"/>
          <w:sz w:val="22"/>
          <w:szCs w:val="22"/>
        </w:rPr>
        <w:t>“</w:t>
      </w:r>
      <w:r>
        <w:rPr>
          <w:rFonts w:ascii="Times New Roman" w:hAnsi="Times New Roman" w:hint="eastAsia"/>
          <w:color w:val="333333"/>
          <w:sz w:val="22"/>
          <w:szCs w:val="22"/>
        </w:rPr>
        <w:t>其他建设用地</w:t>
      </w:r>
      <w:r>
        <w:rPr>
          <w:rFonts w:ascii="Times New Roman" w:hAnsi="Times New Roman" w:cs="Times New Roman"/>
          <w:color w:val="333333"/>
          <w:sz w:val="22"/>
          <w:szCs w:val="22"/>
        </w:rPr>
        <w:t>”</w:t>
      </w:r>
      <w:r>
        <w:rPr>
          <w:rFonts w:ascii="Times New Roman" w:hAnsi="Times New Roman" w:hint="eastAsia"/>
          <w:color w:val="333333"/>
          <w:sz w:val="22"/>
          <w:szCs w:val="22"/>
        </w:rPr>
        <w:t>办理规划手续，参照公园用途办理土地供应手续。风景名胜区的规划、建设和管理，应当遵守有关法律、行政法规和国务院规定。鼓励以长期租赁、先租后让、租让结方式供应旅游项目建设用地。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（五）加大旅游厕所用地保障力度。要高度重视旅游厕所在旅游业发展中的文明窗口地位和基本公共服务作用。新建、改建旅游厕所及相关粪便无害化处理设施需使用新增建设用地的，可在</w:t>
      </w:r>
      <w:r>
        <w:rPr>
          <w:rFonts w:ascii="Times New Roman" w:hAnsi="Times New Roman" w:cs="Times New Roman"/>
          <w:color w:val="333333"/>
          <w:sz w:val="22"/>
          <w:szCs w:val="22"/>
        </w:rPr>
        <w:t>2018</w:t>
      </w:r>
      <w:r>
        <w:rPr>
          <w:rFonts w:ascii="Times New Roman" w:hAnsi="Times New Roman" w:hint="eastAsia"/>
          <w:color w:val="333333"/>
          <w:sz w:val="22"/>
          <w:szCs w:val="22"/>
        </w:rPr>
        <w:t>年前由旅游厕所建设单位集中申请，按照法定报批程序集中统一办理用地手续，各地专项安排新增建设用地计划指标。符合《划拨用地目录》的粪便处理设施，可以划拨方式供应。支持在其他项目中配套建设旅游厕所，可在供应其他项目建设用地时，将配建要求纳入土地使用条件，土地供应后，由相关权利人依法明确旅游厕所产权关系。</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二、明确旅游新业态用地政策</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六）引导乡村旅游规范发展。在符合土地利用总体规划、县域乡村建设规划、乡和村庄规划、风景名胜区规划等相关规划的前提下，农村集体经济组织可以依法使用建设用地自办或以土地使用权入股、联营等方式与其他单位和个人共同举办住宿、餐饮、停车场等旅游接待服务企业。依据各省、自治区、直辖市制定的管理办法，城镇和乡村居民可以利用自有住宅或者其他条件依法从事旅游经营。农村集体经济组织以外的单位和个人，可依法通过承包经营流转的方式，使用农民集体所有的农用地、未利用地，从事与旅游相关的种植业、林业、畜牧业和渔业生产。支持通过开展城乡建设用地增减挂钩试点，优化农村建设用地布局，建设旅游设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（七）促进自驾车、房车营地旅游有序发展。按照</w:t>
      </w:r>
      <w:r>
        <w:rPr>
          <w:rFonts w:ascii="Times New Roman" w:hAnsi="Times New Roman" w:cs="Times New Roman"/>
          <w:color w:val="333333"/>
          <w:sz w:val="22"/>
          <w:szCs w:val="22"/>
        </w:rPr>
        <w:t>“</w:t>
      </w:r>
      <w:r>
        <w:rPr>
          <w:rFonts w:ascii="Times New Roman" w:hAnsi="Times New Roman" w:hint="eastAsia"/>
          <w:color w:val="333333"/>
          <w:sz w:val="22"/>
          <w:szCs w:val="22"/>
        </w:rPr>
        <w:t>市场导向、科学布局、合理开发、绿色运营</w:t>
      </w:r>
      <w:r>
        <w:rPr>
          <w:rFonts w:ascii="Times New Roman" w:hAnsi="Times New Roman" w:cs="Times New Roman"/>
          <w:color w:val="333333"/>
          <w:sz w:val="22"/>
          <w:szCs w:val="22"/>
        </w:rPr>
        <w:t>”</w:t>
      </w:r>
      <w:r>
        <w:rPr>
          <w:rFonts w:ascii="Times New Roman" w:hAnsi="Times New Roman" w:hint="eastAsia"/>
          <w:color w:val="333333"/>
          <w:sz w:val="22"/>
          <w:szCs w:val="22"/>
        </w:rPr>
        <w:t>原则，加快制定自驾车房车营地建设规划和建设标准。新建自驾车房车营地项目用地，应当满足符合相关规划、垃圾污水处理设施完备、建筑材料环保、建筑风格色彩与当地自然人文环境协调等条件。自驾车房车营地项目土地用途按旅馆用地管理，按旅游用地确定供应底价、供应方式和使用年限。</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八）支持邮轮、游艇旅游优化发展。新建邮轮、游艇码头用地实行有偿使用。有偿使用的邮轮、游艇码头用地可采取协议方式供应。现有码头增设邮轮、游艇停泊功能的，可保持现有土地权利类型不变；利用现有码头设施用地、房产增设住宿、餐饮、娱乐等商业服务设施的，经批准可以协议方式办理用地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九）促进文化、研学旅游发展。利用现有文化遗产、大型公共设施、知名院校、科研机构、工矿企业、大型农场开展文化、研学旅游活动，在符合规划、不改变土地用途的前提下，上述机构土地权利人利用现有房产兴办住宿、餐饮等旅游接待设施的，可保持原土地用途、权利类型不变；土地权利人申请办理用地手续的，经批准可以协议方式办理。历史文化街区建设控制地带内的新建建筑物、构筑物，应当符合保护规划确定的建设控制要求。</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三、加强旅游业用地服务监管</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十）做好确权登记服务。各地要依据《不动产登记暂行条例》等法律法规规定，按照不动产统一登记制度体系要求，不断增强服务意识，坚持方便企业、方便群众，减少办证环节，提高办事效率，改进服务质量，积极做好旅游业发展用地等不动产登记发证工作，依法明晰产权、保护权益，为旅游业发展提供必要的产权保障和融资条件。</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十一）建立部门共同监管机制。风景名胜区、自然保护区、国家公园等旅游资源开发，建设项目用地供应和使用管理应同时符合土地利用总体规划、城乡规划、风景名胜区规划及其他相关区域保护发展建设等规划，不符合的，不得批准用地和供地。新供旅游项目用地，将环保设施建设、建筑材料使用、建筑风格协调等要求纳入土地供应前置条件的，提出条件的政府部门应与土地使用权取得者签订相关建设活动协议书，并依法履行监管职责。要及时总结旅游产业用地利用实践情况，积极开展旅游产业用地重大问题研究和探索创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十二）严格旅游业用地供应和利用监管。严格旅游相关农用地、未利用地用途管制，未经依法批准，擅自改为建设用地的，依法追究责任。严禁以任何名义和方式出让或变相出让风景名胜区资源及其景区土地。规范土地供应行为</w:t>
      </w:r>
      <w:r>
        <w:rPr>
          <w:rFonts w:ascii="Times New Roman" w:hAnsi="Times New Roman" w:cs="Times New Roman"/>
          <w:color w:val="333333"/>
          <w:sz w:val="22"/>
          <w:szCs w:val="22"/>
        </w:rPr>
        <w:t>,</w:t>
      </w:r>
      <w:r>
        <w:rPr>
          <w:rFonts w:ascii="Times New Roman" w:hAnsi="Times New Roman" w:hint="eastAsia"/>
          <w:color w:val="333333"/>
          <w:sz w:val="22"/>
          <w:szCs w:val="22"/>
        </w:rPr>
        <w:t>以协议方式供应土地的，出让金不得低于按国家规定所确定的最低价。严格旅游项目配套商品住宅管理，因旅游项目配套安排商品住宅要求修改土地利用总体规划、城乡规划的，不得批准。严格相关旅游设施用地改变用途管理，土地供应合同中应明确约定，整宗或部分改变用途，用于商品住宅等其他经营项目的，应由政府收回，重新依法供应。</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本文件自下发之日起执行，有效期五年。</w:t>
      </w:r>
    </w:p>
    <w:p w:rsidR="00A32067" w:rsidRDefault="00A32067">
      <w:pPr>
        <w:pStyle w:val="NormalWeb"/>
        <w:shd w:val="clear" w:color="auto" w:fill="FFFFFF"/>
        <w:spacing w:before="0" w:beforeAutospacing="0" w:after="0" w:afterAutospacing="0" w:line="360" w:lineRule="auto"/>
        <w:ind w:firstLine="482"/>
        <w:rPr>
          <w:rFonts w:ascii="Times New Roman" w:eastAsia="微软雅黑" w:hAnsi="Times New Roman" w:cs="Times New Roman"/>
          <w:color w:val="333333"/>
        </w:rPr>
      </w:pPr>
    </w:p>
    <w:p w:rsidR="00A32067" w:rsidRDefault="00A32067">
      <w:pPr>
        <w:pStyle w:val="NormalWeb"/>
        <w:shd w:val="clear" w:color="auto" w:fill="FFFFFF"/>
        <w:spacing w:before="0" w:beforeAutospacing="0" w:after="0" w:afterAutospacing="0" w:line="360" w:lineRule="auto"/>
        <w:ind w:firstLine="482"/>
        <w:rPr>
          <w:rFonts w:ascii="Times New Roman" w:eastAsia="微软雅黑" w:hAnsi="Times New Roman" w:cs="Times New Roman"/>
          <w:color w:val="333333"/>
        </w:rPr>
      </w:pPr>
    </w:p>
    <w:p w:rsidR="00A32067" w:rsidRDefault="00A32067">
      <w:pPr>
        <w:pStyle w:val="NormalWeb"/>
        <w:shd w:val="clear" w:color="auto" w:fill="FFFFFF"/>
        <w:spacing w:before="0" w:beforeAutospacing="0" w:after="0" w:afterAutospacing="0" w:line="360" w:lineRule="auto"/>
        <w:ind w:firstLine="482"/>
        <w:rPr>
          <w:rFonts w:ascii="Times New Roman" w:eastAsia="微软雅黑" w:hAnsi="Times New Roman" w:cs="Times New Roman"/>
          <w:color w:val="333333"/>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sz w:val="22"/>
          <w:szCs w:val="22"/>
        </w:rPr>
        <w:t xml:space="preserve">　</w:t>
      </w:r>
      <w:r>
        <w:rPr>
          <w:rFonts w:ascii="Times New Roman" w:hAnsi="Times New Roman" w:cs="Times New Roman"/>
          <w:color w:val="333333"/>
          <w:sz w:val="22"/>
          <w:szCs w:val="22"/>
        </w:rPr>
        <w:t>2015</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25</w:t>
      </w:r>
      <w:r>
        <w:rPr>
          <w:rFonts w:ascii="Times New Roman" w:hAnsi="Times New Roman" w:hint="eastAsia"/>
          <w:color w:val="333333"/>
          <w:sz w:val="22"/>
          <w:szCs w:val="22"/>
        </w:rPr>
        <w:t>日</w:t>
      </w: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hAnsi="Times New Roman" w:cs="Times New Roman"/>
          <w:color w:val="333333"/>
          <w:sz w:val="22"/>
          <w:szCs w:val="22"/>
        </w:rPr>
      </w:pPr>
    </w:p>
    <w:p w:rsidR="00A32067" w:rsidRDefault="00A32067" w:rsidP="0002085C">
      <w:pPr>
        <w:pStyle w:val="NormalWeb"/>
        <w:shd w:val="clear" w:color="auto" w:fill="FFFFFF"/>
        <w:spacing w:before="0" w:beforeAutospacing="0" w:afterLines="50" w:afterAutospacing="0" w:line="480" w:lineRule="auto"/>
        <w:ind w:firstLine="482"/>
        <w:jc w:val="right"/>
        <w:rPr>
          <w:rFonts w:ascii="Times New Roman" w:eastAsia="微软雅黑" w:hAnsi="Times New Roman" w:cs="Times New Roman"/>
          <w:color w:val="333333"/>
        </w:rPr>
      </w:pPr>
    </w:p>
    <w:p w:rsidR="00A32067" w:rsidRDefault="00A32067" w:rsidP="0002085C">
      <w:pPr>
        <w:shd w:val="clear" w:color="auto" w:fill="FFFFFF"/>
        <w:spacing w:afterLines="50" w:line="360" w:lineRule="auto"/>
        <w:jc w:val="center"/>
        <w:outlineLvl w:val="2"/>
        <w:rPr>
          <w:b/>
          <w:bCs/>
          <w:color w:val="333333"/>
          <w:sz w:val="44"/>
          <w:szCs w:val="44"/>
        </w:rPr>
        <w:sectPr w:rsidR="00A32067">
          <w:pgSz w:w="11907" w:h="16840"/>
          <w:pgMar w:top="1134" w:right="1077" w:bottom="1134" w:left="1077" w:header="794" w:footer="567" w:gutter="284"/>
          <w:cols w:space="720"/>
          <w:docGrid w:linePitch="312"/>
        </w:sectPr>
      </w:pPr>
      <w:bookmarkStart w:id="21" w:name="_Toc519872264"/>
    </w:p>
    <w:p w:rsidR="00A32067" w:rsidRDefault="00A32067" w:rsidP="0002085C">
      <w:pPr>
        <w:shd w:val="clear" w:color="auto" w:fill="FFFFFF"/>
        <w:spacing w:afterLines="50" w:line="360" w:lineRule="auto"/>
        <w:jc w:val="center"/>
        <w:outlineLvl w:val="2"/>
        <w:rPr>
          <w:b/>
          <w:bCs/>
          <w:color w:val="333333"/>
          <w:sz w:val="44"/>
          <w:szCs w:val="44"/>
        </w:rPr>
      </w:pPr>
      <w:r>
        <w:rPr>
          <w:rFonts w:cs="宋体" w:hint="eastAsia"/>
          <w:b/>
          <w:bCs/>
          <w:color w:val="333333"/>
          <w:sz w:val="44"/>
          <w:szCs w:val="44"/>
        </w:rPr>
        <w:t>国土资源部办公厅关于</w:t>
      </w:r>
      <w:r>
        <w:rPr>
          <w:b/>
          <w:bCs/>
          <w:color w:val="333333"/>
          <w:sz w:val="44"/>
          <w:szCs w:val="44"/>
        </w:rPr>
        <w:br/>
      </w:r>
      <w:r>
        <w:rPr>
          <w:rFonts w:cs="宋体" w:hint="eastAsia"/>
          <w:b/>
          <w:bCs/>
          <w:color w:val="333333"/>
          <w:sz w:val="44"/>
          <w:szCs w:val="44"/>
        </w:rPr>
        <w:t>实施《城镇土地分等定级规程》和</w:t>
      </w:r>
      <w:r>
        <w:rPr>
          <w:b/>
          <w:bCs/>
          <w:color w:val="333333"/>
          <w:sz w:val="44"/>
          <w:szCs w:val="44"/>
        </w:rPr>
        <w:br/>
      </w:r>
      <w:r>
        <w:rPr>
          <w:rFonts w:cs="宋体" w:hint="eastAsia"/>
          <w:b/>
          <w:bCs/>
          <w:color w:val="333333"/>
          <w:sz w:val="44"/>
          <w:szCs w:val="44"/>
        </w:rPr>
        <w:t>《城镇土地估价规程》有关问题的通知</w:t>
      </w:r>
      <w:r>
        <w:rPr>
          <w:b/>
          <w:bCs/>
          <w:color w:val="333333"/>
          <w:sz w:val="44"/>
          <w:szCs w:val="44"/>
        </w:rPr>
        <w:br/>
      </w:r>
      <w:r>
        <w:rPr>
          <w:rFonts w:cs="宋体" w:hint="eastAsia"/>
          <w:color w:val="333333"/>
          <w:kern w:val="0"/>
          <w:sz w:val="22"/>
          <w:szCs w:val="22"/>
        </w:rPr>
        <w:t>国土资厅发〔</w:t>
      </w:r>
      <w:r>
        <w:rPr>
          <w:color w:val="333333"/>
          <w:kern w:val="0"/>
          <w:sz w:val="22"/>
          <w:szCs w:val="22"/>
        </w:rPr>
        <w:t>2015</w:t>
      </w:r>
      <w:r>
        <w:rPr>
          <w:rFonts w:cs="宋体" w:hint="eastAsia"/>
          <w:color w:val="333333"/>
          <w:kern w:val="0"/>
          <w:sz w:val="22"/>
          <w:szCs w:val="22"/>
        </w:rPr>
        <w:t>〕</w:t>
      </w:r>
      <w:r>
        <w:rPr>
          <w:color w:val="333333"/>
          <w:kern w:val="0"/>
          <w:sz w:val="22"/>
          <w:szCs w:val="22"/>
        </w:rPr>
        <w:t>12</w:t>
      </w:r>
      <w:r>
        <w:rPr>
          <w:rFonts w:cs="宋体" w:hint="eastAsia"/>
          <w:color w:val="333333"/>
          <w:kern w:val="0"/>
          <w:sz w:val="22"/>
          <w:szCs w:val="22"/>
        </w:rPr>
        <w:t>号</w:t>
      </w:r>
      <w:bookmarkEnd w:id="21"/>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各省、自治区、直辖市国土资源主管部门，新疆生产建设兵团国土资源局</w:t>
      </w:r>
      <w:r>
        <w:rPr>
          <w:color w:val="333333"/>
          <w:kern w:val="0"/>
          <w:sz w:val="22"/>
          <w:szCs w:val="22"/>
        </w:rPr>
        <w:t>,</w:t>
      </w:r>
      <w:r>
        <w:rPr>
          <w:rFonts w:cs="宋体" w:hint="eastAsia"/>
          <w:color w:val="333333"/>
          <w:kern w:val="0"/>
          <w:sz w:val="22"/>
          <w:szCs w:val="22"/>
        </w:rPr>
        <w:t>解放军土地管理局</w:t>
      </w:r>
      <w:r>
        <w:rPr>
          <w:color w:val="333333"/>
          <w:kern w:val="0"/>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rPr>
        <w:t xml:space="preserve">　　</w:t>
      </w:r>
      <w:r>
        <w:rPr>
          <w:rFonts w:ascii="Times New Roman" w:hAnsi="Times New Roman" w:hint="eastAsia"/>
          <w:color w:val="333333"/>
          <w:sz w:val="22"/>
          <w:szCs w:val="22"/>
        </w:rPr>
        <w:t>《城镇土地分等定级规程》</w:t>
      </w:r>
      <w:r>
        <w:rPr>
          <w:rFonts w:ascii="Times New Roman" w:hAnsi="Times New Roman" w:cs="Times New Roman"/>
          <w:color w:val="333333"/>
          <w:sz w:val="22"/>
          <w:szCs w:val="22"/>
        </w:rPr>
        <w:t>(GB/T 18507-2014)</w:t>
      </w:r>
      <w:r>
        <w:rPr>
          <w:rFonts w:ascii="Times New Roman" w:hAnsi="Times New Roman" w:hint="eastAsia"/>
          <w:color w:val="333333"/>
          <w:sz w:val="22"/>
          <w:szCs w:val="22"/>
        </w:rPr>
        <w:t>和《城镇土地估价规程》</w:t>
      </w:r>
      <w:r>
        <w:rPr>
          <w:rFonts w:ascii="Times New Roman" w:hAnsi="Times New Roman" w:cs="Times New Roman"/>
          <w:color w:val="333333"/>
          <w:sz w:val="22"/>
          <w:szCs w:val="22"/>
        </w:rPr>
        <w:t>(GB/T 18508-2014)(</w:t>
      </w:r>
      <w:r>
        <w:rPr>
          <w:rFonts w:ascii="Times New Roman" w:hAnsi="Times New Roman" w:hint="eastAsia"/>
          <w:color w:val="333333"/>
          <w:sz w:val="22"/>
          <w:szCs w:val="22"/>
        </w:rPr>
        <w:t>以下简称</w:t>
      </w:r>
      <w:r>
        <w:rPr>
          <w:rFonts w:ascii="Times New Roman" w:hAnsi="Times New Roman" w:cs="Times New Roman"/>
          <w:color w:val="333333"/>
          <w:sz w:val="22"/>
          <w:szCs w:val="22"/>
        </w:rPr>
        <w:t>“</w:t>
      </w:r>
      <w:r>
        <w:rPr>
          <w:rFonts w:ascii="Times New Roman" w:hAnsi="Times New Roman" w:hint="eastAsia"/>
          <w:color w:val="333333"/>
          <w:sz w:val="22"/>
          <w:szCs w:val="22"/>
        </w:rPr>
        <w:t>规程</w:t>
      </w:r>
      <w:r>
        <w:rPr>
          <w:rFonts w:ascii="Times New Roman" w:hAnsi="Times New Roman" w:cs="Times New Roman"/>
          <w:color w:val="333333"/>
          <w:sz w:val="22"/>
          <w:szCs w:val="22"/>
        </w:rPr>
        <w:t>”)</w:t>
      </w:r>
      <w:r>
        <w:rPr>
          <w:rFonts w:ascii="Times New Roman" w:hAnsi="Times New Roman" w:hint="eastAsia"/>
          <w:color w:val="333333"/>
          <w:sz w:val="22"/>
          <w:szCs w:val="22"/>
        </w:rPr>
        <w:t>国家技术标准已经公开发布</w:t>
      </w:r>
      <w:r>
        <w:rPr>
          <w:rFonts w:ascii="Times New Roman" w:hAnsi="Times New Roman" w:cs="Times New Roman"/>
          <w:color w:val="333333"/>
          <w:sz w:val="22"/>
          <w:szCs w:val="22"/>
        </w:rPr>
        <w:t>,</w:t>
      </w:r>
      <w:r>
        <w:rPr>
          <w:rFonts w:ascii="Times New Roman" w:hAnsi="Times New Roman" w:hint="eastAsia"/>
          <w:color w:val="333333"/>
          <w:sz w:val="22"/>
          <w:szCs w:val="22"/>
        </w:rPr>
        <w:t>于</w:t>
      </w:r>
      <w:r>
        <w:rPr>
          <w:rFonts w:ascii="Times New Roman" w:hAnsi="Times New Roman" w:cs="Times New Roman"/>
          <w:color w:val="333333"/>
          <w:sz w:val="22"/>
          <w:szCs w:val="22"/>
        </w:rPr>
        <w:t>2014</w:t>
      </w:r>
      <w:r>
        <w:rPr>
          <w:rFonts w:ascii="Times New Roman" w:hAnsi="Times New Roman" w:hint="eastAsia"/>
          <w:color w:val="333333"/>
          <w:sz w:val="22"/>
          <w:szCs w:val="22"/>
        </w:rPr>
        <w:t>年</w:t>
      </w:r>
      <w:r>
        <w:rPr>
          <w:rFonts w:ascii="Times New Roman" w:hAnsi="Times New Roman" w:cs="Times New Roman"/>
          <w:color w:val="333333"/>
          <w:sz w:val="22"/>
          <w:szCs w:val="22"/>
        </w:rPr>
        <w:t>12</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日起实施。为贯彻执行好规程</w:t>
      </w:r>
      <w:r>
        <w:rPr>
          <w:rFonts w:ascii="Times New Roman" w:hAnsi="Times New Roman" w:cs="Times New Roman"/>
          <w:color w:val="333333"/>
          <w:sz w:val="22"/>
          <w:szCs w:val="22"/>
        </w:rPr>
        <w:t>,</w:t>
      </w:r>
      <w:r>
        <w:rPr>
          <w:rFonts w:ascii="Times New Roman" w:hAnsi="Times New Roman" w:hint="eastAsia"/>
          <w:color w:val="333333"/>
          <w:sz w:val="22"/>
          <w:szCs w:val="22"/>
        </w:rPr>
        <w:t>现就有关问题通知如下</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一、加大宣传培训和指导监督力度。规程是各级国土资源主管部门、土地市场中介行业协会、土地估价机构及其有关人员在从事地价管理和地价评估工作时应遵循的国家技术标准。各级国土资源主管部门要会同行业协会</w:t>
      </w:r>
      <w:r>
        <w:rPr>
          <w:rFonts w:ascii="Times New Roman" w:hAnsi="Times New Roman" w:cs="Times New Roman"/>
          <w:color w:val="333333"/>
          <w:sz w:val="22"/>
          <w:szCs w:val="22"/>
        </w:rPr>
        <w:t>,</w:t>
      </w:r>
      <w:r>
        <w:rPr>
          <w:rFonts w:ascii="Times New Roman" w:hAnsi="Times New Roman" w:hint="eastAsia"/>
          <w:color w:val="333333"/>
          <w:sz w:val="22"/>
          <w:szCs w:val="22"/>
        </w:rPr>
        <w:t>组织开展部门、机构和人员培训</w:t>
      </w:r>
      <w:r>
        <w:rPr>
          <w:rFonts w:ascii="Times New Roman" w:hAnsi="Times New Roman" w:cs="Times New Roman"/>
          <w:color w:val="333333"/>
          <w:sz w:val="22"/>
          <w:szCs w:val="22"/>
        </w:rPr>
        <w:t>,</w:t>
      </w:r>
      <w:r>
        <w:rPr>
          <w:rFonts w:ascii="Times New Roman" w:hAnsi="Times New Roman" w:hint="eastAsia"/>
          <w:color w:val="333333"/>
          <w:sz w:val="22"/>
          <w:szCs w:val="22"/>
        </w:rPr>
        <w:t>在有关人员的后续教育中增加相应的内容和学时要求</w:t>
      </w:r>
      <w:r>
        <w:rPr>
          <w:rFonts w:ascii="Times New Roman" w:hAnsi="Times New Roman" w:cs="Times New Roman"/>
          <w:color w:val="333333"/>
          <w:sz w:val="22"/>
          <w:szCs w:val="22"/>
        </w:rPr>
        <w:t>,</w:t>
      </w:r>
      <w:r>
        <w:rPr>
          <w:rFonts w:ascii="Times New Roman" w:hAnsi="Times New Roman" w:hint="eastAsia"/>
          <w:color w:val="333333"/>
          <w:sz w:val="22"/>
          <w:szCs w:val="22"/>
        </w:rPr>
        <w:t>加大规程的宣传推行和指导监督力度</w:t>
      </w:r>
      <w:r>
        <w:rPr>
          <w:rFonts w:ascii="Times New Roman" w:hAnsi="Times New Roman" w:cs="Times New Roman"/>
          <w:color w:val="333333"/>
          <w:sz w:val="22"/>
          <w:szCs w:val="22"/>
        </w:rPr>
        <w:t>,</w:t>
      </w:r>
      <w:r>
        <w:rPr>
          <w:rFonts w:ascii="Times New Roman" w:hAnsi="Times New Roman" w:hint="eastAsia"/>
          <w:color w:val="333333"/>
          <w:sz w:val="22"/>
          <w:szCs w:val="22"/>
        </w:rPr>
        <w:t>促进土地市场中介行业健康发展。</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二、严格按规程制订、更新并公布基准地价。市、县国土资源主管部门应严格按照规程</w:t>
      </w:r>
      <w:r>
        <w:rPr>
          <w:rFonts w:ascii="Times New Roman" w:hAnsi="Times New Roman" w:cs="Times New Roman"/>
          <w:color w:val="333333"/>
          <w:sz w:val="22"/>
          <w:szCs w:val="22"/>
        </w:rPr>
        <w:t>,</w:t>
      </w:r>
      <w:r>
        <w:rPr>
          <w:rFonts w:ascii="Times New Roman" w:hAnsi="Times New Roman" w:hint="eastAsia"/>
          <w:color w:val="333333"/>
          <w:sz w:val="22"/>
          <w:szCs w:val="22"/>
        </w:rPr>
        <w:t>开展基准地价制订、更新和公布工作。基准地价每</w:t>
      </w:r>
      <w:r>
        <w:rPr>
          <w:rFonts w:ascii="Times New Roman" w:hAnsi="Times New Roman" w:cs="Times New Roman"/>
          <w:color w:val="333333"/>
          <w:sz w:val="22"/>
          <w:szCs w:val="22"/>
        </w:rPr>
        <w:t>3</w:t>
      </w:r>
      <w:r>
        <w:rPr>
          <w:rFonts w:ascii="Times New Roman" w:hAnsi="Times New Roman" w:hint="eastAsia"/>
          <w:color w:val="333333"/>
          <w:sz w:val="22"/>
          <w:szCs w:val="22"/>
        </w:rPr>
        <w:t>年应全面更新一次</w:t>
      </w:r>
      <w:r>
        <w:rPr>
          <w:rFonts w:ascii="Times New Roman" w:hAnsi="Times New Roman" w:cs="Times New Roman"/>
          <w:color w:val="333333"/>
          <w:sz w:val="22"/>
          <w:szCs w:val="22"/>
        </w:rPr>
        <w:t>;</w:t>
      </w:r>
      <w:r>
        <w:rPr>
          <w:rFonts w:ascii="Times New Roman" w:hAnsi="Times New Roman" w:hint="eastAsia"/>
          <w:color w:val="333333"/>
          <w:sz w:val="22"/>
          <w:szCs w:val="22"/>
        </w:rPr>
        <w:t>超过</w:t>
      </w:r>
      <w:r>
        <w:rPr>
          <w:rFonts w:ascii="Times New Roman" w:hAnsi="Times New Roman" w:cs="Times New Roman"/>
          <w:color w:val="333333"/>
          <w:sz w:val="22"/>
          <w:szCs w:val="22"/>
        </w:rPr>
        <w:t>6</w:t>
      </w:r>
      <w:r>
        <w:rPr>
          <w:rFonts w:ascii="Times New Roman" w:hAnsi="Times New Roman" w:hint="eastAsia"/>
          <w:color w:val="333333"/>
          <w:sz w:val="22"/>
          <w:szCs w:val="22"/>
        </w:rPr>
        <w:t>年未全面更新的</w:t>
      </w:r>
      <w:r>
        <w:rPr>
          <w:rFonts w:ascii="Times New Roman" w:hAnsi="Times New Roman" w:cs="Times New Roman"/>
          <w:color w:val="333333"/>
          <w:sz w:val="22"/>
          <w:szCs w:val="22"/>
        </w:rPr>
        <w:t>,</w:t>
      </w:r>
      <w:r>
        <w:rPr>
          <w:rFonts w:ascii="Times New Roman" w:hAnsi="Times New Roman" w:hint="eastAsia"/>
          <w:color w:val="333333"/>
          <w:sz w:val="22"/>
          <w:szCs w:val="22"/>
        </w:rPr>
        <w:t>在土地估价报告中不再使用基准地价系数修正法</w:t>
      </w:r>
      <w:r>
        <w:rPr>
          <w:rFonts w:ascii="Times New Roman" w:hAnsi="Times New Roman" w:cs="Times New Roman"/>
          <w:color w:val="333333"/>
          <w:sz w:val="22"/>
          <w:szCs w:val="22"/>
        </w:rPr>
        <w:t>;</w:t>
      </w:r>
      <w:r>
        <w:rPr>
          <w:rFonts w:ascii="Times New Roman" w:hAnsi="Times New Roman" w:hint="eastAsia"/>
          <w:color w:val="333333"/>
          <w:sz w:val="22"/>
          <w:szCs w:val="22"/>
        </w:rPr>
        <w:t>不能以网格等形式借助计算机信息系统实时更新基准地价。基准地价以及全面更新成果应由省级国土资源主管部门组织验收后报部备案</w:t>
      </w:r>
      <w:r>
        <w:rPr>
          <w:rFonts w:ascii="Times New Roman" w:hAnsi="Times New Roman" w:cs="Times New Roman"/>
          <w:color w:val="333333"/>
          <w:sz w:val="22"/>
          <w:szCs w:val="22"/>
        </w:rPr>
        <w:t>,</w:t>
      </w:r>
      <w:r>
        <w:rPr>
          <w:rFonts w:ascii="Times New Roman" w:hAnsi="Times New Roman" w:hint="eastAsia"/>
          <w:color w:val="333333"/>
          <w:sz w:val="22"/>
          <w:szCs w:val="22"/>
        </w:rPr>
        <w:t>然后由市、县国土资源主管部门及时向社会公开。省级国土资源主管部门要加强监督指导</w:t>
      </w:r>
      <w:r>
        <w:rPr>
          <w:rFonts w:ascii="Times New Roman" w:hAnsi="Times New Roman" w:cs="Times New Roman"/>
          <w:color w:val="333333"/>
          <w:sz w:val="22"/>
          <w:szCs w:val="22"/>
        </w:rPr>
        <w:t>,</w:t>
      </w:r>
      <w:r>
        <w:rPr>
          <w:rFonts w:ascii="Times New Roman" w:hAnsi="Times New Roman" w:hint="eastAsia"/>
          <w:color w:val="333333"/>
          <w:sz w:val="22"/>
          <w:szCs w:val="22"/>
        </w:rPr>
        <w:t>确保基准地价及时更新、发布</w:t>
      </w:r>
      <w:r>
        <w:rPr>
          <w:rFonts w:ascii="Times New Roman" w:hAnsi="Times New Roman" w:cs="Times New Roman"/>
          <w:color w:val="333333"/>
          <w:sz w:val="22"/>
          <w:szCs w:val="22"/>
        </w:rPr>
        <w:t>,</w:t>
      </w:r>
      <w:r>
        <w:rPr>
          <w:rFonts w:ascii="Times New Roman" w:hAnsi="Times New Roman" w:hint="eastAsia"/>
          <w:color w:val="333333"/>
          <w:sz w:val="22"/>
          <w:szCs w:val="22"/>
        </w:rPr>
        <w:t>对不符合规程规定的基准地价制订、更新工作及成果应及时予以纠正。部将建立全国基准地价备案系统</w:t>
      </w:r>
      <w:r>
        <w:rPr>
          <w:rFonts w:ascii="Times New Roman" w:hAnsi="Times New Roman" w:cs="Times New Roman"/>
          <w:color w:val="333333"/>
          <w:sz w:val="22"/>
          <w:szCs w:val="22"/>
        </w:rPr>
        <w:t>,</w:t>
      </w:r>
      <w:r>
        <w:rPr>
          <w:rFonts w:ascii="Times New Roman" w:hAnsi="Times New Roman" w:hint="eastAsia"/>
          <w:color w:val="333333"/>
          <w:sz w:val="22"/>
          <w:szCs w:val="22"/>
        </w:rPr>
        <w:t>实行电子化备案。</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三、加强宗地地价评估管理。土地估价机构和人员开展宗地地价评估工作</w:t>
      </w:r>
      <w:r>
        <w:rPr>
          <w:rFonts w:ascii="Times New Roman" w:hAnsi="Times New Roman" w:cs="Times New Roman"/>
          <w:color w:val="333333"/>
          <w:sz w:val="22"/>
          <w:szCs w:val="22"/>
        </w:rPr>
        <w:t>,</w:t>
      </w:r>
      <w:r>
        <w:rPr>
          <w:rFonts w:ascii="Times New Roman" w:hAnsi="Times New Roman" w:hint="eastAsia"/>
          <w:color w:val="333333"/>
          <w:sz w:val="22"/>
          <w:szCs w:val="22"/>
        </w:rPr>
        <w:t>应严格依照规程出具土地估价报告</w:t>
      </w:r>
      <w:r>
        <w:rPr>
          <w:rFonts w:ascii="Times New Roman" w:hAnsi="Times New Roman" w:cs="Times New Roman"/>
          <w:color w:val="333333"/>
          <w:sz w:val="22"/>
          <w:szCs w:val="22"/>
        </w:rPr>
        <w:t>(</w:t>
      </w:r>
      <w:r>
        <w:rPr>
          <w:rFonts w:ascii="Times New Roman" w:hAnsi="Times New Roman" w:hint="eastAsia"/>
          <w:color w:val="333333"/>
          <w:sz w:val="22"/>
          <w:szCs w:val="22"/>
        </w:rPr>
        <w:t>含土地估价技术报告</w:t>
      </w:r>
      <w:r>
        <w:rPr>
          <w:rFonts w:ascii="Times New Roman" w:hAnsi="Times New Roman" w:cs="Times New Roman"/>
          <w:color w:val="333333"/>
          <w:sz w:val="22"/>
          <w:szCs w:val="22"/>
        </w:rPr>
        <w:t>),</w:t>
      </w:r>
      <w:r>
        <w:rPr>
          <w:rFonts w:ascii="Times New Roman" w:hAnsi="Times New Roman" w:hint="eastAsia"/>
          <w:color w:val="333333"/>
          <w:sz w:val="22"/>
          <w:szCs w:val="22"/>
        </w:rPr>
        <w:t>并且履行电子化备案程序</w:t>
      </w:r>
      <w:r>
        <w:rPr>
          <w:rFonts w:ascii="Times New Roman" w:hAnsi="Times New Roman" w:cs="Times New Roman"/>
          <w:color w:val="333333"/>
          <w:sz w:val="22"/>
          <w:szCs w:val="22"/>
        </w:rPr>
        <w:t>,</w:t>
      </w:r>
      <w:r>
        <w:rPr>
          <w:rFonts w:ascii="Times New Roman" w:hAnsi="Times New Roman" w:hint="eastAsia"/>
          <w:color w:val="333333"/>
          <w:sz w:val="22"/>
          <w:szCs w:val="22"/>
        </w:rPr>
        <w:t>取得电子备案号。在土地出让、土地资产处置、土地收购储备等工作中需要进行宗地地价评估的</w:t>
      </w:r>
      <w:r>
        <w:rPr>
          <w:rFonts w:ascii="Times New Roman" w:hAnsi="Times New Roman" w:cs="Times New Roman"/>
          <w:color w:val="333333"/>
          <w:sz w:val="22"/>
          <w:szCs w:val="22"/>
        </w:rPr>
        <w:t>,</w:t>
      </w:r>
      <w:r>
        <w:rPr>
          <w:rFonts w:ascii="Times New Roman" w:hAnsi="Times New Roman" w:hint="eastAsia"/>
          <w:color w:val="333333"/>
          <w:sz w:val="22"/>
          <w:szCs w:val="22"/>
        </w:rPr>
        <w:t>各级国土资源主管部门应注意检查所使用的土地估价报告是否具备电子备案号</w:t>
      </w:r>
      <w:r>
        <w:rPr>
          <w:rFonts w:ascii="Times New Roman" w:hAnsi="Times New Roman" w:cs="Times New Roman"/>
          <w:color w:val="333333"/>
          <w:sz w:val="22"/>
          <w:szCs w:val="22"/>
        </w:rPr>
        <w:t>;</w:t>
      </w:r>
      <w:r>
        <w:rPr>
          <w:rFonts w:ascii="Times New Roman" w:hAnsi="Times New Roman" w:hint="eastAsia"/>
          <w:color w:val="333333"/>
          <w:sz w:val="22"/>
          <w:szCs w:val="22"/>
        </w:rPr>
        <w:t>在土地市场动态监测监管系统中上传土地出让合同时</w:t>
      </w:r>
      <w:r>
        <w:rPr>
          <w:rFonts w:ascii="Times New Roman" w:hAnsi="Times New Roman" w:cs="Times New Roman"/>
          <w:color w:val="333333"/>
          <w:sz w:val="22"/>
          <w:szCs w:val="22"/>
        </w:rPr>
        <w:t>,</w:t>
      </w:r>
      <w:r>
        <w:rPr>
          <w:rFonts w:ascii="Times New Roman" w:hAnsi="Times New Roman" w:hint="eastAsia"/>
          <w:color w:val="333333"/>
          <w:sz w:val="22"/>
          <w:szCs w:val="22"/>
        </w:rPr>
        <w:t>应填写土地估价报告备案号。</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四、严格执行出让地价评估有关规定。在国有建设用地使用权出让前</w:t>
      </w:r>
      <w:r>
        <w:rPr>
          <w:rFonts w:ascii="Times New Roman" w:hAnsi="Times New Roman" w:cs="Times New Roman"/>
          <w:color w:val="333333"/>
          <w:sz w:val="22"/>
          <w:szCs w:val="22"/>
        </w:rPr>
        <w:t>,</w:t>
      </w:r>
      <w:r>
        <w:rPr>
          <w:rFonts w:ascii="Times New Roman" w:hAnsi="Times New Roman" w:hint="eastAsia"/>
          <w:color w:val="333333"/>
          <w:sz w:val="22"/>
          <w:szCs w:val="22"/>
        </w:rPr>
        <w:t>市、县国土资源主管部门应当按照规程和《关于发布〈国有建设用地使用权出让地价评估技术规范</w:t>
      </w:r>
      <w:r>
        <w:rPr>
          <w:rFonts w:ascii="Times New Roman" w:hAnsi="Times New Roman" w:cs="Times New Roman"/>
          <w:color w:val="333333"/>
          <w:sz w:val="22"/>
          <w:szCs w:val="22"/>
        </w:rPr>
        <w:t>(</w:t>
      </w:r>
      <w:r>
        <w:rPr>
          <w:rFonts w:ascii="Times New Roman" w:hAnsi="Times New Roman" w:hint="eastAsia"/>
          <w:color w:val="333333"/>
          <w:sz w:val="22"/>
          <w:szCs w:val="22"/>
        </w:rPr>
        <w:t>试行</w:t>
      </w:r>
      <w:r>
        <w:rPr>
          <w:rFonts w:ascii="Times New Roman" w:hAnsi="Times New Roman" w:cs="Times New Roman"/>
          <w:color w:val="333333"/>
          <w:sz w:val="22"/>
          <w:szCs w:val="22"/>
        </w:rPr>
        <w:t>)</w:t>
      </w:r>
      <w:r>
        <w:rPr>
          <w:rFonts w:ascii="Times New Roman" w:hAnsi="Times New Roman" w:hint="eastAsia"/>
          <w:color w:val="333333"/>
          <w:sz w:val="22"/>
          <w:szCs w:val="22"/>
        </w:rPr>
        <w:t>〉的通知》</w:t>
      </w:r>
      <w:r>
        <w:rPr>
          <w:rFonts w:ascii="Times New Roman" w:hAnsi="Times New Roman" w:cs="Times New Roman"/>
          <w:color w:val="333333"/>
          <w:sz w:val="22"/>
          <w:szCs w:val="22"/>
        </w:rPr>
        <w:t>(</w:t>
      </w:r>
      <w:r>
        <w:rPr>
          <w:rFonts w:ascii="Times New Roman" w:hAnsi="Times New Roman" w:hint="eastAsia"/>
          <w:color w:val="333333"/>
          <w:sz w:val="22"/>
          <w:szCs w:val="22"/>
        </w:rPr>
        <w:t>国土资厅发〔</w:t>
      </w:r>
      <w:r>
        <w:rPr>
          <w:rFonts w:ascii="Times New Roman" w:hAnsi="Times New Roman" w:cs="Times New Roman"/>
          <w:color w:val="333333"/>
          <w:sz w:val="22"/>
          <w:szCs w:val="22"/>
        </w:rPr>
        <w:t>2013</w:t>
      </w:r>
      <w:r>
        <w:rPr>
          <w:rFonts w:ascii="Times New Roman" w:hAnsi="Times New Roman" w:hint="eastAsia"/>
          <w:color w:val="333333"/>
          <w:sz w:val="22"/>
          <w:szCs w:val="22"/>
        </w:rPr>
        <w:t>〕</w:t>
      </w:r>
      <w:r>
        <w:rPr>
          <w:rFonts w:ascii="Times New Roman" w:hAnsi="Times New Roman" w:cs="Times New Roman"/>
          <w:color w:val="333333"/>
          <w:sz w:val="22"/>
          <w:szCs w:val="22"/>
        </w:rPr>
        <w:t>20</w:t>
      </w:r>
      <w:r>
        <w:rPr>
          <w:rFonts w:ascii="Times New Roman" w:hAnsi="Times New Roman" w:hint="eastAsia"/>
          <w:color w:val="333333"/>
          <w:sz w:val="22"/>
          <w:szCs w:val="22"/>
        </w:rPr>
        <w:t>号</w:t>
      </w:r>
      <w:r>
        <w:rPr>
          <w:rFonts w:ascii="Times New Roman" w:hAnsi="Times New Roman" w:cs="Times New Roman"/>
          <w:color w:val="333333"/>
          <w:sz w:val="22"/>
          <w:szCs w:val="22"/>
        </w:rPr>
        <w:t>)</w:t>
      </w:r>
      <w:r>
        <w:rPr>
          <w:rFonts w:ascii="Times New Roman" w:hAnsi="Times New Roman" w:hint="eastAsia"/>
          <w:color w:val="333333"/>
          <w:sz w:val="22"/>
          <w:szCs w:val="22"/>
        </w:rPr>
        <w:t>有关要求</w:t>
      </w:r>
      <w:r>
        <w:rPr>
          <w:rFonts w:ascii="Times New Roman" w:hAnsi="Times New Roman" w:cs="Times New Roman"/>
          <w:color w:val="333333"/>
          <w:sz w:val="22"/>
          <w:szCs w:val="22"/>
        </w:rPr>
        <w:t>,</w:t>
      </w:r>
      <w:r>
        <w:rPr>
          <w:rFonts w:ascii="Times New Roman" w:hAnsi="Times New Roman" w:hint="eastAsia"/>
          <w:color w:val="333333"/>
          <w:sz w:val="22"/>
          <w:szCs w:val="22"/>
        </w:rPr>
        <w:t>组织对拟出让宗地的地价进行评估</w:t>
      </w:r>
      <w:r>
        <w:rPr>
          <w:rFonts w:ascii="Times New Roman" w:hAnsi="Times New Roman" w:cs="Times New Roman"/>
          <w:color w:val="333333"/>
          <w:sz w:val="22"/>
          <w:szCs w:val="22"/>
        </w:rPr>
        <w:t>,</w:t>
      </w:r>
      <w:r>
        <w:rPr>
          <w:rFonts w:ascii="Times New Roman" w:hAnsi="Times New Roman" w:hint="eastAsia"/>
          <w:color w:val="333333"/>
          <w:sz w:val="22"/>
          <w:szCs w:val="22"/>
        </w:rPr>
        <w:t>出具土地估价报告。出具的土地估价报告应当在</w:t>
      </w:r>
      <w:r>
        <w:rPr>
          <w:rFonts w:ascii="Times New Roman" w:hAnsi="Times New Roman" w:cs="Times New Roman"/>
          <w:color w:val="333333"/>
          <w:sz w:val="22"/>
          <w:szCs w:val="22"/>
        </w:rPr>
        <w:t>“</w:t>
      </w:r>
      <w:r>
        <w:rPr>
          <w:rFonts w:ascii="Times New Roman" w:hAnsi="Times New Roman" w:hint="eastAsia"/>
          <w:color w:val="333333"/>
          <w:sz w:val="22"/>
          <w:szCs w:val="22"/>
        </w:rPr>
        <w:t>估价结果</w:t>
      </w:r>
      <w:r>
        <w:rPr>
          <w:rFonts w:ascii="Times New Roman" w:hAnsi="Times New Roman" w:cs="Times New Roman"/>
          <w:color w:val="333333"/>
          <w:sz w:val="22"/>
          <w:szCs w:val="22"/>
        </w:rPr>
        <w:t>”</w:t>
      </w:r>
      <w:r>
        <w:rPr>
          <w:rFonts w:ascii="Times New Roman" w:hAnsi="Times New Roman" w:hint="eastAsia"/>
          <w:color w:val="333333"/>
          <w:sz w:val="22"/>
          <w:szCs w:val="22"/>
        </w:rPr>
        <w:t>部分有明确底价决策建议及理由</w:t>
      </w:r>
      <w:r>
        <w:rPr>
          <w:rFonts w:ascii="Times New Roman" w:hAnsi="Times New Roman" w:cs="Times New Roman"/>
          <w:color w:val="333333"/>
          <w:sz w:val="22"/>
          <w:szCs w:val="22"/>
        </w:rPr>
        <w:t>;</w:t>
      </w:r>
      <w:r>
        <w:rPr>
          <w:rFonts w:ascii="Times New Roman" w:hAnsi="Times New Roman" w:hint="eastAsia"/>
          <w:color w:val="333333"/>
          <w:sz w:val="22"/>
          <w:szCs w:val="22"/>
        </w:rPr>
        <w:t>涉及协议出让最低价标准、工业用地出让最低价标准等最低限价的</w:t>
      </w:r>
      <w:r>
        <w:rPr>
          <w:rFonts w:ascii="Times New Roman" w:hAnsi="Times New Roman" w:cs="Times New Roman"/>
          <w:color w:val="333333"/>
          <w:sz w:val="22"/>
          <w:szCs w:val="22"/>
        </w:rPr>
        <w:t>,</w:t>
      </w:r>
      <w:r>
        <w:rPr>
          <w:rFonts w:ascii="Times New Roman" w:hAnsi="Times New Roman" w:hint="eastAsia"/>
          <w:color w:val="333333"/>
          <w:sz w:val="22"/>
          <w:szCs w:val="22"/>
        </w:rPr>
        <w:t>还应同时列出相应的最低限价标准。</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已出让土地因调整容积率需评估补缴地价款的</w:t>
      </w:r>
      <w:r>
        <w:rPr>
          <w:rFonts w:ascii="Times New Roman" w:hAnsi="Times New Roman" w:cs="Times New Roman"/>
          <w:color w:val="333333"/>
          <w:sz w:val="22"/>
          <w:szCs w:val="22"/>
        </w:rPr>
        <w:t>,</w:t>
      </w:r>
      <w:r>
        <w:rPr>
          <w:rFonts w:ascii="Times New Roman" w:hAnsi="Times New Roman" w:hint="eastAsia"/>
          <w:color w:val="333333"/>
          <w:sz w:val="22"/>
          <w:szCs w:val="22"/>
        </w:rPr>
        <w:t>若调整前原容积率低于</w:t>
      </w:r>
      <w:r>
        <w:rPr>
          <w:rFonts w:ascii="Times New Roman" w:hAnsi="Times New Roman" w:cs="Times New Roman"/>
          <w:color w:val="333333"/>
          <w:sz w:val="22"/>
          <w:szCs w:val="22"/>
        </w:rPr>
        <w:t>1,</w:t>
      </w:r>
      <w:r>
        <w:rPr>
          <w:rFonts w:ascii="Times New Roman" w:hAnsi="Times New Roman" w:hint="eastAsia"/>
          <w:color w:val="333333"/>
          <w:sz w:val="22"/>
          <w:szCs w:val="22"/>
        </w:rPr>
        <w:t>可按新容积率规划条件下评估期日的楼面地价乘以新增建筑面积确定应补缴的地价款。对列入市县政府旧城区成片改造、棚户区改造计划的地块</w:t>
      </w:r>
      <w:r>
        <w:rPr>
          <w:rFonts w:ascii="Times New Roman" w:hAnsi="Times New Roman" w:cs="Times New Roman"/>
          <w:color w:val="333333"/>
          <w:sz w:val="22"/>
          <w:szCs w:val="22"/>
        </w:rPr>
        <w:t>,</w:t>
      </w:r>
      <w:r>
        <w:rPr>
          <w:rFonts w:ascii="Times New Roman" w:hAnsi="Times New Roman" w:hint="eastAsia"/>
          <w:color w:val="333333"/>
          <w:sz w:val="22"/>
          <w:szCs w:val="22"/>
        </w:rPr>
        <w:t>政府主动调整涉及多宗土地的城镇控制性详细规划</w:t>
      </w:r>
      <w:r>
        <w:rPr>
          <w:rFonts w:ascii="Times New Roman" w:hAnsi="Times New Roman" w:cs="Times New Roman"/>
          <w:color w:val="333333"/>
          <w:sz w:val="22"/>
          <w:szCs w:val="22"/>
        </w:rPr>
        <w:t>,</w:t>
      </w:r>
      <w:r>
        <w:rPr>
          <w:rFonts w:ascii="Times New Roman" w:hAnsi="Times New Roman" w:hint="eastAsia"/>
          <w:color w:val="333333"/>
          <w:sz w:val="22"/>
          <w:szCs w:val="22"/>
        </w:rPr>
        <w:t>在评估应补缴地价款时</w:t>
      </w:r>
      <w:r>
        <w:rPr>
          <w:rFonts w:ascii="Times New Roman" w:hAnsi="Times New Roman" w:cs="Times New Roman"/>
          <w:color w:val="333333"/>
          <w:sz w:val="22"/>
          <w:szCs w:val="22"/>
        </w:rPr>
        <w:t>,</w:t>
      </w:r>
      <w:r>
        <w:rPr>
          <w:rFonts w:ascii="Times New Roman" w:hAnsi="Times New Roman" w:hint="eastAsia"/>
          <w:color w:val="333333"/>
          <w:sz w:val="22"/>
          <w:szCs w:val="22"/>
        </w:rPr>
        <w:t>楼面地价可按新容积率规划条件下评估期日的楼面地价确定。</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五、加强土地市场中介行业监管。各级国土资源主管部门要认真履行土地市场监管职责</w:t>
      </w:r>
      <w:r>
        <w:rPr>
          <w:rFonts w:ascii="Times New Roman" w:hAnsi="Times New Roman" w:cs="Times New Roman"/>
          <w:color w:val="333333"/>
          <w:sz w:val="22"/>
          <w:szCs w:val="22"/>
        </w:rPr>
        <w:t>,</w:t>
      </w:r>
      <w:r>
        <w:rPr>
          <w:rFonts w:ascii="Times New Roman" w:hAnsi="Times New Roman" w:hint="eastAsia"/>
          <w:color w:val="333333"/>
          <w:sz w:val="22"/>
          <w:szCs w:val="22"/>
        </w:rPr>
        <w:t>加强对土地估价等市场中介行业的监管</w:t>
      </w:r>
      <w:r>
        <w:rPr>
          <w:rFonts w:ascii="Times New Roman" w:hAnsi="Times New Roman" w:cs="Times New Roman"/>
          <w:color w:val="333333"/>
          <w:sz w:val="22"/>
          <w:szCs w:val="22"/>
        </w:rPr>
        <w:t>,</w:t>
      </w:r>
      <w:r>
        <w:rPr>
          <w:rFonts w:ascii="Times New Roman" w:hAnsi="Times New Roman" w:hint="eastAsia"/>
          <w:color w:val="333333"/>
          <w:sz w:val="22"/>
          <w:szCs w:val="22"/>
        </w:rPr>
        <w:t>对发现的不符合规程和部有关文件规定的土地估价报告</w:t>
      </w:r>
      <w:r>
        <w:rPr>
          <w:rFonts w:ascii="Times New Roman" w:hAnsi="Times New Roman" w:cs="Times New Roman"/>
          <w:color w:val="333333"/>
          <w:sz w:val="22"/>
          <w:szCs w:val="22"/>
        </w:rPr>
        <w:t>,</w:t>
      </w:r>
      <w:r>
        <w:rPr>
          <w:rFonts w:ascii="Times New Roman" w:hAnsi="Times New Roman" w:hint="eastAsia"/>
          <w:color w:val="333333"/>
          <w:sz w:val="22"/>
          <w:szCs w:val="22"/>
        </w:rPr>
        <w:t>应依法追究有关机构和人员责任</w:t>
      </w:r>
      <w:r>
        <w:rPr>
          <w:rFonts w:ascii="Times New Roman" w:hAnsi="Times New Roman" w:cs="Times New Roman"/>
          <w:color w:val="333333"/>
          <w:sz w:val="22"/>
          <w:szCs w:val="22"/>
        </w:rPr>
        <w:t>,</w:t>
      </w:r>
      <w:r>
        <w:rPr>
          <w:rFonts w:ascii="Times New Roman" w:hAnsi="Times New Roman" w:hint="eastAsia"/>
          <w:color w:val="333333"/>
          <w:sz w:val="22"/>
          <w:szCs w:val="22"/>
        </w:rPr>
        <w:t>同时交由行业协会予以行业自律处罚。省级国土资源主管部门要指导行业协会加强自律管理</w:t>
      </w:r>
      <w:r>
        <w:rPr>
          <w:rFonts w:ascii="Times New Roman" w:hAnsi="Times New Roman" w:cs="Times New Roman"/>
          <w:color w:val="333333"/>
          <w:sz w:val="22"/>
          <w:szCs w:val="22"/>
        </w:rPr>
        <w:t>,</w:t>
      </w:r>
      <w:r>
        <w:rPr>
          <w:rFonts w:ascii="Times New Roman" w:hAnsi="Times New Roman" w:hint="eastAsia"/>
          <w:color w:val="333333"/>
          <w:sz w:val="22"/>
          <w:szCs w:val="22"/>
        </w:rPr>
        <w:t>定期开展土地估价报告备案情况检查</w:t>
      </w:r>
      <w:r>
        <w:rPr>
          <w:rFonts w:ascii="Times New Roman" w:hAnsi="Times New Roman" w:cs="Times New Roman"/>
          <w:color w:val="333333"/>
          <w:sz w:val="22"/>
          <w:szCs w:val="22"/>
        </w:rPr>
        <w:t>;</w:t>
      </w:r>
      <w:r>
        <w:rPr>
          <w:rFonts w:ascii="Times New Roman" w:hAnsi="Times New Roman" w:hint="eastAsia"/>
          <w:color w:val="333333"/>
          <w:sz w:val="22"/>
          <w:szCs w:val="22"/>
        </w:rPr>
        <w:t>严格执行土地估价报告抽查评议制度</w:t>
      </w:r>
      <w:r>
        <w:rPr>
          <w:rFonts w:ascii="Times New Roman" w:hAnsi="Times New Roman" w:cs="Times New Roman"/>
          <w:color w:val="333333"/>
          <w:sz w:val="22"/>
          <w:szCs w:val="22"/>
        </w:rPr>
        <w:t>,</w:t>
      </w:r>
      <w:r>
        <w:rPr>
          <w:rFonts w:ascii="Times New Roman" w:hAnsi="Times New Roman" w:hint="eastAsia"/>
          <w:color w:val="333333"/>
          <w:sz w:val="22"/>
          <w:szCs w:val="22"/>
        </w:rPr>
        <w:t>定期组织行业协会和专家</w:t>
      </w:r>
      <w:r>
        <w:rPr>
          <w:rFonts w:ascii="Times New Roman" w:hAnsi="Times New Roman" w:cs="Times New Roman"/>
          <w:color w:val="333333"/>
          <w:sz w:val="22"/>
          <w:szCs w:val="22"/>
        </w:rPr>
        <w:t>,</w:t>
      </w:r>
      <w:r>
        <w:rPr>
          <w:rFonts w:ascii="Times New Roman" w:hAnsi="Times New Roman" w:hint="eastAsia"/>
          <w:color w:val="333333"/>
          <w:sz w:val="22"/>
          <w:szCs w:val="22"/>
        </w:rPr>
        <w:t>对辖区内已备案的土地估价报告进行抽查和评议</w:t>
      </w:r>
      <w:r>
        <w:rPr>
          <w:rFonts w:ascii="Times New Roman" w:hAnsi="Times New Roman" w:cs="Times New Roman"/>
          <w:color w:val="333333"/>
          <w:sz w:val="22"/>
          <w:szCs w:val="22"/>
        </w:rPr>
        <w:t>,</w:t>
      </w:r>
      <w:r>
        <w:rPr>
          <w:rFonts w:ascii="Times New Roman" w:hAnsi="Times New Roman" w:hint="eastAsia"/>
          <w:color w:val="333333"/>
          <w:sz w:val="22"/>
          <w:szCs w:val="22"/>
        </w:rPr>
        <w:t>向社会公布抽查评议结果。</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sz w:val="22"/>
          <w:szCs w:val="22"/>
        </w:rPr>
      </w:pPr>
      <w:r>
        <w:rPr>
          <w:rFonts w:ascii="Times New Roman" w:hAnsi="Times New Roman" w:hint="eastAsia"/>
          <w:color w:val="333333"/>
          <w:sz w:val="22"/>
          <w:szCs w:val="22"/>
        </w:rPr>
        <w:t>本文件的有效期为</w:t>
      </w:r>
      <w:r>
        <w:rPr>
          <w:rFonts w:ascii="Times New Roman" w:hAnsi="Times New Roman" w:cs="Times New Roman"/>
          <w:color w:val="333333"/>
          <w:sz w:val="22"/>
          <w:szCs w:val="22"/>
        </w:rPr>
        <w:t>5</w:t>
      </w:r>
      <w:r>
        <w:rPr>
          <w:rFonts w:ascii="Times New Roman" w:hAnsi="Times New Roman" w:hint="eastAsia"/>
          <w:color w:val="333333"/>
          <w:sz w:val="22"/>
          <w:szCs w:val="22"/>
        </w:rPr>
        <w:t>年。</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82"/>
        <w:jc w:val="right"/>
        <w:rPr>
          <w:rFonts w:cs="Times New Roman"/>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2015</w:t>
      </w:r>
      <w:r>
        <w:rPr>
          <w:rFonts w:ascii="Times New Roman" w:hAnsi="Times New Roman" w:hint="eastAsia"/>
          <w:color w:val="333333"/>
          <w:sz w:val="22"/>
          <w:szCs w:val="22"/>
        </w:rPr>
        <w:t>年</w:t>
      </w:r>
      <w:r>
        <w:rPr>
          <w:rFonts w:ascii="Times New Roman" w:hAnsi="Times New Roman" w:cs="Times New Roman"/>
          <w:color w:val="333333"/>
          <w:sz w:val="22"/>
          <w:szCs w:val="22"/>
        </w:rPr>
        <w:t>3</w:t>
      </w:r>
      <w:r>
        <w:rPr>
          <w:rFonts w:ascii="Times New Roman" w:hAnsi="Times New Roman" w:hint="eastAsia"/>
          <w:color w:val="333333"/>
          <w:sz w:val="22"/>
          <w:szCs w:val="22"/>
        </w:rPr>
        <w:t>月</w:t>
      </w:r>
      <w:r>
        <w:rPr>
          <w:rFonts w:ascii="Times New Roman" w:hAnsi="Times New Roman" w:cs="Times New Roman"/>
          <w:color w:val="333333"/>
          <w:sz w:val="22"/>
          <w:szCs w:val="22"/>
        </w:rPr>
        <w:t>18</w:t>
      </w:r>
      <w:r>
        <w:rPr>
          <w:rFonts w:ascii="Times New Roman" w:hAnsi="Times New Roman" w:hint="eastAsia"/>
          <w:color w:val="333333"/>
          <w:sz w:val="22"/>
          <w:szCs w:val="22"/>
        </w:rPr>
        <w:t>日</w:t>
      </w:r>
    </w:p>
    <w:p w:rsidR="00A32067" w:rsidRDefault="00A32067">
      <w:pPr>
        <w:shd w:val="clear" w:color="auto" w:fill="FFFFFF"/>
        <w:spacing w:line="360" w:lineRule="auto"/>
        <w:outlineLvl w:val="0"/>
        <w:rPr>
          <w:b/>
          <w:bCs/>
          <w:sz w:val="28"/>
          <w:szCs w:val="28"/>
        </w:rPr>
      </w:pPr>
    </w:p>
    <w:p w:rsidR="00A32067" w:rsidRDefault="00A32067" w:rsidP="0002085C">
      <w:pPr>
        <w:shd w:val="clear" w:color="auto" w:fill="FFFFFF"/>
        <w:spacing w:afterLines="100" w:line="360" w:lineRule="auto"/>
        <w:jc w:val="center"/>
        <w:outlineLvl w:val="2"/>
        <w:rPr>
          <w:b/>
          <w:bCs/>
          <w:color w:val="333333"/>
          <w:sz w:val="44"/>
          <w:szCs w:val="44"/>
        </w:rPr>
        <w:sectPr w:rsidR="00A32067">
          <w:pgSz w:w="11907" w:h="16840"/>
          <w:pgMar w:top="1134" w:right="1077" w:bottom="1134" w:left="1077" w:header="794" w:footer="567" w:gutter="284"/>
          <w:cols w:space="720"/>
          <w:docGrid w:linePitch="312"/>
        </w:sectPr>
      </w:pPr>
      <w:bookmarkStart w:id="22" w:name="_Toc519872265"/>
    </w:p>
    <w:p w:rsidR="00A32067" w:rsidRDefault="00A32067" w:rsidP="0002085C">
      <w:pPr>
        <w:shd w:val="clear" w:color="auto" w:fill="FFFFFF"/>
        <w:spacing w:afterLines="100" w:line="360" w:lineRule="auto"/>
        <w:jc w:val="center"/>
        <w:outlineLvl w:val="2"/>
        <w:rPr>
          <w:b/>
          <w:bCs/>
          <w:color w:val="333333"/>
          <w:sz w:val="44"/>
          <w:szCs w:val="44"/>
        </w:rPr>
      </w:pPr>
      <w:r>
        <w:rPr>
          <w:rFonts w:cs="宋体" w:hint="eastAsia"/>
          <w:b/>
          <w:bCs/>
          <w:color w:val="333333"/>
          <w:sz w:val="44"/>
          <w:szCs w:val="44"/>
        </w:rPr>
        <w:t>国土资源部国家发展改革委</w:t>
      </w:r>
      <w:r>
        <w:rPr>
          <w:b/>
          <w:bCs/>
          <w:color w:val="333333"/>
          <w:sz w:val="44"/>
          <w:szCs w:val="44"/>
        </w:rPr>
        <w:br/>
      </w:r>
      <w:r>
        <w:rPr>
          <w:rFonts w:cs="宋体" w:hint="eastAsia"/>
          <w:b/>
          <w:bCs/>
          <w:color w:val="333333"/>
          <w:sz w:val="44"/>
          <w:szCs w:val="44"/>
        </w:rPr>
        <w:t>关于深入推进农业供给侧结构性改革</w:t>
      </w:r>
      <w:r>
        <w:rPr>
          <w:b/>
          <w:bCs/>
          <w:color w:val="333333"/>
          <w:sz w:val="44"/>
          <w:szCs w:val="44"/>
        </w:rPr>
        <w:br/>
      </w:r>
      <w:r>
        <w:rPr>
          <w:rFonts w:cs="宋体" w:hint="eastAsia"/>
          <w:b/>
          <w:bCs/>
          <w:color w:val="333333"/>
          <w:sz w:val="44"/>
          <w:szCs w:val="44"/>
        </w:rPr>
        <w:t>做好农村产业融合发展用地保障的通知</w:t>
      </w:r>
      <w:r>
        <w:rPr>
          <w:b/>
          <w:bCs/>
          <w:color w:val="333333"/>
          <w:sz w:val="44"/>
          <w:szCs w:val="44"/>
        </w:rPr>
        <w:br/>
      </w:r>
      <w:r>
        <w:rPr>
          <w:rFonts w:cs="宋体" w:hint="eastAsia"/>
          <w:color w:val="333333"/>
          <w:kern w:val="0"/>
          <w:sz w:val="22"/>
          <w:szCs w:val="22"/>
        </w:rPr>
        <w:t>国土资规</w:t>
      </w:r>
      <w:r>
        <w:rPr>
          <w:color w:val="333333"/>
          <w:kern w:val="0"/>
          <w:sz w:val="22"/>
          <w:szCs w:val="22"/>
        </w:rPr>
        <w:t>[2017]12</w:t>
      </w:r>
      <w:r>
        <w:rPr>
          <w:rFonts w:cs="宋体" w:hint="eastAsia"/>
          <w:color w:val="333333"/>
          <w:kern w:val="0"/>
          <w:sz w:val="22"/>
          <w:szCs w:val="22"/>
        </w:rPr>
        <w:t>号</w:t>
      </w:r>
      <w:bookmarkEnd w:id="22"/>
      <w:r>
        <w:rPr>
          <w:color w:val="333333"/>
          <w:kern w:val="0"/>
          <w:sz w:val="22"/>
          <w:szCs w:val="22"/>
        </w:rPr>
        <w:t> </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各省、自治区、直辖市和新疆生产建设兵团国土资源主管部门、发展改革委，各派驻地方的国家土地督察局，部机关各司局：</w:t>
      </w:r>
    </w:p>
    <w:p w:rsidR="00A32067" w:rsidRDefault="00A32067">
      <w:pPr>
        <w:shd w:val="clear" w:color="auto" w:fill="FFFFFF"/>
        <w:spacing w:line="360" w:lineRule="auto"/>
        <w:rPr>
          <w:color w:val="333333"/>
          <w:kern w:val="0"/>
          <w:sz w:val="22"/>
          <w:szCs w:val="22"/>
        </w:rPr>
      </w:pPr>
      <w:r>
        <w:rPr>
          <w:rFonts w:eastAsia="微软雅黑" w:cs="微软雅黑" w:hint="eastAsia"/>
          <w:color w:val="333333"/>
          <w:sz w:val="24"/>
          <w:szCs w:val="24"/>
        </w:rPr>
        <w:t xml:space="preserve">　</w:t>
      </w:r>
      <w:r>
        <w:rPr>
          <w:rFonts w:cs="宋体" w:hint="eastAsia"/>
          <w:color w:val="333333"/>
          <w:kern w:val="0"/>
          <w:sz w:val="22"/>
          <w:szCs w:val="22"/>
        </w:rPr>
        <w:t xml:space="preserve">　党的十九大作出实施乡村振兴战略的决策部署，是新时期做好</w:t>
      </w:r>
      <w:r>
        <w:rPr>
          <w:color w:val="333333"/>
          <w:kern w:val="0"/>
          <w:sz w:val="22"/>
          <w:szCs w:val="22"/>
        </w:rPr>
        <w:t>“</w:t>
      </w:r>
      <w:r>
        <w:rPr>
          <w:rFonts w:cs="宋体" w:hint="eastAsia"/>
          <w:color w:val="333333"/>
          <w:kern w:val="0"/>
          <w:sz w:val="22"/>
          <w:szCs w:val="22"/>
        </w:rPr>
        <w:t>三农</w:t>
      </w:r>
      <w:r>
        <w:rPr>
          <w:color w:val="333333"/>
          <w:kern w:val="0"/>
          <w:sz w:val="22"/>
          <w:szCs w:val="22"/>
        </w:rPr>
        <w:t>”</w:t>
      </w:r>
      <w:r>
        <w:rPr>
          <w:rFonts w:cs="宋体" w:hint="eastAsia"/>
          <w:color w:val="333333"/>
          <w:kern w:val="0"/>
          <w:sz w:val="22"/>
          <w:szCs w:val="22"/>
        </w:rPr>
        <w:t>工作的重要遵循。各级国土资源、发展改革部门要积极行动起来，主动作为，综合施策，坚持农业农村优先发展的原则，落实最严格的耕地保护制度和节约用地制度，完善农村土地用途管制，加快推进农业农村现代化。为全面贯彻落实党的十九大和中央有关要求，深入推进农业供给侧结构性改革，做好农村一二三产业融合发展的用地保障，现就有关事项通知如下：</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一、发挥土地利用总体规划的引领作用。各地区在编制和实施土地利用总体规划中，要适应现代农业和农村产业融合发展需要，优先安排农村基础设施和公共服务用地，乡（镇）土地利用总体规划可以预留少量（不超过</w:t>
      </w:r>
      <w:r>
        <w:rPr>
          <w:color w:val="333333"/>
          <w:kern w:val="0"/>
          <w:sz w:val="22"/>
          <w:szCs w:val="22"/>
        </w:rPr>
        <w:t>5%</w:t>
      </w:r>
      <w:r>
        <w:rPr>
          <w:rFonts w:cs="宋体" w:hint="eastAsia"/>
          <w:color w:val="333333"/>
          <w:kern w:val="0"/>
          <w:sz w:val="22"/>
          <w:szCs w:val="22"/>
        </w:rPr>
        <w:t>）规划建设用地指标，用于零星分散的单独选址农业设施、乡村旅游设施等建设。做好农业产业园、科技园、创业园用地安排，在确保农地农用的前提下，引导农村二三产业向县城、重点乡镇及产业园区等集中集聚，合理保障农业产业园区建设用地需求，严防变相搞房地产开发。省级国土资源主管部门制定用地控制标准，加强实施监管。</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二、因地制宜编制村土地利用规划。在不占用永久基本农田、不突破建设用地规模、不破坏生态环境和人文风貌的前提下，统筹农业农村各项土地利用活动，优化耕地保护、村庄建设、产业发展、生态保护等用地布局，细化土地用途管制规则，加大土地利用综合整治力度，引导农田集中连片、建设用地集约紧凑，推进农业农村绿色发展。</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三、加强建设用地计划指标支持。安排一定比例年度土地利用计划，专项支持农村新产业新业态和产业融合发展。对利用存量建设用地进行农产品加工、农产品冷链、物流仓储、产地批发市场等项目建设或用于小微创业园、休闲农业、乡村旅游、农村电商等农村二三产业的市、县，可给予新增建设用地计划指标奖励。</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四、规范设施农用地类型。对于农业生产过程中所需各类生产设施和附属设施用地，以及由于农业规模经营必须兴建的配套设施，包括蔬菜种植、烟草种植和茶园、橡胶园等农作物种植园的看护类管理房用地（单层、占地小于</w:t>
      </w:r>
      <w:r>
        <w:rPr>
          <w:color w:val="333333"/>
          <w:kern w:val="0"/>
          <w:sz w:val="22"/>
          <w:szCs w:val="22"/>
        </w:rPr>
        <w:t>15</w:t>
      </w:r>
      <w:r>
        <w:rPr>
          <w:rFonts w:cs="宋体" w:hint="eastAsia"/>
          <w:color w:val="333333"/>
          <w:kern w:val="0"/>
          <w:sz w:val="22"/>
          <w:szCs w:val="22"/>
        </w:rPr>
        <w:t>平方米），临时性烤烟、炒茶、果蔬预冷、葡萄晾干等农产品晾晒、临时存储、分拣包装等初加工设施用地（原则上占地不得超过</w:t>
      </w:r>
      <w:r>
        <w:rPr>
          <w:color w:val="333333"/>
          <w:kern w:val="0"/>
          <w:sz w:val="22"/>
          <w:szCs w:val="22"/>
        </w:rPr>
        <w:t>400</w:t>
      </w:r>
      <w:r>
        <w:rPr>
          <w:rFonts w:cs="宋体" w:hint="eastAsia"/>
          <w:color w:val="333333"/>
          <w:kern w:val="0"/>
          <w:sz w:val="22"/>
          <w:szCs w:val="22"/>
        </w:rPr>
        <w:t>平方米），在不占用永久基本农田的前提下，纳入设施农用地管理，实行县级备案。</w:t>
      </w:r>
      <w:r>
        <w:rPr>
          <w:color w:val="333333"/>
          <w:kern w:val="0"/>
          <w:sz w:val="22"/>
          <w:szCs w:val="22"/>
        </w:rPr>
        <w:t> </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五、改进设施农用地监督管理。省级国土资源主管部门明确不同类型设施农用地的规划安排、选址要求、使用周期，以及结束使用后恢复原状的保障措施。县级国土资源主管部门设立标示牌，标明设施农用地用途、面积、责任人和备案序号，接受公众监督。设施农用地的管理信息纳入国土资源综合信息监管平台，加强土地执法监察和土地督察，防止擅自将设施农用地</w:t>
      </w:r>
      <w:r>
        <w:rPr>
          <w:color w:val="333333"/>
          <w:kern w:val="0"/>
          <w:sz w:val="22"/>
          <w:szCs w:val="22"/>
        </w:rPr>
        <w:t>“</w:t>
      </w:r>
      <w:r>
        <w:rPr>
          <w:rFonts w:cs="宋体" w:hint="eastAsia"/>
          <w:color w:val="333333"/>
          <w:kern w:val="0"/>
          <w:sz w:val="22"/>
          <w:szCs w:val="22"/>
        </w:rPr>
        <w:t>非农化</w:t>
      </w:r>
      <w:r>
        <w:rPr>
          <w:color w:val="333333"/>
          <w:kern w:val="0"/>
          <w:sz w:val="22"/>
          <w:szCs w:val="22"/>
        </w:rPr>
        <w:t>”</w:t>
      </w:r>
      <w:r>
        <w:rPr>
          <w:rFonts w:cs="宋体" w:hint="eastAsia"/>
          <w:color w:val="333333"/>
          <w:kern w:val="0"/>
          <w:sz w:val="22"/>
          <w:szCs w:val="22"/>
        </w:rPr>
        <w:t>。</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六、鼓励土地复合利用。围绕农业增效和农民增收，因地制宜保护耕地，允许在不破坏耕作层的前提下，对农业生产结构进行优化调整，仍按耕地管理。鼓励农业生产和村庄建设等用地复合利用，发展休闲农业、乡村旅游、农业教育、农业科普、农事体验等产业，拓展土地使用功能，提高土地节约集约利用水平。在充分保障农民宅基地用益物权、防止外部资本侵占控制的前提下，探索农村集体经济组织以出租、合作等方式盘活利用空闲农房及宅基地，按照规划要求和用地标准，改造建设民宿民俗、创意办公、休闲农业、乡村旅游等农业农村体验活动场所。</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七、夯实基础工作。开展耕地质量等别调查评价与监测工作，定期更新耕地等农用地土地等别数据库，稳步推进农用地基准地价制定和发布工作，为农户土地入股或流转提供参考依据。加快</w:t>
      </w:r>
      <w:r>
        <w:rPr>
          <w:color w:val="333333"/>
          <w:kern w:val="0"/>
          <w:sz w:val="22"/>
          <w:szCs w:val="22"/>
        </w:rPr>
        <w:t>“</w:t>
      </w:r>
      <w:r>
        <w:rPr>
          <w:rFonts w:cs="宋体" w:hint="eastAsia"/>
          <w:color w:val="333333"/>
          <w:kern w:val="0"/>
          <w:sz w:val="22"/>
          <w:szCs w:val="22"/>
        </w:rPr>
        <w:t>房地一体</w:t>
      </w:r>
      <w:r>
        <w:rPr>
          <w:color w:val="333333"/>
          <w:kern w:val="0"/>
          <w:sz w:val="22"/>
          <w:szCs w:val="22"/>
        </w:rPr>
        <w:t>”</w:t>
      </w:r>
      <w:r>
        <w:rPr>
          <w:rFonts w:cs="宋体" w:hint="eastAsia"/>
          <w:color w:val="333333"/>
          <w:kern w:val="0"/>
          <w:sz w:val="22"/>
          <w:szCs w:val="22"/>
        </w:rPr>
        <w:t>的农村宅基地和集体建设用地确权登记颁证工作，为农村新产业新业态发展提供产权保障和融资条件。</w:t>
      </w:r>
    </w:p>
    <w:p w:rsidR="00A32067" w:rsidRDefault="00A32067">
      <w:pPr>
        <w:shd w:val="clear" w:color="auto" w:fill="FFFFFF"/>
        <w:spacing w:line="360" w:lineRule="auto"/>
        <w:rPr>
          <w:color w:val="333333"/>
          <w:kern w:val="0"/>
          <w:sz w:val="22"/>
          <w:szCs w:val="22"/>
        </w:rPr>
      </w:pPr>
      <w:r>
        <w:rPr>
          <w:rFonts w:cs="宋体" w:hint="eastAsia"/>
          <w:color w:val="333333"/>
          <w:kern w:val="0"/>
          <w:sz w:val="22"/>
          <w:szCs w:val="22"/>
        </w:rPr>
        <w:t xml:space="preserve">　　八、强化部门协同配合。各级国土资源主管部门要加强与发展改革、农业、城乡规划、建设、环境保护、林业、旅游、消防等相关部门的协同联动，共同开展本地区农村产业融合发展用地现状和需求的调查分析，确定各业各类用地标准和用地保障方式，健全政策体系，联合执法监管，做好风险防控，合力推动新时期农业农村发展。</w:t>
      </w:r>
    </w:p>
    <w:p w:rsidR="00A32067" w:rsidRDefault="00A32067">
      <w:pPr>
        <w:shd w:val="clear" w:color="auto" w:fill="FFFFFF"/>
        <w:spacing w:line="360" w:lineRule="auto"/>
        <w:ind w:firstLine="465"/>
        <w:rPr>
          <w:color w:val="333333"/>
          <w:kern w:val="0"/>
          <w:sz w:val="22"/>
          <w:szCs w:val="22"/>
        </w:rPr>
      </w:pPr>
      <w:r>
        <w:rPr>
          <w:rFonts w:cs="宋体" w:hint="eastAsia"/>
          <w:color w:val="333333"/>
          <w:kern w:val="0"/>
          <w:sz w:val="22"/>
          <w:szCs w:val="22"/>
        </w:rPr>
        <w:t>本文件自下发之日起执行，有效期五年。</w:t>
      </w:r>
    </w:p>
    <w:p w:rsidR="00A32067" w:rsidRDefault="00A32067">
      <w:pPr>
        <w:shd w:val="clear" w:color="auto" w:fill="FFFFFF"/>
        <w:spacing w:line="360" w:lineRule="auto"/>
        <w:ind w:firstLine="465"/>
        <w:rPr>
          <w:b/>
          <w:bCs/>
          <w:color w:val="333333"/>
          <w:sz w:val="24"/>
          <w:szCs w:val="24"/>
        </w:rPr>
      </w:pPr>
    </w:p>
    <w:p w:rsidR="00A32067" w:rsidRDefault="00A32067">
      <w:pPr>
        <w:shd w:val="clear" w:color="auto" w:fill="FFFFFF"/>
        <w:spacing w:line="360" w:lineRule="auto"/>
        <w:jc w:val="right"/>
        <w:rPr>
          <w:sz w:val="22"/>
          <w:szCs w:val="22"/>
        </w:rPr>
      </w:pPr>
      <w:r>
        <w:rPr>
          <w:rFonts w:cs="宋体" w:hint="eastAsia"/>
          <w:sz w:val="24"/>
          <w:szCs w:val="24"/>
        </w:rPr>
        <w:t xml:space="preserve">　</w:t>
      </w:r>
      <w:r>
        <w:rPr>
          <w:rFonts w:cs="宋体" w:hint="eastAsia"/>
          <w:sz w:val="22"/>
          <w:szCs w:val="22"/>
        </w:rPr>
        <w:t xml:space="preserve">　</w:t>
      </w:r>
      <w:r>
        <w:rPr>
          <w:sz w:val="22"/>
          <w:szCs w:val="22"/>
        </w:rPr>
        <w:t>2017</w:t>
      </w:r>
      <w:r>
        <w:rPr>
          <w:rFonts w:cs="宋体" w:hint="eastAsia"/>
          <w:sz w:val="22"/>
          <w:szCs w:val="22"/>
        </w:rPr>
        <w:t>年</w:t>
      </w:r>
      <w:r>
        <w:rPr>
          <w:sz w:val="22"/>
          <w:szCs w:val="22"/>
        </w:rPr>
        <w:t>12</w:t>
      </w:r>
      <w:r>
        <w:rPr>
          <w:rFonts w:cs="宋体" w:hint="eastAsia"/>
          <w:sz w:val="22"/>
          <w:szCs w:val="22"/>
        </w:rPr>
        <w:t>月</w:t>
      </w:r>
      <w:r>
        <w:rPr>
          <w:sz w:val="22"/>
          <w:szCs w:val="22"/>
        </w:rPr>
        <w:t>7</w:t>
      </w:r>
      <w:r>
        <w:rPr>
          <w:rFonts w:cs="宋体" w:hint="eastAsia"/>
          <w:sz w:val="22"/>
          <w:szCs w:val="22"/>
        </w:rPr>
        <w:t>日</w:t>
      </w:r>
    </w:p>
    <w:p w:rsidR="00A32067" w:rsidRDefault="00A32067" w:rsidP="0002085C">
      <w:pPr>
        <w:shd w:val="clear" w:color="auto" w:fill="FFFFFF"/>
        <w:spacing w:afterLines="100" w:line="360" w:lineRule="auto"/>
        <w:jc w:val="center"/>
        <w:outlineLvl w:val="2"/>
        <w:rPr>
          <w:b/>
          <w:bCs/>
          <w:color w:val="333333"/>
          <w:sz w:val="44"/>
          <w:szCs w:val="44"/>
        </w:rPr>
      </w:pPr>
      <w:r>
        <w:br w:type="page"/>
      </w:r>
      <w:bookmarkStart w:id="23" w:name="_Toc519872266"/>
      <w:r>
        <w:rPr>
          <w:rFonts w:cs="宋体" w:hint="eastAsia"/>
          <w:b/>
          <w:bCs/>
          <w:color w:val="333333"/>
          <w:sz w:val="44"/>
          <w:szCs w:val="44"/>
        </w:rPr>
        <w:t>中华人民共和国城镇国有土地</w:t>
      </w:r>
      <w:r>
        <w:rPr>
          <w:b/>
          <w:bCs/>
          <w:color w:val="333333"/>
          <w:sz w:val="44"/>
          <w:szCs w:val="44"/>
        </w:rPr>
        <w:br/>
      </w:r>
      <w:r>
        <w:rPr>
          <w:rFonts w:cs="宋体" w:hint="eastAsia"/>
          <w:b/>
          <w:bCs/>
          <w:color w:val="333333"/>
          <w:sz w:val="44"/>
          <w:szCs w:val="44"/>
        </w:rPr>
        <w:t>使用权出让和转让暂行条例</w:t>
      </w:r>
      <w:r>
        <w:rPr>
          <w:b/>
          <w:bCs/>
          <w:color w:val="333333"/>
          <w:sz w:val="44"/>
          <w:szCs w:val="44"/>
        </w:rPr>
        <w:br/>
      </w:r>
      <w:r>
        <w:rPr>
          <w:rFonts w:cs="宋体" w:hint="eastAsia"/>
          <w:color w:val="333333"/>
          <w:kern w:val="0"/>
          <w:sz w:val="22"/>
          <w:szCs w:val="22"/>
        </w:rPr>
        <w:t>中华人民共和国国务院令第</w:t>
      </w:r>
      <w:r>
        <w:rPr>
          <w:color w:val="333333"/>
          <w:kern w:val="0"/>
          <w:sz w:val="22"/>
          <w:szCs w:val="22"/>
        </w:rPr>
        <w:t>55</w:t>
      </w:r>
      <w:r>
        <w:rPr>
          <w:rFonts w:cs="宋体" w:hint="eastAsia"/>
          <w:color w:val="333333"/>
          <w:kern w:val="0"/>
          <w:sz w:val="22"/>
          <w:szCs w:val="22"/>
        </w:rPr>
        <w:t>号</w:t>
      </w:r>
      <w:bookmarkEnd w:id="23"/>
    </w:p>
    <w:p w:rsidR="00A32067" w:rsidRDefault="00A32067">
      <w:pPr>
        <w:spacing w:line="240" w:lineRule="exact"/>
        <w:jc w:val="right"/>
        <w:rPr>
          <w:color w:val="000000"/>
          <w:sz w:val="24"/>
          <w:szCs w:val="24"/>
        </w:r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第一条</w:t>
      </w:r>
      <w:r>
        <w:rPr>
          <w:rFonts w:cs="宋体" w:hint="eastAsia"/>
          <w:color w:val="333333"/>
          <w:kern w:val="0"/>
          <w:sz w:val="22"/>
          <w:szCs w:val="22"/>
        </w:rPr>
        <w:t xml:space="preserve">　为了改革城镇国有土地使用制度，合理开发、利用、经营土地，加强土地管理，促进城市建设和经济发展，制定本条例。</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第二条　</w:t>
      </w:r>
      <w:r>
        <w:rPr>
          <w:rFonts w:cs="宋体" w:hint="eastAsia"/>
          <w:color w:val="333333"/>
          <w:kern w:val="0"/>
          <w:sz w:val="22"/>
          <w:szCs w:val="22"/>
        </w:rPr>
        <w:t>国家按照所有权与使用权分离的原则，实行城镇国有土地使用权出让、转让制度，但地下资源、埋藏物和市政公用设施除外。前款所称城镇国有土地是指市、县城、建制镇、工矿区范围内属于全民所有的土地</w:t>
      </w:r>
      <w:r>
        <w:rPr>
          <w:color w:val="333333"/>
          <w:kern w:val="0"/>
          <w:sz w:val="22"/>
          <w:szCs w:val="22"/>
        </w:rPr>
        <w:t>(</w:t>
      </w:r>
      <w:r>
        <w:rPr>
          <w:rFonts w:cs="宋体" w:hint="eastAsia"/>
          <w:color w:val="333333"/>
          <w:kern w:val="0"/>
          <w:sz w:val="22"/>
          <w:szCs w:val="22"/>
        </w:rPr>
        <w:t>以下简称土地</w:t>
      </w:r>
      <w:r>
        <w:rPr>
          <w:color w:val="333333"/>
          <w:kern w:val="0"/>
          <w:sz w:val="22"/>
          <w:szCs w:val="22"/>
        </w:rPr>
        <w:t>)</w:t>
      </w:r>
      <w:r>
        <w:rPr>
          <w:rFonts w:cs="宋体" w:hint="eastAsia"/>
          <w:color w:val="333333"/>
          <w:kern w:val="0"/>
          <w:sz w:val="22"/>
          <w:szCs w:val="22"/>
        </w:rPr>
        <w:t>。</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第三条　</w:t>
      </w:r>
      <w:r>
        <w:rPr>
          <w:rFonts w:cs="宋体" w:hint="eastAsia"/>
          <w:color w:val="333333"/>
          <w:kern w:val="0"/>
          <w:sz w:val="22"/>
          <w:szCs w:val="22"/>
        </w:rPr>
        <w:t>中华人民共和国境内外的公司、企业、其他组织和个人，除法律另有规定者外，均可依照本条例的规定取得土地使用权，进行土地开发、利用、经营。</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第四条　</w:t>
      </w:r>
      <w:r>
        <w:rPr>
          <w:rFonts w:cs="宋体" w:hint="eastAsia"/>
          <w:color w:val="333333"/>
          <w:kern w:val="0"/>
          <w:sz w:val="22"/>
          <w:szCs w:val="22"/>
        </w:rPr>
        <w:t>依照本条例的规定取得土地使用权的土地使用者，其使用权在使用年限内可以转让、出租、抵押或者用于其他经济活动，合法权益受国家法律保护。</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第五条　</w:t>
      </w:r>
      <w:r>
        <w:rPr>
          <w:rFonts w:cs="宋体" w:hint="eastAsia"/>
          <w:color w:val="333333"/>
          <w:kern w:val="0"/>
          <w:sz w:val="22"/>
          <w:szCs w:val="22"/>
        </w:rPr>
        <w:t>土地使用者开发、利用、经营土地的活动，应当遵守国家法律、法规的规定，并不得损害社会公共利益。</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第六条　</w:t>
      </w:r>
      <w:r>
        <w:rPr>
          <w:rFonts w:cs="宋体" w:hint="eastAsia"/>
          <w:color w:val="333333"/>
          <w:kern w:val="0"/>
          <w:sz w:val="22"/>
          <w:szCs w:val="22"/>
        </w:rPr>
        <w:t>县级以上人民政府土地管理部门依法对土地使用权的出让、转让、出租、抵押、终止进行监督检查。</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第七条　</w:t>
      </w:r>
      <w:r>
        <w:rPr>
          <w:rFonts w:cs="宋体" w:hint="eastAsia"/>
          <w:color w:val="333333"/>
          <w:kern w:val="0"/>
          <w:sz w:val="22"/>
          <w:szCs w:val="22"/>
        </w:rPr>
        <w:t>土地使用权出让、转让、出租、抵押、终止及有关的地上建筑物、其他附着物的登记，由政府土地管理部门、房产管理部门依照法律和国务院的有关规定办理。</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登记文件可以公开查阅</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第二章土地使用权出让</w:t>
      </w:r>
    </w:p>
    <w:p w:rsidR="00A32067" w:rsidRDefault="00A32067" w:rsidP="005431C7">
      <w:pPr>
        <w:shd w:val="clear" w:color="auto" w:fill="FFFFFF"/>
        <w:spacing w:line="360" w:lineRule="auto"/>
        <w:ind w:firstLineChars="200" w:firstLine="31680"/>
        <w:rPr>
          <w:color w:val="333333"/>
          <w:kern w:val="0"/>
          <w:sz w:val="22"/>
          <w:szCs w:val="22"/>
        </w:rPr>
      </w:pPr>
      <w:r>
        <w:rPr>
          <w:rFonts w:eastAsia="微软雅黑"/>
          <w:color w:val="333333"/>
        </w:rPr>
        <w:t> </w:t>
      </w:r>
      <w:r>
        <w:rPr>
          <w:rFonts w:cs="宋体" w:hint="eastAsia"/>
          <w:b/>
          <w:bCs/>
          <w:color w:val="333333"/>
          <w:kern w:val="0"/>
          <w:sz w:val="22"/>
          <w:szCs w:val="22"/>
        </w:rPr>
        <w:t xml:space="preserve">第八条　</w:t>
      </w:r>
      <w:r>
        <w:rPr>
          <w:rFonts w:cs="宋体" w:hint="eastAsia"/>
          <w:color w:val="333333"/>
          <w:kern w:val="0"/>
          <w:sz w:val="22"/>
          <w:szCs w:val="22"/>
        </w:rPr>
        <w:t>土地使用权出让是指国家以土地所有者的身份将土地使用权在一定年限内让与土地使用者，并由土地使用者向国家支付土地使用权出让金的行为。</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土地使用权出让应当签订出让合同。</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第九条　</w:t>
      </w:r>
      <w:r>
        <w:rPr>
          <w:rFonts w:cs="宋体" w:hint="eastAsia"/>
          <w:color w:val="333333"/>
          <w:kern w:val="0"/>
          <w:sz w:val="22"/>
          <w:szCs w:val="22"/>
        </w:rPr>
        <w:t>土地使用权的出让，由市、县人民政府负责，有计划、有步骤地进行。</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第十条　</w:t>
      </w:r>
      <w:r>
        <w:rPr>
          <w:rFonts w:cs="宋体" w:hint="eastAsia"/>
          <w:color w:val="333333"/>
          <w:kern w:val="0"/>
          <w:sz w:val="22"/>
          <w:szCs w:val="22"/>
        </w:rPr>
        <w:t>土地使用权出让的地块、用途、年限和其他条件，由市、县人民政府土地管理部门会同城市规划和建设管理部门、房产管理部门共同拟定方案，按照国务院规定的批准权限批准后，由土地管理部门实施。</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第十一条　</w:t>
      </w:r>
      <w:r>
        <w:rPr>
          <w:rFonts w:cs="宋体" w:hint="eastAsia"/>
          <w:color w:val="333333"/>
          <w:kern w:val="0"/>
          <w:sz w:val="22"/>
          <w:szCs w:val="22"/>
        </w:rPr>
        <w:t>土地使用权出让合同应当按照平等、自愿、有偿的原则，由市、县人民政府土地管理部门</w:t>
      </w:r>
      <w:r>
        <w:rPr>
          <w:color w:val="333333"/>
          <w:kern w:val="0"/>
          <w:sz w:val="22"/>
          <w:szCs w:val="22"/>
        </w:rPr>
        <w:t>(</w:t>
      </w:r>
      <w:r>
        <w:rPr>
          <w:rFonts w:cs="宋体" w:hint="eastAsia"/>
          <w:color w:val="333333"/>
          <w:kern w:val="0"/>
          <w:sz w:val="22"/>
          <w:szCs w:val="22"/>
        </w:rPr>
        <w:t>以下简称出让方</w:t>
      </w:r>
      <w:r>
        <w:rPr>
          <w:color w:val="333333"/>
          <w:kern w:val="0"/>
          <w:sz w:val="22"/>
          <w:szCs w:val="22"/>
        </w:rPr>
        <w:t>)</w:t>
      </w:r>
      <w:r>
        <w:rPr>
          <w:rFonts w:cs="宋体" w:hint="eastAsia"/>
          <w:color w:val="333333"/>
          <w:kern w:val="0"/>
          <w:sz w:val="22"/>
          <w:szCs w:val="22"/>
        </w:rPr>
        <w:t>与土地使用者签订。</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第十二条　</w:t>
      </w:r>
      <w:r>
        <w:rPr>
          <w:rFonts w:cs="宋体" w:hint="eastAsia"/>
          <w:color w:val="333333"/>
          <w:kern w:val="0"/>
          <w:sz w:val="22"/>
          <w:szCs w:val="22"/>
        </w:rPr>
        <w:t>土地使用权出让最高年限按下列用途确定：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（一）居住用地七十年；</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（二）工业用地五十年；</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（三）教育、科技、文化、卫生、体育用地五十年；</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（四）商业、旅游、娱乐用地四十年；</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（五）综合或者其他用地五十年。</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第十三条　</w:t>
      </w:r>
      <w:r>
        <w:rPr>
          <w:rFonts w:cs="宋体" w:hint="eastAsia"/>
          <w:color w:val="333333"/>
          <w:kern w:val="0"/>
          <w:sz w:val="22"/>
          <w:szCs w:val="22"/>
        </w:rPr>
        <w:t>土地使用权出让可以采取下列方式：</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（一）协议；</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（二）招标；</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（三）拍卖。</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（四）依照前款规定方式出让土地使用权的具体程序和步骤，由省、自治区、直辖市人民政府规定。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第十四条　</w:t>
      </w:r>
      <w:r>
        <w:rPr>
          <w:rFonts w:cs="宋体" w:hint="eastAsia"/>
          <w:color w:val="333333"/>
          <w:kern w:val="0"/>
          <w:sz w:val="22"/>
          <w:szCs w:val="22"/>
        </w:rPr>
        <w:t>土地使用者应当在签订土地使用权出让合同后六十日内，支付全部土地使用权出让金。逾期未全部支付的，出让方有权解除合同，并可请求违约赔偿。</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第十五条　</w:t>
      </w:r>
      <w:r>
        <w:rPr>
          <w:rFonts w:cs="宋体" w:hint="eastAsia"/>
          <w:color w:val="333333"/>
          <w:kern w:val="0"/>
          <w:sz w:val="22"/>
          <w:szCs w:val="22"/>
        </w:rPr>
        <w:t>出让方应当按照合同规定，提供出让的土地使用权。未按合同规定提供土地使用权的，土地使用者有权解除合同，并可请求违约赔偿。</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第十六条　</w:t>
      </w:r>
      <w:r>
        <w:rPr>
          <w:rFonts w:cs="宋体" w:hint="eastAsia"/>
          <w:color w:val="333333"/>
          <w:kern w:val="0"/>
          <w:sz w:val="22"/>
          <w:szCs w:val="22"/>
        </w:rPr>
        <w:t>土地使用者在支付全部土地使用权出让金后，应当依照规定办理登记，领取土地使用证，取得土地使用权。</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第十七条　</w:t>
      </w:r>
      <w:r>
        <w:rPr>
          <w:rFonts w:cs="宋体" w:hint="eastAsia"/>
          <w:color w:val="333333"/>
          <w:kern w:val="0"/>
          <w:sz w:val="22"/>
          <w:szCs w:val="22"/>
        </w:rPr>
        <w:t>土地使用者应当按照土地使用权出让合同的规定和城市规划的要求，开发、利用、经营土地。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未按合同规定的期限和条件开发、利用土地的，市、县人民政府土地管理部门应当予以纠正，并根据情节可以给予警告、罚款直至无偿收回土地使用权的处罚。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第十八条　</w:t>
      </w:r>
      <w:r>
        <w:rPr>
          <w:rFonts w:cs="宋体" w:hint="eastAsia"/>
          <w:color w:val="333333"/>
          <w:kern w:val="0"/>
          <w:sz w:val="22"/>
          <w:szCs w:val="22"/>
        </w:rPr>
        <w:t>土地使用者需要改变土地使用权出让合同规定的土地用途的，应当征得出让方同意并经土地管理部门和城市规划部门批准，依照本章的有关规定重新签订土地使用权出让合同，调整土地使用权出让金，并办理登记。</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第三章土地使用权转让</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第十九条　</w:t>
      </w:r>
      <w:r>
        <w:rPr>
          <w:rFonts w:cs="宋体" w:hint="eastAsia"/>
          <w:color w:val="333333"/>
          <w:kern w:val="0"/>
          <w:sz w:val="22"/>
          <w:szCs w:val="22"/>
        </w:rPr>
        <w:t>土地使用权转让是指土地使用者将土地使用权再转让的行为，包括出售、交换和赠与。未按土地使用权出让合同规定的期限和条件投资开发、利用土地的，土地使用权不得转让。</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第二十条　</w:t>
      </w:r>
      <w:r>
        <w:rPr>
          <w:rFonts w:cs="宋体" w:hint="eastAsia"/>
          <w:color w:val="333333"/>
          <w:kern w:val="0"/>
          <w:sz w:val="22"/>
          <w:szCs w:val="22"/>
        </w:rPr>
        <w:t>土地使用权转让应当签订转让合同。</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第二十一条　</w:t>
      </w:r>
      <w:r>
        <w:rPr>
          <w:rFonts w:cs="宋体" w:hint="eastAsia"/>
          <w:color w:val="333333"/>
          <w:kern w:val="0"/>
          <w:sz w:val="22"/>
          <w:szCs w:val="22"/>
        </w:rPr>
        <w:t>土地使用权转让时，土地使用权出让合同和登记文件中所载明的权利、义务随之转移。</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第二十二条　</w:t>
      </w:r>
      <w:r>
        <w:rPr>
          <w:rFonts w:cs="宋体" w:hint="eastAsia"/>
          <w:color w:val="333333"/>
          <w:kern w:val="0"/>
          <w:sz w:val="22"/>
          <w:szCs w:val="22"/>
        </w:rPr>
        <w:t>土地使用者通过转让方式取得的土地使用权，其使用年限为土地使用权出让合同规定的使用年限减去原土地使用者已使用年限后的剩余年限。</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第二十三条　</w:t>
      </w:r>
      <w:r>
        <w:rPr>
          <w:rFonts w:cs="宋体" w:hint="eastAsia"/>
          <w:color w:val="333333"/>
          <w:kern w:val="0"/>
          <w:sz w:val="22"/>
          <w:szCs w:val="22"/>
        </w:rPr>
        <w:t>土地使用权转让时，其地上建筑物、其他附着物所有权随之转让。</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第二十四条　</w:t>
      </w:r>
      <w:r>
        <w:rPr>
          <w:rFonts w:cs="宋体" w:hint="eastAsia"/>
          <w:color w:val="333333"/>
          <w:kern w:val="0"/>
          <w:sz w:val="22"/>
          <w:szCs w:val="22"/>
        </w:rPr>
        <w:t>地上建筑物、其他附着物的所有人或者共有人，享有该建筑物、附着物使用范围内的土地使用权。土地使用者转让地上建筑物、其他附着物所有权时，其使用范围内的土地使用权随之转让，但地上建筑物、其他附着物作为动产转让的除外。</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第二十五条　</w:t>
      </w:r>
      <w:r>
        <w:rPr>
          <w:rFonts w:cs="宋体" w:hint="eastAsia"/>
          <w:color w:val="333333"/>
          <w:kern w:val="0"/>
          <w:sz w:val="22"/>
          <w:szCs w:val="22"/>
        </w:rPr>
        <w:t>土地使用权和地上建筑物、其他附着物所有权转让，应当按照规定办理过户登记。土地使用权和地上建筑物、其他附着物所有权分割转让的，应当经市、县人民政府土地管理部门和房产管理部门批准，并依照规定办理过户登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第二十六条　</w:t>
      </w:r>
      <w:r>
        <w:rPr>
          <w:rFonts w:cs="宋体" w:hint="eastAsia"/>
          <w:color w:val="333333"/>
          <w:kern w:val="0"/>
          <w:sz w:val="22"/>
          <w:szCs w:val="22"/>
        </w:rPr>
        <w:t>土地使用权转让价格明显低于市场价格的，市、县人民政府有优先购买权。土地使用权转让的市场价格不合理上涨时，市、县人民政府可以采取必要的措施。</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第二十七条　</w:t>
      </w:r>
      <w:r>
        <w:rPr>
          <w:rFonts w:cs="宋体" w:hint="eastAsia"/>
          <w:color w:val="333333"/>
          <w:kern w:val="0"/>
          <w:sz w:val="22"/>
          <w:szCs w:val="22"/>
        </w:rPr>
        <w:t>土地使用权转让后，需要改变土地使用权出让合同规定的土地用途的，依照本条例第十八条的规定办理。</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第四章土地使用权出租</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第二十八条　</w:t>
      </w:r>
      <w:r>
        <w:rPr>
          <w:rFonts w:cs="宋体" w:hint="eastAsia"/>
          <w:color w:val="333333"/>
          <w:kern w:val="0"/>
          <w:sz w:val="22"/>
          <w:szCs w:val="22"/>
        </w:rPr>
        <w:t>土地使用权出租是指土地使用者作为出租人将土地使用权随同地上建筑物、其他附着物租赁给承租人使用，由承租人向出租人支付租金的行为。未按土地使用权出让合同规定的期限和条件投资开发、利用土地的，土地使用权不得出租。</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第二十九条　</w:t>
      </w:r>
      <w:r>
        <w:rPr>
          <w:rFonts w:cs="宋体" w:hint="eastAsia"/>
          <w:color w:val="333333"/>
          <w:kern w:val="0"/>
          <w:sz w:val="22"/>
          <w:szCs w:val="22"/>
        </w:rPr>
        <w:t>土地使用权出租，出租人与承租人应当签订租赁合同。租赁合同不得违背国家法律、法规和土地使用权出让合同的规定。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第三十条　</w:t>
      </w:r>
      <w:r>
        <w:rPr>
          <w:rFonts w:cs="宋体" w:hint="eastAsia"/>
          <w:color w:val="333333"/>
          <w:kern w:val="0"/>
          <w:sz w:val="22"/>
          <w:szCs w:val="22"/>
        </w:rPr>
        <w:t>土地使用权出租后，出租人必须继续履行土地使用权的出让合同。</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第三十一条　</w:t>
      </w:r>
      <w:r>
        <w:rPr>
          <w:rFonts w:cs="宋体" w:hint="eastAsia"/>
          <w:color w:val="333333"/>
          <w:kern w:val="0"/>
          <w:sz w:val="22"/>
          <w:szCs w:val="22"/>
        </w:rPr>
        <w:t>土地使用权和地上建筑物、其他附着物出租，出租人应当依照规定办理登记。</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第五章土地使用权抵押</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第三十二条　</w:t>
      </w:r>
      <w:r>
        <w:rPr>
          <w:rFonts w:cs="宋体" w:hint="eastAsia"/>
          <w:color w:val="333333"/>
          <w:kern w:val="0"/>
          <w:sz w:val="22"/>
          <w:szCs w:val="22"/>
        </w:rPr>
        <w:t>土地使用权可以抵押。</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第三十三条　</w:t>
      </w:r>
      <w:r>
        <w:rPr>
          <w:rFonts w:cs="宋体" w:hint="eastAsia"/>
          <w:color w:val="333333"/>
          <w:kern w:val="0"/>
          <w:sz w:val="22"/>
          <w:szCs w:val="22"/>
        </w:rPr>
        <w:t>土地使用权抵押时，其地上建筑物、其他附着物随之抵押。地上建筑物、其他附着物抵押时，其使用范围内的土地使用权随之抵押。</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第三十四条　</w:t>
      </w:r>
      <w:r>
        <w:rPr>
          <w:rFonts w:cs="宋体" w:hint="eastAsia"/>
          <w:color w:val="333333"/>
          <w:kern w:val="0"/>
          <w:sz w:val="22"/>
          <w:szCs w:val="22"/>
        </w:rPr>
        <w:t>土地使用权抵押，抵押人与抵押权人应当签订抵押合同。抵押合同不得违背国家法律、法规和土地使用权出让合同的规定。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第三十五条　</w:t>
      </w:r>
      <w:r>
        <w:rPr>
          <w:rFonts w:cs="宋体" w:hint="eastAsia"/>
          <w:color w:val="333333"/>
          <w:kern w:val="0"/>
          <w:sz w:val="22"/>
          <w:szCs w:val="22"/>
        </w:rPr>
        <w:t>土地使用权和地上建筑物、其他附着物抵押，应当按照规定办理抵押登记。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第三十六条　</w:t>
      </w:r>
      <w:r>
        <w:rPr>
          <w:rFonts w:cs="宋体" w:hint="eastAsia"/>
          <w:color w:val="333333"/>
          <w:kern w:val="0"/>
          <w:sz w:val="22"/>
          <w:szCs w:val="22"/>
        </w:rPr>
        <w:t>抵押人到期未能履行债务或者在抵押合同期间宣告解散、破产的，抵押权人有权依照国家法律、法规和抵押合同的规定处分抵押财产。因处分抵押财产而取得土地使用权和地上建筑物、其他附着物所有权的，应当依照规定办理过户登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第三十七条　</w:t>
      </w:r>
      <w:r>
        <w:rPr>
          <w:rFonts w:cs="宋体" w:hint="eastAsia"/>
          <w:color w:val="333333"/>
          <w:kern w:val="0"/>
          <w:sz w:val="22"/>
          <w:szCs w:val="22"/>
        </w:rPr>
        <w:t>处分抵押财产所得，抵押权人有优先受偿权。</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第三十八条　</w:t>
      </w:r>
      <w:r>
        <w:rPr>
          <w:rFonts w:cs="宋体" w:hint="eastAsia"/>
          <w:color w:val="333333"/>
          <w:kern w:val="0"/>
          <w:sz w:val="22"/>
          <w:szCs w:val="22"/>
        </w:rPr>
        <w:t>抵押权因债务清偿或者其他原因而消灭的，应当依照规定办理注销抵押登记。</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第六章土地使用权中止</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第三十九条</w:t>
      </w:r>
      <w:r>
        <w:rPr>
          <w:rFonts w:cs="宋体" w:hint="eastAsia"/>
          <w:color w:val="333333"/>
          <w:kern w:val="0"/>
          <w:sz w:val="22"/>
          <w:szCs w:val="22"/>
        </w:rPr>
        <w:t>土地使用权因土地使用权出让合同规定的使用年限届满、提前收回及土地灭失等原因而终止。</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第四十条　</w:t>
      </w:r>
      <w:r>
        <w:rPr>
          <w:rFonts w:cs="宋体" w:hint="eastAsia"/>
          <w:color w:val="333333"/>
          <w:kern w:val="0"/>
          <w:sz w:val="22"/>
          <w:szCs w:val="22"/>
        </w:rPr>
        <w:t>土地使用权期满，土地使用权及其地上建筑物、其他附着物所有权由国家无偿取得。土地使用者应当交还土地使用证，并依照规定办理注销登记。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第四十一条　</w:t>
      </w:r>
      <w:r>
        <w:rPr>
          <w:rFonts w:cs="宋体" w:hint="eastAsia"/>
          <w:color w:val="333333"/>
          <w:kern w:val="0"/>
          <w:sz w:val="22"/>
          <w:szCs w:val="22"/>
        </w:rPr>
        <w:t>土地使用权期满，土地使用者可以申请续期。需要续期的，应当依照本条例第二章的规定重新签订合同，支付土地使用权出让金，并办理登记。</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第四十二条　</w:t>
      </w:r>
      <w:r>
        <w:rPr>
          <w:rFonts w:cs="宋体" w:hint="eastAsia"/>
          <w:color w:val="333333"/>
          <w:kern w:val="0"/>
          <w:sz w:val="22"/>
          <w:szCs w:val="22"/>
        </w:rPr>
        <w:t>国家对土地使用者依法取得的土地使用权不提前收回。在特殊情况下，根据社会公众利益的需要，国家依照法律程序提前收回，并根据土地使用者已使用的年限和开发、利用土地的实际情况给予相应的补偿。</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第七章划拨土地使用权</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第四十三条　</w:t>
      </w:r>
      <w:r>
        <w:rPr>
          <w:rFonts w:cs="宋体" w:hint="eastAsia"/>
          <w:color w:val="333333"/>
          <w:kern w:val="0"/>
          <w:sz w:val="22"/>
          <w:szCs w:val="22"/>
        </w:rPr>
        <w:t>划拨土地使用权是指土地使用者通过各种方式依法无偿取得的土地使用权。前款土地使用者应当依照《中华人民共和国城镇土地使用税暂行条例》的规定缴纳土地使用税。</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第四十四条　</w:t>
      </w:r>
      <w:r>
        <w:rPr>
          <w:rFonts w:cs="宋体" w:hint="eastAsia"/>
          <w:color w:val="333333"/>
          <w:kern w:val="0"/>
          <w:sz w:val="22"/>
          <w:szCs w:val="22"/>
        </w:rPr>
        <w:t>划拨土地使用权，除本条例第四十五条规定的情况外，不得转让、出租、抵押。</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第四十五条　</w:t>
      </w:r>
      <w:r>
        <w:rPr>
          <w:rFonts w:cs="宋体" w:hint="eastAsia"/>
          <w:color w:val="333333"/>
          <w:kern w:val="0"/>
          <w:sz w:val="22"/>
          <w:szCs w:val="22"/>
        </w:rPr>
        <w:t>符合下列条件的，经市、县人民政府土地管理部门和房产管理部门批准，其划拨土地使用权和地上建筑物、其他附着物所有权可以转让、出租、抵押：</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（一）土地使用者为公司、企业、其他经济组织和个人；</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（二）领有国有土地使用证；</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（三）具有地上建筑物、其他附着物合法的产权证明；</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（四）依照本条例第二章的规定签订土地使用权出让合同，向当地市、县人民政府补交土地使用权出让金或者以转让、出租、抵押所获效益抵交土地使用权出让金。</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转让、出租、抵押前款划拨土地使用权的，分别依照本条例第三章、第四章和第五章的规定办理。</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第四十六条　</w:t>
      </w:r>
      <w:r>
        <w:rPr>
          <w:rFonts w:cs="宋体" w:hint="eastAsia"/>
          <w:color w:val="333333"/>
          <w:kern w:val="0"/>
          <w:sz w:val="22"/>
          <w:szCs w:val="22"/>
        </w:rPr>
        <w:t>对未经批准擅自转让、出租、抵押划拨土地使用权的单位和个人，市、县人民政府土地管理部门应当没收其非法收入，并根据情节处以罚款。</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第四十七条　</w:t>
      </w:r>
      <w:r>
        <w:rPr>
          <w:rFonts w:cs="宋体" w:hint="eastAsia"/>
          <w:color w:val="333333"/>
          <w:kern w:val="0"/>
          <w:sz w:val="22"/>
          <w:szCs w:val="22"/>
        </w:rPr>
        <w:t>无偿取得划拨土地使用权的土地使用者，因迁移、解散、撤销、破产或者其他原因而停止使用土地的，市、县人民政府应当无偿收回其划拨土地使用权，并可依照本条例的规定予以出让。</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对划拨土地使用权，市、县人民政府根据城市建设发展需要和城市规划的要求，可以无偿收回，并可依照本条的规定予以出让。</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无偿收回划拨土地使用权时，对其地上建筑物、其他附着物，市、县人民政府应当根据实际情况给予适当补偿。</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第八章附则</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第四十八条</w:t>
      </w:r>
      <w:r>
        <w:rPr>
          <w:rFonts w:cs="宋体" w:hint="eastAsia"/>
          <w:color w:val="333333"/>
          <w:kern w:val="0"/>
          <w:sz w:val="22"/>
          <w:szCs w:val="22"/>
        </w:rPr>
        <w:t>依照本条例的规定取得土地使用权的个人，其土地使用权可以继承。</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第四十九条　</w:t>
      </w:r>
      <w:r>
        <w:rPr>
          <w:rFonts w:cs="宋体" w:hint="eastAsia"/>
          <w:color w:val="333333"/>
          <w:kern w:val="0"/>
          <w:sz w:val="22"/>
          <w:szCs w:val="22"/>
        </w:rPr>
        <w:t>土地使用者应当依照国家税收法规的规定纳税。</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第五十条　</w:t>
      </w:r>
      <w:r>
        <w:rPr>
          <w:rFonts w:cs="宋体" w:hint="eastAsia"/>
          <w:color w:val="333333"/>
          <w:kern w:val="0"/>
          <w:sz w:val="22"/>
          <w:szCs w:val="22"/>
        </w:rPr>
        <w:t>依照本条例收取的土地使用权出让金列入财政预算，作为专项基金管理，主要用于城市建设和土地开发。具体使用管理办法，由财政部另行制定。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第五十一条　</w:t>
      </w:r>
      <w:r>
        <w:rPr>
          <w:rFonts w:cs="宋体" w:hint="eastAsia"/>
          <w:color w:val="333333"/>
          <w:kern w:val="0"/>
          <w:sz w:val="22"/>
          <w:szCs w:val="22"/>
        </w:rPr>
        <w:t>各省自治区、直辖市人民政府应当根据本条例的规定和当地的实际情况选择部分条件比较成熟的城镇先行试点。</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第五十二条　</w:t>
      </w:r>
      <w:r>
        <w:rPr>
          <w:rFonts w:cs="宋体" w:hint="eastAsia"/>
          <w:color w:val="333333"/>
          <w:kern w:val="0"/>
          <w:sz w:val="22"/>
          <w:szCs w:val="22"/>
        </w:rPr>
        <w:t>外商投资从事开发经营成片土地的，其土地使用权的管理依照国务院的有关规定执行。</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第五十三条　</w:t>
      </w:r>
      <w:r>
        <w:rPr>
          <w:rFonts w:cs="宋体" w:hint="eastAsia"/>
          <w:color w:val="333333"/>
          <w:kern w:val="0"/>
          <w:sz w:val="22"/>
          <w:szCs w:val="22"/>
        </w:rPr>
        <w:t>本条例由国家土地管理局负责解释：实施办法由省自治区、直辖市人民政府制定。</w:t>
      </w: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b/>
          <w:bCs/>
          <w:color w:val="333333"/>
          <w:kern w:val="0"/>
          <w:sz w:val="22"/>
          <w:szCs w:val="22"/>
        </w:rPr>
        <w:t xml:space="preserve">第五十四条　</w:t>
      </w:r>
      <w:r>
        <w:rPr>
          <w:rFonts w:cs="宋体" w:hint="eastAsia"/>
          <w:color w:val="333333"/>
          <w:kern w:val="0"/>
          <w:sz w:val="22"/>
          <w:szCs w:val="22"/>
        </w:rPr>
        <w:t>本条例自发布之日起施行。</w:t>
      </w:r>
    </w:p>
    <w:p w:rsidR="00A32067" w:rsidRDefault="00A32067" w:rsidP="005431C7">
      <w:pPr>
        <w:shd w:val="clear" w:color="auto" w:fill="FFFFFF"/>
        <w:spacing w:line="360" w:lineRule="auto"/>
        <w:ind w:firstLineChars="200" w:firstLine="31680"/>
        <w:rPr>
          <w:color w:val="333333"/>
          <w:kern w:val="0"/>
          <w:sz w:val="22"/>
          <w:szCs w:val="22"/>
        </w:rPr>
      </w:pPr>
    </w:p>
    <w:p w:rsidR="00A32067" w:rsidRDefault="00A32067">
      <w:pPr>
        <w:pStyle w:val="NormalWeb"/>
        <w:shd w:val="clear" w:color="auto" w:fill="FFFFFF"/>
        <w:spacing w:before="0" w:beforeAutospacing="0" w:after="0" w:afterAutospacing="0" w:line="360" w:lineRule="auto"/>
        <w:jc w:val="center"/>
        <w:outlineLvl w:val="1"/>
        <w:rPr>
          <w:rFonts w:ascii="Times New Roman" w:hAnsi="Times New Roman" w:cs="Times New Roman"/>
          <w:b/>
          <w:bCs/>
          <w:color w:val="333333"/>
          <w:sz w:val="44"/>
          <w:szCs w:val="44"/>
        </w:rPr>
      </w:pPr>
    </w:p>
    <w:p w:rsidR="00A32067" w:rsidRDefault="00A32067" w:rsidP="0002085C">
      <w:pPr>
        <w:pStyle w:val="NormalWeb"/>
        <w:shd w:val="clear" w:color="auto" w:fill="FFFFFF"/>
        <w:spacing w:beforeLines="100" w:beforeAutospacing="0" w:after="0" w:afterAutospacing="0" w:line="360" w:lineRule="auto"/>
        <w:jc w:val="center"/>
        <w:outlineLvl w:val="2"/>
        <w:rPr>
          <w:rFonts w:ascii="Times New Roman" w:hAnsi="Times New Roman" w:cs="Times New Roman"/>
          <w:b/>
          <w:bCs/>
          <w:color w:val="333333"/>
          <w:kern w:val="2"/>
          <w:sz w:val="44"/>
          <w:szCs w:val="44"/>
        </w:rPr>
        <w:sectPr w:rsidR="00A32067">
          <w:pgSz w:w="11907" w:h="16840"/>
          <w:pgMar w:top="1134" w:right="1077" w:bottom="1134" w:left="1077" w:header="794" w:footer="567" w:gutter="284"/>
          <w:cols w:space="720"/>
          <w:docGrid w:linePitch="312"/>
        </w:sectPr>
      </w:pPr>
      <w:bookmarkStart w:id="24" w:name="_Toc519872267"/>
    </w:p>
    <w:p w:rsidR="00A32067" w:rsidRDefault="00A32067" w:rsidP="0002085C">
      <w:pPr>
        <w:pStyle w:val="NormalWeb"/>
        <w:shd w:val="clear" w:color="auto" w:fill="FFFFFF"/>
        <w:spacing w:beforeLines="100" w:beforeAutospacing="0" w:after="0" w:afterAutospacing="0" w:line="360" w:lineRule="auto"/>
        <w:jc w:val="center"/>
        <w:outlineLvl w:val="2"/>
        <w:rPr>
          <w:rFonts w:ascii="Times New Roman" w:hAnsi="Times New Roman" w:cs="Times New Roman"/>
          <w:color w:val="333333"/>
          <w:sz w:val="22"/>
          <w:szCs w:val="22"/>
        </w:rPr>
      </w:pPr>
      <w:r>
        <w:rPr>
          <w:rFonts w:ascii="Times New Roman" w:hAnsi="Times New Roman" w:hint="eastAsia"/>
          <w:b/>
          <w:bCs/>
          <w:color w:val="333333"/>
          <w:kern w:val="2"/>
          <w:sz w:val="44"/>
          <w:szCs w:val="44"/>
        </w:rPr>
        <w:t>中华人民共和国城镇土地使用税暂行条例</w:t>
      </w:r>
      <w:r>
        <w:rPr>
          <w:rFonts w:ascii="Times New Roman" w:hAnsi="Times New Roman" w:cs="Times New Roman"/>
          <w:b/>
          <w:bCs/>
          <w:color w:val="333333"/>
          <w:kern w:val="2"/>
          <w:sz w:val="44"/>
          <w:szCs w:val="44"/>
        </w:rPr>
        <w:br/>
      </w:r>
      <w:r>
        <w:rPr>
          <w:rFonts w:ascii="Times New Roman" w:hAnsi="Times New Roman" w:hint="eastAsia"/>
          <w:color w:val="333333"/>
          <w:sz w:val="22"/>
          <w:szCs w:val="22"/>
        </w:rPr>
        <w:t>中华人民共和国国务院令第</w:t>
      </w:r>
      <w:r>
        <w:rPr>
          <w:rFonts w:ascii="Times New Roman" w:hAnsi="Times New Roman" w:cs="Times New Roman"/>
          <w:color w:val="333333"/>
          <w:sz w:val="22"/>
          <w:szCs w:val="22"/>
        </w:rPr>
        <w:t>645</w:t>
      </w:r>
      <w:r>
        <w:rPr>
          <w:rFonts w:ascii="Times New Roman" w:hAnsi="Times New Roman" w:hint="eastAsia"/>
          <w:color w:val="333333"/>
          <w:sz w:val="22"/>
          <w:szCs w:val="22"/>
        </w:rPr>
        <w:t>号</w:t>
      </w:r>
      <w:bookmarkEnd w:id="24"/>
    </w:p>
    <w:p w:rsidR="00A32067" w:rsidRDefault="00A32067" w:rsidP="0002085C">
      <w:pPr>
        <w:pStyle w:val="NormalWeb"/>
        <w:shd w:val="clear" w:color="auto" w:fill="FFFFFF"/>
        <w:spacing w:beforeLines="100" w:beforeAutospacing="0" w:after="0" w:afterAutospacing="0" w:line="360" w:lineRule="auto"/>
        <w:jc w:val="center"/>
        <w:outlineLvl w:val="1"/>
        <w:rPr>
          <w:rFonts w:ascii="Times New Roman" w:hAnsi="Times New Roman" w:cs="Times New Roman"/>
          <w:b/>
          <w:bCs/>
          <w:color w:val="333333"/>
          <w:kern w:val="2"/>
          <w:sz w:val="44"/>
          <w:szCs w:val="44"/>
        </w:rPr>
      </w:pPr>
    </w:p>
    <w:p w:rsidR="00A32067" w:rsidRDefault="00A32067" w:rsidP="005431C7">
      <w:pPr>
        <w:shd w:val="clear" w:color="auto" w:fill="FFFFFF"/>
        <w:spacing w:line="360" w:lineRule="auto"/>
        <w:ind w:firstLineChars="200" w:firstLine="31680"/>
        <w:rPr>
          <w:color w:val="333333"/>
          <w:kern w:val="0"/>
          <w:sz w:val="22"/>
          <w:szCs w:val="22"/>
        </w:rPr>
      </w:pPr>
      <w:r>
        <w:rPr>
          <w:rFonts w:cs="宋体" w:hint="eastAsia"/>
          <w:color w:val="333333"/>
          <w:kern w:val="0"/>
          <w:sz w:val="22"/>
          <w:szCs w:val="22"/>
        </w:rPr>
        <w:t>（</w:t>
      </w:r>
      <w:r>
        <w:rPr>
          <w:color w:val="333333"/>
          <w:kern w:val="0"/>
          <w:sz w:val="22"/>
          <w:szCs w:val="22"/>
        </w:rPr>
        <w:t>1988</w:t>
      </w:r>
      <w:r>
        <w:rPr>
          <w:rFonts w:cs="宋体" w:hint="eastAsia"/>
          <w:color w:val="333333"/>
          <w:kern w:val="0"/>
          <w:sz w:val="22"/>
          <w:szCs w:val="22"/>
        </w:rPr>
        <w:t>年</w:t>
      </w:r>
      <w:r>
        <w:rPr>
          <w:color w:val="333333"/>
          <w:kern w:val="0"/>
          <w:sz w:val="22"/>
          <w:szCs w:val="22"/>
        </w:rPr>
        <w:t>9</w:t>
      </w:r>
      <w:r>
        <w:rPr>
          <w:rFonts w:cs="宋体" w:hint="eastAsia"/>
          <w:color w:val="333333"/>
          <w:kern w:val="0"/>
          <w:sz w:val="22"/>
          <w:szCs w:val="22"/>
        </w:rPr>
        <w:t>月</w:t>
      </w:r>
      <w:r>
        <w:rPr>
          <w:color w:val="333333"/>
          <w:kern w:val="0"/>
          <w:sz w:val="22"/>
          <w:szCs w:val="22"/>
        </w:rPr>
        <w:t>27</w:t>
      </w:r>
      <w:r>
        <w:rPr>
          <w:rFonts w:cs="宋体" w:hint="eastAsia"/>
          <w:color w:val="333333"/>
          <w:kern w:val="0"/>
          <w:sz w:val="22"/>
          <w:szCs w:val="22"/>
        </w:rPr>
        <w:t>日中华人民共和国国务院令第</w:t>
      </w:r>
      <w:r>
        <w:rPr>
          <w:color w:val="333333"/>
          <w:kern w:val="0"/>
          <w:sz w:val="22"/>
          <w:szCs w:val="22"/>
        </w:rPr>
        <w:t>17</w:t>
      </w:r>
      <w:r>
        <w:rPr>
          <w:rFonts w:cs="宋体" w:hint="eastAsia"/>
          <w:color w:val="333333"/>
          <w:kern w:val="0"/>
          <w:sz w:val="22"/>
          <w:szCs w:val="22"/>
        </w:rPr>
        <w:t>号发布　根据</w:t>
      </w:r>
      <w:r>
        <w:rPr>
          <w:color w:val="333333"/>
          <w:kern w:val="0"/>
          <w:sz w:val="22"/>
          <w:szCs w:val="22"/>
        </w:rPr>
        <w:t>2006</w:t>
      </w:r>
      <w:r>
        <w:rPr>
          <w:rFonts w:cs="宋体" w:hint="eastAsia"/>
          <w:color w:val="333333"/>
          <w:kern w:val="0"/>
          <w:sz w:val="22"/>
          <w:szCs w:val="22"/>
        </w:rPr>
        <w:t>年</w:t>
      </w:r>
      <w:r>
        <w:rPr>
          <w:color w:val="333333"/>
          <w:kern w:val="0"/>
          <w:sz w:val="22"/>
          <w:szCs w:val="22"/>
        </w:rPr>
        <w:t>12</w:t>
      </w:r>
      <w:r>
        <w:rPr>
          <w:rFonts w:cs="宋体" w:hint="eastAsia"/>
          <w:color w:val="333333"/>
          <w:kern w:val="0"/>
          <w:sz w:val="22"/>
          <w:szCs w:val="22"/>
        </w:rPr>
        <w:t>月</w:t>
      </w:r>
      <w:r>
        <w:rPr>
          <w:color w:val="333333"/>
          <w:kern w:val="0"/>
          <w:sz w:val="22"/>
          <w:szCs w:val="22"/>
        </w:rPr>
        <w:t>31</w:t>
      </w:r>
      <w:r>
        <w:rPr>
          <w:rFonts w:cs="宋体" w:hint="eastAsia"/>
          <w:color w:val="333333"/>
          <w:kern w:val="0"/>
          <w:sz w:val="22"/>
          <w:szCs w:val="22"/>
        </w:rPr>
        <w:t>日《国务院关于修改〈中华人民共和国城镇土地使用税暂行条例〉的决定》第一次修订　根据</w:t>
      </w:r>
      <w:r>
        <w:rPr>
          <w:color w:val="333333"/>
          <w:kern w:val="0"/>
          <w:sz w:val="22"/>
          <w:szCs w:val="22"/>
        </w:rPr>
        <w:t>2011</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8</w:t>
      </w:r>
      <w:r>
        <w:rPr>
          <w:rFonts w:cs="宋体" w:hint="eastAsia"/>
          <w:color w:val="333333"/>
          <w:kern w:val="0"/>
          <w:sz w:val="22"/>
          <w:szCs w:val="22"/>
        </w:rPr>
        <w:t>日《国务院关于废止和修改部分行政法规的决定》第二次修订　根据</w:t>
      </w:r>
      <w:r>
        <w:rPr>
          <w:color w:val="333333"/>
          <w:kern w:val="0"/>
          <w:sz w:val="22"/>
          <w:szCs w:val="22"/>
        </w:rPr>
        <w:t>2013</w:t>
      </w:r>
      <w:r>
        <w:rPr>
          <w:rFonts w:cs="宋体" w:hint="eastAsia"/>
          <w:color w:val="333333"/>
          <w:kern w:val="0"/>
          <w:sz w:val="22"/>
          <w:szCs w:val="22"/>
        </w:rPr>
        <w:t>年</w:t>
      </w:r>
      <w:r>
        <w:rPr>
          <w:color w:val="333333"/>
          <w:kern w:val="0"/>
          <w:sz w:val="22"/>
          <w:szCs w:val="22"/>
        </w:rPr>
        <w:t>12</w:t>
      </w:r>
      <w:r>
        <w:rPr>
          <w:rFonts w:cs="宋体" w:hint="eastAsia"/>
          <w:color w:val="333333"/>
          <w:kern w:val="0"/>
          <w:sz w:val="22"/>
          <w:szCs w:val="22"/>
        </w:rPr>
        <w:t>月</w:t>
      </w:r>
      <w:r>
        <w:rPr>
          <w:color w:val="333333"/>
          <w:kern w:val="0"/>
          <w:sz w:val="22"/>
          <w:szCs w:val="22"/>
        </w:rPr>
        <w:t>7</w:t>
      </w:r>
      <w:r>
        <w:rPr>
          <w:rFonts w:cs="宋体" w:hint="eastAsia"/>
          <w:color w:val="333333"/>
          <w:kern w:val="0"/>
          <w:sz w:val="22"/>
          <w:szCs w:val="22"/>
        </w:rPr>
        <w:t>日《国务院关于修改部分行政法规的决定》第三次修订）</w:t>
      </w:r>
      <w:r>
        <w:rPr>
          <w:color w:val="333333"/>
          <w:kern w:val="0"/>
          <w:sz w:val="22"/>
          <w:szCs w:val="22"/>
        </w:rPr>
        <w:t> </w:t>
      </w:r>
    </w:p>
    <w:p w:rsidR="00A32067" w:rsidRDefault="00A32067" w:rsidP="005431C7">
      <w:pPr>
        <w:shd w:val="clear" w:color="auto" w:fill="FFFFFF"/>
        <w:spacing w:after="120" w:line="360" w:lineRule="auto"/>
        <w:ind w:firstLineChars="200" w:firstLine="31680"/>
        <w:rPr>
          <w:b/>
          <w:bCs/>
          <w:color w:val="000000"/>
          <w:sz w:val="44"/>
          <w:szCs w:val="44"/>
        </w:rPr>
      </w:pPr>
      <w:r>
        <w:rPr>
          <w:rFonts w:cs="宋体" w:hint="eastAsia"/>
          <w:b/>
          <w:bCs/>
          <w:color w:val="333333"/>
          <w:kern w:val="0"/>
          <w:sz w:val="22"/>
          <w:szCs w:val="22"/>
        </w:rPr>
        <w:t xml:space="preserve">第一条　</w:t>
      </w:r>
      <w:r>
        <w:rPr>
          <w:rFonts w:cs="宋体" w:hint="eastAsia"/>
          <w:color w:val="333333"/>
          <w:kern w:val="0"/>
          <w:sz w:val="22"/>
          <w:szCs w:val="22"/>
        </w:rPr>
        <w:t>为了合理利用城镇土地，调节土地级差收入，提高土地使用效益，加强土地管理，制定本条例。</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第二条　</w:t>
      </w:r>
      <w:r>
        <w:rPr>
          <w:rFonts w:cs="宋体" w:hint="eastAsia"/>
          <w:color w:val="333333"/>
          <w:kern w:val="0"/>
          <w:sz w:val="22"/>
          <w:szCs w:val="22"/>
        </w:rPr>
        <w:t>在城市、县城、建制镇、工矿区范围内使用土地的单位和个人，为城镇土地使用税（以下简称土地使用税）的纳税人，应当依照本条例的规定缴纳土地使用税。</w:t>
      </w:r>
      <w:r>
        <w:rPr>
          <w:color w:val="333333"/>
          <w:kern w:val="0"/>
          <w:sz w:val="22"/>
          <w:szCs w:val="22"/>
        </w:rPr>
        <w:br/>
      </w:r>
      <w:r>
        <w:rPr>
          <w:rFonts w:cs="宋体" w:hint="eastAsia"/>
          <w:color w:val="333333"/>
          <w:kern w:val="0"/>
          <w:sz w:val="22"/>
          <w:szCs w:val="22"/>
        </w:rPr>
        <w:t xml:space="preserve">　　前款所称单位，包括国有企业、集体企业、私营企业、股份制企业、外商投资企业、外国企业以及其他企业和事业单位、社会团体、国家机关、军队以及其他单位；所称个人，包括个体工商户以及其他个人。</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第三条　</w:t>
      </w:r>
      <w:r>
        <w:rPr>
          <w:rFonts w:cs="宋体" w:hint="eastAsia"/>
          <w:color w:val="333333"/>
          <w:kern w:val="0"/>
          <w:sz w:val="22"/>
          <w:szCs w:val="22"/>
        </w:rPr>
        <w:t>土地使用税以纳税人实际占用的土地面积为计税依据，依照规定税额计算征收。</w:t>
      </w:r>
      <w:r>
        <w:rPr>
          <w:color w:val="333333"/>
          <w:kern w:val="0"/>
          <w:sz w:val="22"/>
          <w:szCs w:val="22"/>
        </w:rPr>
        <w:br/>
      </w:r>
      <w:r>
        <w:rPr>
          <w:rFonts w:cs="宋体" w:hint="eastAsia"/>
          <w:color w:val="333333"/>
          <w:kern w:val="0"/>
          <w:sz w:val="22"/>
          <w:szCs w:val="22"/>
        </w:rPr>
        <w:t xml:space="preserve">　　前款土地占用面积的组织测量工作，由省、自治区、直辖市人民政府根据实际情况确定。</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第四条　</w:t>
      </w:r>
      <w:r>
        <w:rPr>
          <w:rFonts w:cs="宋体" w:hint="eastAsia"/>
          <w:color w:val="333333"/>
          <w:kern w:val="0"/>
          <w:sz w:val="22"/>
          <w:szCs w:val="22"/>
        </w:rPr>
        <w:t>土地使用税每平方米年税额如下：</w:t>
      </w:r>
      <w:r>
        <w:rPr>
          <w:color w:val="333333"/>
          <w:kern w:val="0"/>
          <w:sz w:val="22"/>
          <w:szCs w:val="22"/>
        </w:rPr>
        <w:br/>
      </w:r>
      <w:r>
        <w:rPr>
          <w:rFonts w:cs="宋体" w:hint="eastAsia"/>
          <w:color w:val="333333"/>
          <w:kern w:val="0"/>
          <w:sz w:val="22"/>
          <w:szCs w:val="22"/>
        </w:rPr>
        <w:t xml:space="preserve">　　（一）大城市</w:t>
      </w:r>
      <w:r>
        <w:rPr>
          <w:color w:val="333333"/>
          <w:kern w:val="0"/>
          <w:sz w:val="22"/>
          <w:szCs w:val="22"/>
        </w:rPr>
        <w:t>1.5</w:t>
      </w:r>
      <w:r>
        <w:rPr>
          <w:rFonts w:cs="宋体" w:hint="eastAsia"/>
          <w:color w:val="333333"/>
          <w:kern w:val="0"/>
          <w:sz w:val="22"/>
          <w:szCs w:val="22"/>
        </w:rPr>
        <w:t>元至</w:t>
      </w:r>
      <w:r>
        <w:rPr>
          <w:color w:val="333333"/>
          <w:kern w:val="0"/>
          <w:sz w:val="22"/>
          <w:szCs w:val="22"/>
        </w:rPr>
        <w:t>30</w:t>
      </w:r>
      <w:r>
        <w:rPr>
          <w:rFonts w:cs="宋体" w:hint="eastAsia"/>
          <w:color w:val="333333"/>
          <w:kern w:val="0"/>
          <w:sz w:val="22"/>
          <w:szCs w:val="22"/>
        </w:rPr>
        <w:t>元；</w:t>
      </w:r>
      <w:r>
        <w:rPr>
          <w:color w:val="333333"/>
          <w:kern w:val="0"/>
          <w:sz w:val="22"/>
          <w:szCs w:val="22"/>
        </w:rPr>
        <w:br/>
      </w:r>
      <w:r>
        <w:rPr>
          <w:rFonts w:cs="宋体" w:hint="eastAsia"/>
          <w:color w:val="333333"/>
          <w:kern w:val="0"/>
          <w:sz w:val="22"/>
          <w:szCs w:val="22"/>
        </w:rPr>
        <w:t xml:space="preserve">　　（二）中等城市</w:t>
      </w:r>
      <w:r>
        <w:rPr>
          <w:color w:val="333333"/>
          <w:kern w:val="0"/>
          <w:sz w:val="22"/>
          <w:szCs w:val="22"/>
        </w:rPr>
        <w:t>1.2</w:t>
      </w:r>
      <w:r>
        <w:rPr>
          <w:rFonts w:cs="宋体" w:hint="eastAsia"/>
          <w:color w:val="333333"/>
          <w:kern w:val="0"/>
          <w:sz w:val="22"/>
          <w:szCs w:val="22"/>
        </w:rPr>
        <w:t>元至</w:t>
      </w:r>
      <w:r>
        <w:rPr>
          <w:color w:val="333333"/>
          <w:kern w:val="0"/>
          <w:sz w:val="22"/>
          <w:szCs w:val="22"/>
        </w:rPr>
        <w:t>24</w:t>
      </w:r>
      <w:r>
        <w:rPr>
          <w:rFonts w:cs="宋体" w:hint="eastAsia"/>
          <w:color w:val="333333"/>
          <w:kern w:val="0"/>
          <w:sz w:val="22"/>
          <w:szCs w:val="22"/>
        </w:rPr>
        <w:t>元；</w:t>
      </w:r>
      <w:r>
        <w:rPr>
          <w:color w:val="333333"/>
          <w:kern w:val="0"/>
          <w:sz w:val="22"/>
          <w:szCs w:val="22"/>
        </w:rPr>
        <w:br/>
      </w:r>
      <w:r>
        <w:rPr>
          <w:rFonts w:cs="宋体" w:hint="eastAsia"/>
          <w:color w:val="333333"/>
          <w:kern w:val="0"/>
          <w:sz w:val="22"/>
          <w:szCs w:val="22"/>
        </w:rPr>
        <w:t xml:space="preserve">　　（三）小城市</w:t>
      </w:r>
      <w:r>
        <w:rPr>
          <w:color w:val="333333"/>
          <w:kern w:val="0"/>
          <w:sz w:val="22"/>
          <w:szCs w:val="22"/>
        </w:rPr>
        <w:t>0.9</w:t>
      </w:r>
      <w:r>
        <w:rPr>
          <w:rFonts w:cs="宋体" w:hint="eastAsia"/>
          <w:color w:val="333333"/>
          <w:kern w:val="0"/>
          <w:sz w:val="22"/>
          <w:szCs w:val="22"/>
        </w:rPr>
        <w:t>元至</w:t>
      </w:r>
      <w:r>
        <w:rPr>
          <w:color w:val="333333"/>
          <w:kern w:val="0"/>
          <w:sz w:val="22"/>
          <w:szCs w:val="22"/>
        </w:rPr>
        <w:t>18</w:t>
      </w:r>
      <w:r>
        <w:rPr>
          <w:rFonts w:cs="宋体" w:hint="eastAsia"/>
          <w:color w:val="333333"/>
          <w:kern w:val="0"/>
          <w:sz w:val="22"/>
          <w:szCs w:val="22"/>
        </w:rPr>
        <w:t>元；</w:t>
      </w:r>
      <w:r>
        <w:rPr>
          <w:color w:val="333333"/>
          <w:kern w:val="0"/>
          <w:sz w:val="22"/>
          <w:szCs w:val="22"/>
        </w:rPr>
        <w:br/>
      </w:r>
      <w:r>
        <w:rPr>
          <w:rFonts w:cs="宋体" w:hint="eastAsia"/>
          <w:color w:val="333333"/>
          <w:kern w:val="0"/>
          <w:sz w:val="22"/>
          <w:szCs w:val="22"/>
        </w:rPr>
        <w:t xml:space="preserve">　　（四）县城、建制镇、工矿区</w:t>
      </w:r>
      <w:r>
        <w:rPr>
          <w:color w:val="333333"/>
          <w:kern w:val="0"/>
          <w:sz w:val="22"/>
          <w:szCs w:val="22"/>
        </w:rPr>
        <w:t>0.6</w:t>
      </w:r>
      <w:r>
        <w:rPr>
          <w:rFonts w:cs="宋体" w:hint="eastAsia"/>
          <w:color w:val="333333"/>
          <w:kern w:val="0"/>
          <w:sz w:val="22"/>
          <w:szCs w:val="22"/>
        </w:rPr>
        <w:t>元至</w:t>
      </w:r>
      <w:r>
        <w:rPr>
          <w:color w:val="333333"/>
          <w:kern w:val="0"/>
          <w:sz w:val="22"/>
          <w:szCs w:val="22"/>
        </w:rPr>
        <w:t>12</w:t>
      </w:r>
      <w:r>
        <w:rPr>
          <w:rFonts w:cs="宋体" w:hint="eastAsia"/>
          <w:color w:val="333333"/>
          <w:kern w:val="0"/>
          <w:sz w:val="22"/>
          <w:szCs w:val="22"/>
        </w:rPr>
        <w:t>元。</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第五条　</w:t>
      </w:r>
      <w:r>
        <w:rPr>
          <w:rFonts w:cs="宋体" w:hint="eastAsia"/>
          <w:color w:val="333333"/>
          <w:kern w:val="0"/>
          <w:sz w:val="22"/>
          <w:szCs w:val="22"/>
        </w:rPr>
        <w:t>省、自治区、直辖市人民政府，应当在本条例第四条规定的税额幅度内，根据市政建设状况、经济繁荣程度等条件，确定所辖地区的适用税额幅度。</w:t>
      </w:r>
      <w:r>
        <w:rPr>
          <w:color w:val="333333"/>
          <w:kern w:val="0"/>
          <w:sz w:val="22"/>
          <w:szCs w:val="22"/>
        </w:rPr>
        <w:br/>
      </w:r>
      <w:r>
        <w:rPr>
          <w:rFonts w:cs="宋体" w:hint="eastAsia"/>
          <w:color w:val="333333"/>
          <w:kern w:val="0"/>
          <w:sz w:val="22"/>
          <w:szCs w:val="22"/>
        </w:rPr>
        <w:t xml:space="preserve">　　市、县人民政府应当根据实际情况，将本地区土地划分为若干等级，在省、自治区、直辖市人民政府确定的税额幅度内，制定相应的适用税额标准，报省、自治区、直辖市人民政府批准执行。</w:t>
      </w:r>
      <w:r>
        <w:rPr>
          <w:color w:val="333333"/>
          <w:kern w:val="0"/>
          <w:sz w:val="22"/>
          <w:szCs w:val="22"/>
        </w:rPr>
        <w:br/>
      </w:r>
      <w:r>
        <w:rPr>
          <w:rFonts w:cs="宋体" w:hint="eastAsia"/>
          <w:color w:val="333333"/>
          <w:kern w:val="0"/>
          <w:sz w:val="22"/>
          <w:szCs w:val="22"/>
        </w:rPr>
        <w:t xml:space="preserve">　　经省、自治区、直辖市人民政府批准，经济落后地区土地使用税的适用税额标准可以适当降低，但降低额不得超过本条例第四条规定最低税额的</w:t>
      </w:r>
      <w:r>
        <w:rPr>
          <w:color w:val="333333"/>
          <w:kern w:val="0"/>
          <w:sz w:val="22"/>
          <w:szCs w:val="22"/>
        </w:rPr>
        <w:t>30%</w:t>
      </w:r>
      <w:r>
        <w:rPr>
          <w:rFonts w:cs="宋体" w:hint="eastAsia"/>
          <w:color w:val="333333"/>
          <w:kern w:val="0"/>
          <w:sz w:val="22"/>
          <w:szCs w:val="22"/>
        </w:rPr>
        <w:t>。经济发达地区土地使用税的适用税额标准可以适当提高，但须报经财政部批准。</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第六条　</w:t>
      </w:r>
      <w:r>
        <w:rPr>
          <w:rFonts w:cs="宋体" w:hint="eastAsia"/>
          <w:color w:val="333333"/>
          <w:kern w:val="0"/>
          <w:sz w:val="22"/>
          <w:szCs w:val="22"/>
        </w:rPr>
        <w:t>下列土地免缴土地使用税：</w:t>
      </w:r>
      <w:r>
        <w:rPr>
          <w:color w:val="333333"/>
          <w:kern w:val="0"/>
          <w:sz w:val="22"/>
          <w:szCs w:val="22"/>
        </w:rPr>
        <w:br/>
      </w:r>
      <w:r>
        <w:rPr>
          <w:rFonts w:cs="宋体" w:hint="eastAsia"/>
          <w:color w:val="333333"/>
          <w:kern w:val="0"/>
          <w:sz w:val="22"/>
          <w:szCs w:val="22"/>
        </w:rPr>
        <w:t xml:space="preserve">　　（一）国家机关、人民团体、军队自用的土地；</w:t>
      </w:r>
      <w:r>
        <w:rPr>
          <w:color w:val="333333"/>
          <w:kern w:val="0"/>
          <w:sz w:val="22"/>
          <w:szCs w:val="22"/>
        </w:rPr>
        <w:br/>
      </w:r>
      <w:r>
        <w:rPr>
          <w:rFonts w:cs="宋体" w:hint="eastAsia"/>
          <w:color w:val="333333"/>
          <w:kern w:val="0"/>
          <w:sz w:val="22"/>
          <w:szCs w:val="22"/>
        </w:rPr>
        <w:t xml:space="preserve">　　（二）由国家财政部门拨付事业经费的单位自用的土地；</w:t>
      </w:r>
      <w:r>
        <w:rPr>
          <w:color w:val="333333"/>
          <w:kern w:val="0"/>
          <w:sz w:val="22"/>
          <w:szCs w:val="22"/>
        </w:rPr>
        <w:br/>
      </w:r>
      <w:r>
        <w:rPr>
          <w:rFonts w:cs="宋体" w:hint="eastAsia"/>
          <w:color w:val="333333"/>
          <w:kern w:val="0"/>
          <w:sz w:val="22"/>
          <w:szCs w:val="22"/>
        </w:rPr>
        <w:t xml:space="preserve">　　（三）宗教寺庙、公园、名胜古迹自用的土地；</w:t>
      </w:r>
      <w:r>
        <w:rPr>
          <w:color w:val="333333"/>
          <w:kern w:val="0"/>
          <w:sz w:val="22"/>
          <w:szCs w:val="22"/>
        </w:rPr>
        <w:br/>
      </w:r>
      <w:r>
        <w:rPr>
          <w:rFonts w:cs="宋体" w:hint="eastAsia"/>
          <w:color w:val="333333"/>
          <w:kern w:val="0"/>
          <w:sz w:val="22"/>
          <w:szCs w:val="22"/>
        </w:rPr>
        <w:t xml:space="preserve">　　（四）市政街道、广场、绿化地带等公共用地；</w:t>
      </w:r>
      <w:r>
        <w:rPr>
          <w:color w:val="333333"/>
          <w:kern w:val="0"/>
          <w:sz w:val="22"/>
          <w:szCs w:val="22"/>
        </w:rPr>
        <w:br/>
      </w:r>
      <w:r>
        <w:rPr>
          <w:rFonts w:cs="宋体" w:hint="eastAsia"/>
          <w:color w:val="333333"/>
          <w:kern w:val="0"/>
          <w:sz w:val="22"/>
          <w:szCs w:val="22"/>
        </w:rPr>
        <w:t xml:space="preserve">　　（五）直接用于农、林、牧、渔业的生产用地；</w:t>
      </w:r>
      <w:r>
        <w:rPr>
          <w:color w:val="333333"/>
          <w:kern w:val="0"/>
          <w:sz w:val="22"/>
          <w:szCs w:val="22"/>
        </w:rPr>
        <w:br/>
      </w:r>
      <w:r>
        <w:rPr>
          <w:rFonts w:cs="宋体" w:hint="eastAsia"/>
          <w:color w:val="333333"/>
          <w:kern w:val="0"/>
          <w:sz w:val="22"/>
          <w:szCs w:val="22"/>
        </w:rPr>
        <w:t xml:space="preserve">　　（六）经批准开山填海整治的土地和改造的废弃土地，从使用的月份起免缴土地使用税</w:t>
      </w:r>
      <w:r>
        <w:rPr>
          <w:color w:val="333333"/>
          <w:kern w:val="0"/>
          <w:sz w:val="22"/>
          <w:szCs w:val="22"/>
        </w:rPr>
        <w:t>5</w:t>
      </w:r>
      <w:r>
        <w:rPr>
          <w:rFonts w:cs="宋体" w:hint="eastAsia"/>
          <w:color w:val="333333"/>
          <w:kern w:val="0"/>
          <w:sz w:val="22"/>
          <w:szCs w:val="22"/>
        </w:rPr>
        <w:t>年至</w:t>
      </w:r>
      <w:r>
        <w:rPr>
          <w:color w:val="333333"/>
          <w:kern w:val="0"/>
          <w:sz w:val="22"/>
          <w:szCs w:val="22"/>
        </w:rPr>
        <w:t>10</w:t>
      </w:r>
      <w:r>
        <w:rPr>
          <w:rFonts w:cs="宋体" w:hint="eastAsia"/>
          <w:color w:val="333333"/>
          <w:kern w:val="0"/>
          <w:sz w:val="22"/>
          <w:szCs w:val="22"/>
        </w:rPr>
        <w:t>年；</w:t>
      </w:r>
      <w:r>
        <w:rPr>
          <w:color w:val="333333"/>
          <w:kern w:val="0"/>
          <w:sz w:val="22"/>
          <w:szCs w:val="22"/>
        </w:rPr>
        <w:br/>
      </w:r>
      <w:r>
        <w:rPr>
          <w:rFonts w:cs="宋体" w:hint="eastAsia"/>
          <w:color w:val="333333"/>
          <w:kern w:val="0"/>
          <w:sz w:val="22"/>
          <w:szCs w:val="22"/>
        </w:rPr>
        <w:t xml:space="preserve">　　（七）由财政部另行规定免税的能源、交通、水利设施用地和其他用地。</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第七条　</w:t>
      </w:r>
      <w:r>
        <w:rPr>
          <w:rFonts w:cs="宋体" w:hint="eastAsia"/>
          <w:color w:val="333333"/>
          <w:kern w:val="0"/>
          <w:sz w:val="22"/>
          <w:szCs w:val="22"/>
        </w:rPr>
        <w:t>除本条例第六条规定外，纳税人缴纳土地使用税确有困难需要定期减免的，由县以上地方税务机关批准。</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第八条　</w:t>
      </w:r>
      <w:r>
        <w:rPr>
          <w:rFonts w:cs="宋体" w:hint="eastAsia"/>
          <w:color w:val="333333"/>
          <w:kern w:val="0"/>
          <w:sz w:val="22"/>
          <w:szCs w:val="22"/>
        </w:rPr>
        <w:t>土地使用税按年计算、分期缴纳。缴纳期限由省、自治区、直辖市人民政府确定。</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第九条　</w:t>
      </w:r>
      <w:r>
        <w:rPr>
          <w:rFonts w:cs="宋体" w:hint="eastAsia"/>
          <w:color w:val="333333"/>
          <w:kern w:val="0"/>
          <w:sz w:val="22"/>
          <w:szCs w:val="22"/>
        </w:rPr>
        <w:t>新征收的土地，依照下列规定缴纳土地使用税：</w:t>
      </w:r>
      <w:r>
        <w:rPr>
          <w:color w:val="333333"/>
          <w:kern w:val="0"/>
          <w:sz w:val="22"/>
          <w:szCs w:val="22"/>
        </w:rPr>
        <w:br/>
      </w:r>
      <w:r>
        <w:rPr>
          <w:rFonts w:cs="宋体" w:hint="eastAsia"/>
          <w:color w:val="333333"/>
          <w:kern w:val="0"/>
          <w:sz w:val="22"/>
          <w:szCs w:val="22"/>
        </w:rPr>
        <w:t xml:space="preserve">　　（一）征收的耕地，自批准征收之日起满</w:t>
      </w:r>
      <w:r>
        <w:rPr>
          <w:color w:val="333333"/>
          <w:kern w:val="0"/>
          <w:sz w:val="22"/>
          <w:szCs w:val="22"/>
        </w:rPr>
        <w:t>1</w:t>
      </w:r>
      <w:r>
        <w:rPr>
          <w:rFonts w:cs="宋体" w:hint="eastAsia"/>
          <w:color w:val="333333"/>
          <w:kern w:val="0"/>
          <w:sz w:val="22"/>
          <w:szCs w:val="22"/>
        </w:rPr>
        <w:t>年时开始缴纳土地使用税；</w:t>
      </w:r>
      <w:r>
        <w:rPr>
          <w:color w:val="333333"/>
          <w:kern w:val="0"/>
          <w:sz w:val="22"/>
          <w:szCs w:val="22"/>
        </w:rPr>
        <w:br/>
      </w:r>
      <w:r>
        <w:rPr>
          <w:rFonts w:cs="宋体" w:hint="eastAsia"/>
          <w:color w:val="333333"/>
          <w:kern w:val="0"/>
          <w:sz w:val="22"/>
          <w:szCs w:val="22"/>
        </w:rPr>
        <w:t xml:space="preserve">　　（二）征收的非耕地，自批准征收次月起缴纳土地使用税。</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第十条　</w:t>
      </w:r>
      <w:r>
        <w:rPr>
          <w:rFonts w:cs="宋体" w:hint="eastAsia"/>
          <w:color w:val="333333"/>
          <w:kern w:val="0"/>
          <w:sz w:val="22"/>
          <w:szCs w:val="22"/>
        </w:rPr>
        <w:t>土地使用税由土地所在地的税务机关征收。土地管理机关应当向土地所在地的税务机关提供土地使用权属资料。</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第十一条　</w:t>
      </w:r>
      <w:r>
        <w:rPr>
          <w:rFonts w:cs="宋体" w:hint="eastAsia"/>
          <w:color w:val="333333"/>
          <w:kern w:val="0"/>
          <w:sz w:val="22"/>
          <w:szCs w:val="22"/>
        </w:rPr>
        <w:t>土地使用税的征收管理，依照《中华人民共和国税收征收管理法》及本条例的规定执行。</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第十二条　</w:t>
      </w:r>
      <w:r>
        <w:rPr>
          <w:rFonts w:cs="宋体" w:hint="eastAsia"/>
          <w:color w:val="333333"/>
          <w:kern w:val="0"/>
          <w:sz w:val="22"/>
          <w:szCs w:val="22"/>
        </w:rPr>
        <w:t>土地使用税收入纳入财政预算管理。</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第十三条　</w:t>
      </w:r>
      <w:r>
        <w:rPr>
          <w:rFonts w:cs="宋体" w:hint="eastAsia"/>
          <w:color w:val="333333"/>
          <w:kern w:val="0"/>
          <w:sz w:val="22"/>
          <w:szCs w:val="22"/>
        </w:rPr>
        <w:t>本条例的实施办法由省、自治区、直辖市人民政府制定。</w:t>
      </w:r>
      <w:r>
        <w:rPr>
          <w:color w:val="333333"/>
          <w:kern w:val="0"/>
          <w:sz w:val="22"/>
          <w:szCs w:val="22"/>
        </w:rPr>
        <w:br/>
      </w:r>
      <w:r>
        <w:rPr>
          <w:rFonts w:cs="宋体" w:hint="eastAsia"/>
          <w:color w:val="333333"/>
          <w:kern w:val="0"/>
          <w:sz w:val="22"/>
          <w:szCs w:val="22"/>
        </w:rPr>
        <w:t xml:space="preserve">　　</w:t>
      </w:r>
      <w:r>
        <w:rPr>
          <w:rFonts w:cs="宋体" w:hint="eastAsia"/>
          <w:b/>
          <w:bCs/>
          <w:color w:val="333333"/>
          <w:kern w:val="0"/>
          <w:sz w:val="22"/>
          <w:szCs w:val="22"/>
        </w:rPr>
        <w:t xml:space="preserve">第十四条　</w:t>
      </w:r>
      <w:r>
        <w:rPr>
          <w:rFonts w:cs="宋体" w:hint="eastAsia"/>
          <w:color w:val="333333"/>
          <w:kern w:val="0"/>
          <w:sz w:val="22"/>
          <w:szCs w:val="22"/>
        </w:rPr>
        <w:t>本条例自</w:t>
      </w:r>
      <w:r>
        <w:rPr>
          <w:color w:val="333333"/>
          <w:kern w:val="0"/>
          <w:sz w:val="22"/>
          <w:szCs w:val="22"/>
        </w:rPr>
        <w:t>1988</w:t>
      </w:r>
      <w:r>
        <w:rPr>
          <w:rFonts w:cs="宋体" w:hint="eastAsia"/>
          <w:color w:val="333333"/>
          <w:kern w:val="0"/>
          <w:sz w:val="22"/>
          <w:szCs w:val="22"/>
        </w:rPr>
        <w:t>年</w:t>
      </w:r>
      <w:r>
        <w:rPr>
          <w:color w:val="333333"/>
          <w:kern w:val="0"/>
          <w:sz w:val="22"/>
          <w:szCs w:val="22"/>
        </w:rPr>
        <w:t>11</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日起施行，各地制定的土地使用费办法同时停止执行。</w:t>
      </w:r>
    </w:p>
    <w:p w:rsidR="00A32067" w:rsidRDefault="00A32067">
      <w:pPr>
        <w:shd w:val="clear" w:color="auto" w:fill="FFFFFF"/>
        <w:spacing w:line="432" w:lineRule="auto"/>
        <w:jc w:val="center"/>
        <w:outlineLvl w:val="2"/>
        <w:rPr>
          <w:b/>
          <w:bCs/>
          <w:color w:val="333333"/>
          <w:sz w:val="44"/>
          <w:szCs w:val="44"/>
        </w:rPr>
        <w:sectPr w:rsidR="00A32067">
          <w:pgSz w:w="11907" w:h="16840"/>
          <w:pgMar w:top="1134" w:right="1077" w:bottom="1134" w:left="1077" w:header="794" w:footer="567" w:gutter="284"/>
          <w:cols w:space="720"/>
          <w:docGrid w:linePitch="312"/>
        </w:sectPr>
      </w:pPr>
      <w:bookmarkStart w:id="25" w:name="_Toc519872268"/>
    </w:p>
    <w:p w:rsidR="00A32067" w:rsidRDefault="00A32067">
      <w:pPr>
        <w:shd w:val="clear" w:color="auto" w:fill="FFFFFF"/>
        <w:spacing w:line="432" w:lineRule="auto"/>
        <w:jc w:val="center"/>
        <w:outlineLvl w:val="2"/>
        <w:rPr>
          <w:color w:val="000000"/>
          <w:sz w:val="44"/>
          <w:szCs w:val="44"/>
        </w:rPr>
      </w:pPr>
      <w:r>
        <w:rPr>
          <w:rFonts w:cs="宋体" w:hint="eastAsia"/>
          <w:b/>
          <w:bCs/>
          <w:color w:val="333333"/>
          <w:sz w:val="44"/>
          <w:szCs w:val="44"/>
        </w:rPr>
        <w:t>中华人民共和国耕地占用税暂行条例</w:t>
      </w:r>
      <w:r>
        <w:rPr>
          <w:color w:val="000000"/>
          <w:sz w:val="44"/>
          <w:szCs w:val="44"/>
        </w:rPr>
        <w:br/>
      </w:r>
      <w:r>
        <w:rPr>
          <w:rFonts w:cs="宋体" w:hint="eastAsia"/>
          <w:color w:val="333333"/>
          <w:spacing w:val="10"/>
          <w:kern w:val="0"/>
          <w:sz w:val="22"/>
          <w:szCs w:val="22"/>
        </w:rPr>
        <w:t>中华人民共和国国务院令第</w:t>
      </w:r>
      <w:r>
        <w:rPr>
          <w:color w:val="333333"/>
          <w:spacing w:val="10"/>
          <w:kern w:val="0"/>
          <w:sz w:val="22"/>
          <w:szCs w:val="22"/>
        </w:rPr>
        <w:t>511</w:t>
      </w:r>
      <w:r>
        <w:rPr>
          <w:rFonts w:cs="宋体" w:hint="eastAsia"/>
          <w:color w:val="333333"/>
          <w:spacing w:val="10"/>
          <w:kern w:val="0"/>
          <w:sz w:val="22"/>
          <w:szCs w:val="22"/>
        </w:rPr>
        <w:t>号</w:t>
      </w:r>
      <w:bookmarkEnd w:id="25"/>
    </w:p>
    <w:p w:rsidR="00A32067" w:rsidRDefault="00A32067" w:rsidP="0002085C">
      <w:pPr>
        <w:shd w:val="clear" w:color="auto" w:fill="FFFFFF"/>
        <w:spacing w:beforeLines="100" w:afterLines="100" w:line="360" w:lineRule="auto"/>
        <w:jc w:val="center"/>
        <w:rPr>
          <w:color w:val="333333"/>
          <w:kern w:val="0"/>
          <w:sz w:val="22"/>
          <w:szCs w:val="22"/>
        </w:rPr>
      </w:pPr>
      <w:r>
        <w:rPr>
          <w:rFonts w:cs="宋体" w:hint="eastAsia"/>
          <w:color w:val="333333"/>
          <w:kern w:val="0"/>
          <w:sz w:val="22"/>
          <w:szCs w:val="22"/>
        </w:rPr>
        <w:t>现公布《中华人民共和国耕地占用税暂行条例》，自</w:t>
      </w:r>
      <w:r>
        <w:rPr>
          <w:color w:val="333333"/>
          <w:kern w:val="0"/>
          <w:sz w:val="22"/>
          <w:szCs w:val="22"/>
        </w:rPr>
        <w:t>2008</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日起施行。</w:t>
      </w:r>
      <w:r>
        <w:rPr>
          <w:color w:val="333333"/>
          <w:kern w:val="0"/>
          <w:sz w:val="22"/>
          <w:szCs w:val="22"/>
        </w:rPr>
        <w:br/>
      </w:r>
      <w:r>
        <w:rPr>
          <w:rFonts w:cs="宋体" w:hint="eastAsia"/>
          <w:color w:val="333333"/>
          <w:kern w:val="0"/>
          <w:sz w:val="22"/>
          <w:szCs w:val="22"/>
        </w:rPr>
        <w:t xml:space="preserve">　　　　　　　　　　　　　　　　　　　　　　　　总理　温家宝</w:t>
      </w:r>
      <w:r>
        <w:rPr>
          <w:color w:val="333333"/>
          <w:kern w:val="0"/>
          <w:sz w:val="22"/>
          <w:szCs w:val="22"/>
        </w:rPr>
        <w:br/>
      </w:r>
      <w:r>
        <w:rPr>
          <w:rFonts w:cs="宋体" w:hint="eastAsia"/>
          <w:color w:val="333333"/>
          <w:kern w:val="0"/>
          <w:sz w:val="22"/>
          <w:szCs w:val="22"/>
        </w:rPr>
        <w:t xml:space="preserve">　　　　　　　　　　　　　　　　　　　二</w:t>
      </w:r>
      <w:r>
        <w:rPr>
          <w:color w:val="333333"/>
          <w:kern w:val="0"/>
          <w:sz w:val="22"/>
          <w:szCs w:val="22"/>
        </w:rPr>
        <w:t>00</w:t>
      </w:r>
      <w:r>
        <w:rPr>
          <w:rFonts w:cs="宋体" w:hint="eastAsia"/>
          <w:color w:val="333333"/>
          <w:kern w:val="0"/>
          <w:sz w:val="22"/>
          <w:szCs w:val="22"/>
        </w:rPr>
        <w:t>七年十二月一日</w:t>
      </w:r>
    </w:p>
    <w:p w:rsidR="00A32067" w:rsidRDefault="00A32067" w:rsidP="005431C7">
      <w:pPr>
        <w:shd w:val="clear" w:color="auto" w:fill="FFFFFF"/>
        <w:spacing w:line="360" w:lineRule="auto"/>
        <w:ind w:firstLineChars="200" w:firstLine="31680"/>
        <w:rPr>
          <w:color w:val="333333"/>
          <w:sz w:val="22"/>
          <w:szCs w:val="22"/>
        </w:rPr>
      </w:pPr>
      <w:r>
        <w:rPr>
          <w:rFonts w:cs="宋体" w:hint="eastAsia"/>
          <w:b/>
          <w:bCs/>
          <w:color w:val="333333"/>
          <w:kern w:val="0"/>
          <w:sz w:val="22"/>
          <w:szCs w:val="22"/>
        </w:rPr>
        <w:t xml:space="preserve">第一条　</w:t>
      </w:r>
      <w:r>
        <w:rPr>
          <w:rFonts w:cs="宋体" w:hint="eastAsia"/>
          <w:color w:val="333333"/>
          <w:sz w:val="22"/>
          <w:szCs w:val="22"/>
        </w:rPr>
        <w:t>为了合理利用土地资源，加强土地管理，保护耕地，制定本条例。</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第二条　</w:t>
      </w:r>
      <w:r>
        <w:rPr>
          <w:rFonts w:cs="宋体" w:hint="eastAsia"/>
          <w:color w:val="333333"/>
          <w:sz w:val="22"/>
          <w:szCs w:val="22"/>
        </w:rPr>
        <w:t>本条例所称耕地，是指用于种植农作物的土地。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第三条　</w:t>
      </w:r>
      <w:r>
        <w:rPr>
          <w:rFonts w:cs="宋体" w:hint="eastAsia"/>
          <w:color w:val="333333"/>
          <w:sz w:val="22"/>
          <w:szCs w:val="22"/>
        </w:rPr>
        <w:t>占用耕地建房或者从事非农业建设的单位或者个人，为耕地占用税的纳税人，应当依照本条例规定缴纳耕地占用税。</w:t>
      </w:r>
      <w:r>
        <w:rPr>
          <w:color w:val="333333"/>
          <w:sz w:val="22"/>
          <w:szCs w:val="22"/>
        </w:rPr>
        <w:br/>
      </w:r>
      <w:r>
        <w:rPr>
          <w:rFonts w:cs="宋体" w:hint="eastAsia"/>
          <w:color w:val="333333"/>
          <w:sz w:val="22"/>
          <w:szCs w:val="22"/>
        </w:rPr>
        <w:t xml:space="preserve">　　前款所称单位，包括国有企业、集体企业、私营企业、股份制企业、外商投资企业、外国企业以及其他企业和事业单位、社会团体、国家机关、部队以及其他单位；所称个人，包括个体工商户以及其他个人。</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第四条　</w:t>
      </w:r>
      <w:r>
        <w:rPr>
          <w:rFonts w:cs="宋体" w:hint="eastAsia"/>
          <w:color w:val="333333"/>
          <w:sz w:val="22"/>
          <w:szCs w:val="22"/>
        </w:rPr>
        <w:t>耕地占用税以纳税人实际占用的耕地面积为计税依据，按照规定的适用税额一次性征收。</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第五条　</w:t>
      </w:r>
      <w:r>
        <w:rPr>
          <w:rFonts w:cs="宋体" w:hint="eastAsia"/>
          <w:color w:val="333333"/>
          <w:sz w:val="22"/>
          <w:szCs w:val="22"/>
        </w:rPr>
        <w:t>耕地占用税的税额规定如下：</w:t>
      </w:r>
      <w:r>
        <w:rPr>
          <w:color w:val="333333"/>
          <w:sz w:val="22"/>
          <w:szCs w:val="22"/>
        </w:rPr>
        <w:br/>
      </w:r>
      <w:r>
        <w:rPr>
          <w:rFonts w:cs="宋体" w:hint="eastAsia"/>
          <w:color w:val="333333"/>
          <w:sz w:val="22"/>
          <w:szCs w:val="22"/>
        </w:rPr>
        <w:t xml:space="preserve">　　（一）人均耕地不超过</w:t>
      </w:r>
      <w:r>
        <w:rPr>
          <w:color w:val="333333"/>
          <w:sz w:val="22"/>
          <w:szCs w:val="22"/>
        </w:rPr>
        <w:t>1</w:t>
      </w:r>
      <w:r>
        <w:rPr>
          <w:rFonts w:cs="宋体" w:hint="eastAsia"/>
          <w:color w:val="333333"/>
          <w:sz w:val="22"/>
          <w:szCs w:val="22"/>
        </w:rPr>
        <w:t>亩的地区（以县级行政区域为单位，下同），每平方米为</w:t>
      </w:r>
      <w:r>
        <w:rPr>
          <w:color w:val="333333"/>
          <w:sz w:val="22"/>
          <w:szCs w:val="22"/>
        </w:rPr>
        <w:t>10</w:t>
      </w:r>
      <w:r>
        <w:rPr>
          <w:rFonts w:cs="宋体" w:hint="eastAsia"/>
          <w:color w:val="333333"/>
          <w:sz w:val="22"/>
          <w:szCs w:val="22"/>
        </w:rPr>
        <w:t>元至</w:t>
      </w:r>
      <w:r>
        <w:rPr>
          <w:color w:val="333333"/>
          <w:sz w:val="22"/>
          <w:szCs w:val="22"/>
        </w:rPr>
        <w:t>50</w:t>
      </w:r>
      <w:r>
        <w:rPr>
          <w:rFonts w:cs="宋体" w:hint="eastAsia"/>
          <w:color w:val="333333"/>
          <w:sz w:val="22"/>
          <w:szCs w:val="22"/>
        </w:rPr>
        <w:t>元；</w:t>
      </w:r>
      <w:r>
        <w:rPr>
          <w:color w:val="333333"/>
          <w:sz w:val="22"/>
          <w:szCs w:val="22"/>
        </w:rPr>
        <w:br/>
      </w:r>
      <w:r>
        <w:rPr>
          <w:rFonts w:cs="宋体" w:hint="eastAsia"/>
          <w:color w:val="333333"/>
          <w:sz w:val="22"/>
          <w:szCs w:val="22"/>
        </w:rPr>
        <w:t xml:space="preserve">　　（二）人均耕地超过</w:t>
      </w:r>
      <w:r>
        <w:rPr>
          <w:color w:val="333333"/>
          <w:sz w:val="22"/>
          <w:szCs w:val="22"/>
        </w:rPr>
        <w:t>1</w:t>
      </w:r>
      <w:r>
        <w:rPr>
          <w:rFonts w:cs="宋体" w:hint="eastAsia"/>
          <w:color w:val="333333"/>
          <w:sz w:val="22"/>
          <w:szCs w:val="22"/>
        </w:rPr>
        <w:t>亩但不超过</w:t>
      </w:r>
      <w:r>
        <w:rPr>
          <w:color w:val="333333"/>
          <w:sz w:val="22"/>
          <w:szCs w:val="22"/>
        </w:rPr>
        <w:t>2</w:t>
      </w:r>
      <w:r>
        <w:rPr>
          <w:rFonts w:cs="宋体" w:hint="eastAsia"/>
          <w:color w:val="333333"/>
          <w:sz w:val="22"/>
          <w:szCs w:val="22"/>
        </w:rPr>
        <w:t>亩的地区，每平方米为</w:t>
      </w:r>
      <w:r>
        <w:rPr>
          <w:color w:val="333333"/>
          <w:sz w:val="22"/>
          <w:szCs w:val="22"/>
        </w:rPr>
        <w:t>8</w:t>
      </w:r>
      <w:r>
        <w:rPr>
          <w:rFonts w:cs="宋体" w:hint="eastAsia"/>
          <w:color w:val="333333"/>
          <w:sz w:val="22"/>
          <w:szCs w:val="22"/>
        </w:rPr>
        <w:t>元至</w:t>
      </w:r>
      <w:r>
        <w:rPr>
          <w:color w:val="333333"/>
          <w:sz w:val="22"/>
          <w:szCs w:val="22"/>
        </w:rPr>
        <w:t>40</w:t>
      </w:r>
      <w:r>
        <w:rPr>
          <w:rFonts w:cs="宋体" w:hint="eastAsia"/>
          <w:color w:val="333333"/>
          <w:sz w:val="22"/>
          <w:szCs w:val="22"/>
        </w:rPr>
        <w:t>元；</w:t>
      </w:r>
      <w:r>
        <w:rPr>
          <w:color w:val="333333"/>
          <w:sz w:val="22"/>
          <w:szCs w:val="22"/>
        </w:rPr>
        <w:br/>
      </w:r>
      <w:r>
        <w:rPr>
          <w:rFonts w:cs="宋体" w:hint="eastAsia"/>
          <w:color w:val="333333"/>
          <w:sz w:val="22"/>
          <w:szCs w:val="22"/>
        </w:rPr>
        <w:t xml:space="preserve">　　（三）人均耕地超过</w:t>
      </w:r>
      <w:r>
        <w:rPr>
          <w:color w:val="333333"/>
          <w:sz w:val="22"/>
          <w:szCs w:val="22"/>
        </w:rPr>
        <w:t>2</w:t>
      </w:r>
      <w:r>
        <w:rPr>
          <w:rFonts w:cs="宋体" w:hint="eastAsia"/>
          <w:color w:val="333333"/>
          <w:sz w:val="22"/>
          <w:szCs w:val="22"/>
        </w:rPr>
        <w:t>亩但不超过</w:t>
      </w:r>
      <w:r>
        <w:rPr>
          <w:color w:val="333333"/>
          <w:sz w:val="22"/>
          <w:szCs w:val="22"/>
        </w:rPr>
        <w:t>3</w:t>
      </w:r>
      <w:r>
        <w:rPr>
          <w:rFonts w:cs="宋体" w:hint="eastAsia"/>
          <w:color w:val="333333"/>
          <w:sz w:val="22"/>
          <w:szCs w:val="22"/>
        </w:rPr>
        <w:t>亩的地区，每平方米为</w:t>
      </w:r>
      <w:r>
        <w:rPr>
          <w:color w:val="333333"/>
          <w:sz w:val="22"/>
          <w:szCs w:val="22"/>
        </w:rPr>
        <w:t>6</w:t>
      </w:r>
      <w:r>
        <w:rPr>
          <w:rFonts w:cs="宋体" w:hint="eastAsia"/>
          <w:color w:val="333333"/>
          <w:sz w:val="22"/>
          <w:szCs w:val="22"/>
        </w:rPr>
        <w:t>元至</w:t>
      </w:r>
      <w:r>
        <w:rPr>
          <w:color w:val="333333"/>
          <w:sz w:val="22"/>
          <w:szCs w:val="22"/>
        </w:rPr>
        <w:t>30</w:t>
      </w:r>
      <w:r>
        <w:rPr>
          <w:rFonts w:cs="宋体" w:hint="eastAsia"/>
          <w:color w:val="333333"/>
          <w:sz w:val="22"/>
          <w:szCs w:val="22"/>
        </w:rPr>
        <w:t>元；</w:t>
      </w:r>
      <w:r>
        <w:rPr>
          <w:color w:val="333333"/>
          <w:sz w:val="22"/>
          <w:szCs w:val="22"/>
        </w:rPr>
        <w:br/>
      </w:r>
      <w:r>
        <w:rPr>
          <w:rFonts w:cs="宋体" w:hint="eastAsia"/>
          <w:color w:val="333333"/>
          <w:sz w:val="22"/>
          <w:szCs w:val="22"/>
        </w:rPr>
        <w:t xml:space="preserve">　　（四）人均耕地超过</w:t>
      </w:r>
      <w:r>
        <w:rPr>
          <w:color w:val="333333"/>
          <w:sz w:val="22"/>
          <w:szCs w:val="22"/>
        </w:rPr>
        <w:t>3</w:t>
      </w:r>
      <w:r>
        <w:rPr>
          <w:rFonts w:cs="宋体" w:hint="eastAsia"/>
          <w:color w:val="333333"/>
          <w:sz w:val="22"/>
          <w:szCs w:val="22"/>
        </w:rPr>
        <w:t>亩的地区，每平方米为</w:t>
      </w:r>
      <w:r>
        <w:rPr>
          <w:color w:val="333333"/>
          <w:sz w:val="22"/>
          <w:szCs w:val="22"/>
        </w:rPr>
        <w:t>5</w:t>
      </w:r>
      <w:r>
        <w:rPr>
          <w:rFonts w:cs="宋体" w:hint="eastAsia"/>
          <w:color w:val="333333"/>
          <w:sz w:val="22"/>
          <w:szCs w:val="22"/>
        </w:rPr>
        <w:t>元至</w:t>
      </w:r>
      <w:r>
        <w:rPr>
          <w:color w:val="333333"/>
          <w:sz w:val="22"/>
          <w:szCs w:val="22"/>
        </w:rPr>
        <w:t>25</w:t>
      </w:r>
      <w:r>
        <w:rPr>
          <w:rFonts w:cs="宋体" w:hint="eastAsia"/>
          <w:color w:val="333333"/>
          <w:sz w:val="22"/>
          <w:szCs w:val="22"/>
        </w:rPr>
        <w:t>元。</w:t>
      </w:r>
      <w:r>
        <w:rPr>
          <w:color w:val="333333"/>
          <w:sz w:val="22"/>
          <w:szCs w:val="22"/>
        </w:rPr>
        <w:br/>
      </w:r>
      <w:r>
        <w:rPr>
          <w:rFonts w:cs="宋体" w:hint="eastAsia"/>
          <w:color w:val="333333"/>
          <w:sz w:val="22"/>
          <w:szCs w:val="22"/>
        </w:rPr>
        <w:t xml:space="preserve">　　国务院财政、税务主管部门根据人均耕地面积和经济发展情况确定各省、自治区、直辖市的平均税额。</w:t>
      </w:r>
      <w:r>
        <w:rPr>
          <w:color w:val="333333"/>
          <w:sz w:val="22"/>
          <w:szCs w:val="22"/>
        </w:rPr>
        <w:br/>
      </w:r>
      <w:r>
        <w:rPr>
          <w:rFonts w:cs="宋体" w:hint="eastAsia"/>
          <w:color w:val="333333"/>
          <w:sz w:val="22"/>
          <w:szCs w:val="22"/>
        </w:rPr>
        <w:t xml:space="preserve">　　各地适用税额，由省、自治区、直辖市人民政府在本条第一款规定的税额幅度内，根据本地区情况核定。各省、自治区、直辖市人民政府核定的适用税额的平均水平，不得低于本条第二款规定的平均税额。</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第六条　</w:t>
      </w:r>
      <w:r>
        <w:rPr>
          <w:rFonts w:cs="宋体" w:hint="eastAsia"/>
          <w:color w:val="333333"/>
          <w:sz w:val="22"/>
          <w:szCs w:val="22"/>
        </w:rPr>
        <w:t>经济特区、经济技术开发区和经济发达且人均耕地特别少的地区，适用税额可以适当提高，但是提高的部分最高不得超过本条例第五条第三款规定的当地适用税额的</w:t>
      </w:r>
      <w:r>
        <w:rPr>
          <w:color w:val="333333"/>
          <w:sz w:val="22"/>
          <w:szCs w:val="22"/>
        </w:rPr>
        <w:t>50%</w:t>
      </w:r>
      <w:r>
        <w:rPr>
          <w:rFonts w:cs="宋体" w:hint="eastAsia"/>
          <w:color w:val="333333"/>
          <w:sz w:val="22"/>
          <w:szCs w:val="22"/>
        </w:rPr>
        <w:t>。</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第七条　</w:t>
      </w:r>
      <w:r>
        <w:rPr>
          <w:rFonts w:cs="宋体" w:hint="eastAsia"/>
          <w:color w:val="333333"/>
          <w:sz w:val="22"/>
          <w:szCs w:val="22"/>
        </w:rPr>
        <w:t>占用基本农田的，适用税额应当在本条例第五条第三款、第六条规定的当地适用税额的基础上提高</w:t>
      </w:r>
      <w:r>
        <w:rPr>
          <w:color w:val="333333"/>
          <w:sz w:val="22"/>
          <w:szCs w:val="22"/>
        </w:rPr>
        <w:t>50%</w:t>
      </w:r>
      <w:r>
        <w:rPr>
          <w:rFonts w:cs="宋体" w:hint="eastAsia"/>
          <w:color w:val="333333"/>
          <w:sz w:val="22"/>
          <w:szCs w:val="22"/>
        </w:rPr>
        <w:t>。</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第八条　</w:t>
      </w:r>
      <w:r>
        <w:rPr>
          <w:rFonts w:cs="宋体" w:hint="eastAsia"/>
          <w:color w:val="333333"/>
          <w:sz w:val="22"/>
          <w:szCs w:val="22"/>
        </w:rPr>
        <w:t>下列情形免征耕地占用税：</w:t>
      </w:r>
      <w:r>
        <w:rPr>
          <w:color w:val="333333"/>
          <w:sz w:val="22"/>
          <w:szCs w:val="22"/>
        </w:rPr>
        <w:br/>
      </w:r>
      <w:r>
        <w:rPr>
          <w:rFonts w:cs="宋体" w:hint="eastAsia"/>
          <w:color w:val="333333"/>
          <w:sz w:val="22"/>
          <w:szCs w:val="22"/>
        </w:rPr>
        <w:t xml:space="preserve">　　（一）军事设施占用耕地；</w:t>
      </w:r>
      <w:r>
        <w:rPr>
          <w:color w:val="333333"/>
          <w:sz w:val="22"/>
          <w:szCs w:val="22"/>
        </w:rPr>
        <w:br/>
      </w:r>
      <w:r>
        <w:rPr>
          <w:rFonts w:cs="宋体" w:hint="eastAsia"/>
          <w:color w:val="333333"/>
          <w:sz w:val="22"/>
          <w:szCs w:val="22"/>
        </w:rPr>
        <w:t xml:space="preserve">　　（二）学校、幼儿园、养老院、医院占用耕地。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第九条　</w:t>
      </w:r>
      <w:r>
        <w:rPr>
          <w:rFonts w:cs="宋体" w:hint="eastAsia"/>
          <w:color w:val="333333"/>
          <w:sz w:val="22"/>
          <w:szCs w:val="22"/>
        </w:rPr>
        <w:t>铁路线路、公路线路、飞机场跑道、停机坪、港口、航道占用耕地，减按每平方米</w:t>
      </w:r>
      <w:r>
        <w:rPr>
          <w:color w:val="333333"/>
          <w:sz w:val="22"/>
          <w:szCs w:val="22"/>
        </w:rPr>
        <w:t>2</w:t>
      </w:r>
      <w:r>
        <w:rPr>
          <w:rFonts w:cs="宋体" w:hint="eastAsia"/>
          <w:color w:val="333333"/>
          <w:sz w:val="22"/>
          <w:szCs w:val="22"/>
        </w:rPr>
        <w:t>元的税额征收耕地占用税。</w:t>
      </w:r>
      <w:r>
        <w:rPr>
          <w:color w:val="333333"/>
          <w:sz w:val="22"/>
          <w:szCs w:val="22"/>
        </w:rPr>
        <w:br/>
      </w:r>
      <w:r>
        <w:rPr>
          <w:rFonts w:cs="宋体" w:hint="eastAsia"/>
          <w:color w:val="333333"/>
          <w:sz w:val="22"/>
          <w:szCs w:val="22"/>
        </w:rPr>
        <w:t xml:space="preserve">　　根据实际需要，国务院财政、税务主管部门商国务院有关部门并报国务院批准后，可以对前款规定的情形免征或者减征耕地占用税。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第十条　</w:t>
      </w:r>
      <w:r>
        <w:rPr>
          <w:rFonts w:cs="宋体" w:hint="eastAsia"/>
          <w:color w:val="333333"/>
          <w:sz w:val="22"/>
          <w:szCs w:val="22"/>
        </w:rPr>
        <w:t>农村居民占用耕地新建住宅，按照当地适用税额减半征收耕地占用税。</w:t>
      </w:r>
      <w:r>
        <w:rPr>
          <w:color w:val="333333"/>
          <w:sz w:val="22"/>
          <w:szCs w:val="22"/>
        </w:rPr>
        <w:br/>
      </w:r>
      <w:r>
        <w:rPr>
          <w:rFonts w:cs="宋体" w:hint="eastAsia"/>
          <w:color w:val="333333"/>
          <w:sz w:val="22"/>
          <w:szCs w:val="22"/>
        </w:rPr>
        <w:t xml:space="preserve">　　农村烈士家属、残疾军人、鳏寡孤独以及革命老根据地、少数民族聚居区和边远贫困山区生活困难的农村居民，在规定用地标准以内新建住宅缴纳耕地占用税确有困难的，经所在地乡（镇）人民政府审核，报经县级人民政府批准后，可以免征或者减征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第十一条　</w:t>
      </w:r>
      <w:r>
        <w:rPr>
          <w:rFonts w:cs="宋体" w:hint="eastAsia"/>
          <w:color w:val="333333"/>
          <w:sz w:val="22"/>
          <w:szCs w:val="22"/>
        </w:rPr>
        <w:t>依照本条例第八条、第九条规定免征或者减征耕地占用税后，纳税人改变原占地用途，不再属于免征或者减征耕地占用税情形的，应当按照当地适用税额补缴耕地占用税。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第十二条　</w:t>
      </w:r>
      <w:r>
        <w:rPr>
          <w:rFonts w:cs="宋体" w:hint="eastAsia"/>
          <w:color w:val="333333"/>
          <w:sz w:val="22"/>
          <w:szCs w:val="22"/>
        </w:rPr>
        <w:t>耕地占用税由地方税务机关负责征收。</w:t>
      </w:r>
      <w:r>
        <w:rPr>
          <w:color w:val="333333"/>
          <w:sz w:val="22"/>
          <w:szCs w:val="22"/>
        </w:rPr>
        <w:br/>
      </w:r>
      <w:r>
        <w:rPr>
          <w:rFonts w:cs="宋体" w:hint="eastAsia"/>
          <w:color w:val="333333"/>
          <w:sz w:val="22"/>
          <w:szCs w:val="22"/>
        </w:rPr>
        <w:t xml:space="preserve">　　土地管理部门在通知单位或者个人办理占用耕地手续时，应当同时通知耕地所在地同级地方税务机关。获准占用耕地的单位或者个人应当在收到土地管理部门的通知之日起</w:t>
      </w:r>
      <w:r>
        <w:rPr>
          <w:color w:val="333333"/>
          <w:sz w:val="22"/>
          <w:szCs w:val="22"/>
        </w:rPr>
        <w:t>30</w:t>
      </w:r>
      <w:r>
        <w:rPr>
          <w:rFonts w:cs="宋体" w:hint="eastAsia"/>
          <w:color w:val="333333"/>
          <w:sz w:val="22"/>
          <w:szCs w:val="22"/>
        </w:rPr>
        <w:t>日内缴纳耕地占用税。土地管理部门凭耕地占用税完税凭证或者免税凭证和其他有关文件发放建设用地批准书。</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第十三条　</w:t>
      </w:r>
      <w:r>
        <w:rPr>
          <w:rFonts w:cs="宋体" w:hint="eastAsia"/>
          <w:color w:val="333333"/>
          <w:sz w:val="22"/>
          <w:szCs w:val="22"/>
        </w:rPr>
        <w:t>纳税人临时占用耕地，应当依照本条例的规定缴纳耕地占用税。纳税人在批准临时占用耕地的期限内恢复所占用耕地原状的，全额退还已经缴纳的耕地占用税。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第十四条　</w:t>
      </w:r>
      <w:r>
        <w:rPr>
          <w:rFonts w:cs="宋体" w:hint="eastAsia"/>
          <w:color w:val="333333"/>
          <w:sz w:val="22"/>
          <w:szCs w:val="22"/>
        </w:rPr>
        <w:t>占用林地、牧草地、农田水利用地、养殖水面以及渔业水域滩涂等其他农用地建房或者从事非农业建设的，比照本条例的规定征收耕地占用税。</w:t>
      </w:r>
      <w:r>
        <w:rPr>
          <w:color w:val="333333"/>
          <w:sz w:val="22"/>
          <w:szCs w:val="22"/>
        </w:rPr>
        <w:br/>
      </w:r>
      <w:r>
        <w:rPr>
          <w:rFonts w:cs="宋体" w:hint="eastAsia"/>
          <w:color w:val="333333"/>
          <w:sz w:val="22"/>
          <w:szCs w:val="22"/>
        </w:rPr>
        <w:t xml:space="preserve">　　建设直接为农业生产服务的生产设施占用前款规定的农用地的，不征收耕地占用税。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第十五条　</w:t>
      </w:r>
      <w:r>
        <w:rPr>
          <w:rFonts w:cs="宋体" w:hint="eastAsia"/>
          <w:color w:val="333333"/>
          <w:sz w:val="22"/>
          <w:szCs w:val="22"/>
        </w:rPr>
        <w:t>耕地占用税的征收管理，依照《中华人民共和国税收征收管理法》和本条例有关规定执行。</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第十六条　</w:t>
      </w:r>
      <w:r>
        <w:rPr>
          <w:rFonts w:cs="宋体" w:hint="eastAsia"/>
          <w:color w:val="333333"/>
          <w:sz w:val="22"/>
          <w:szCs w:val="22"/>
        </w:rPr>
        <w:t>本条例自</w:t>
      </w:r>
      <w:r>
        <w:rPr>
          <w:color w:val="333333"/>
          <w:sz w:val="22"/>
          <w:szCs w:val="22"/>
        </w:rPr>
        <w:t>2008</w:t>
      </w:r>
      <w:r>
        <w:rPr>
          <w:rFonts w:cs="宋体" w:hint="eastAsia"/>
          <w:color w:val="333333"/>
          <w:sz w:val="22"/>
          <w:szCs w:val="22"/>
        </w:rPr>
        <w:t>年</w:t>
      </w:r>
      <w:r>
        <w:rPr>
          <w:color w:val="333333"/>
          <w:sz w:val="22"/>
          <w:szCs w:val="22"/>
        </w:rPr>
        <w:t>1</w:t>
      </w:r>
      <w:r>
        <w:rPr>
          <w:rFonts w:cs="宋体" w:hint="eastAsia"/>
          <w:color w:val="333333"/>
          <w:sz w:val="22"/>
          <w:szCs w:val="22"/>
        </w:rPr>
        <w:t>月</w:t>
      </w:r>
      <w:r>
        <w:rPr>
          <w:color w:val="333333"/>
          <w:sz w:val="22"/>
          <w:szCs w:val="22"/>
        </w:rPr>
        <w:t>1</w:t>
      </w:r>
      <w:r>
        <w:rPr>
          <w:rFonts w:cs="宋体" w:hint="eastAsia"/>
          <w:color w:val="333333"/>
          <w:sz w:val="22"/>
          <w:szCs w:val="22"/>
        </w:rPr>
        <w:t>日起施行。</w:t>
      </w:r>
      <w:r>
        <w:rPr>
          <w:color w:val="333333"/>
          <w:sz w:val="22"/>
          <w:szCs w:val="22"/>
        </w:rPr>
        <w:t>1987</w:t>
      </w:r>
      <w:r>
        <w:rPr>
          <w:rFonts w:cs="宋体" w:hint="eastAsia"/>
          <w:color w:val="333333"/>
          <w:sz w:val="22"/>
          <w:szCs w:val="22"/>
        </w:rPr>
        <w:t>年</w:t>
      </w:r>
      <w:r>
        <w:rPr>
          <w:color w:val="333333"/>
          <w:sz w:val="22"/>
          <w:szCs w:val="22"/>
        </w:rPr>
        <w:t>4</w:t>
      </w:r>
      <w:r>
        <w:rPr>
          <w:rFonts w:cs="宋体" w:hint="eastAsia"/>
          <w:color w:val="333333"/>
          <w:sz w:val="22"/>
          <w:szCs w:val="22"/>
        </w:rPr>
        <w:t>月</w:t>
      </w:r>
      <w:r>
        <w:rPr>
          <w:color w:val="333333"/>
          <w:sz w:val="22"/>
          <w:szCs w:val="22"/>
        </w:rPr>
        <w:t>1</w:t>
      </w:r>
      <w:r>
        <w:rPr>
          <w:rFonts w:cs="宋体" w:hint="eastAsia"/>
          <w:color w:val="333333"/>
          <w:sz w:val="22"/>
          <w:szCs w:val="22"/>
        </w:rPr>
        <w:t>日国务院发布的《中华人民共和国耕地占用税暂行条例》同时废止。</w:t>
      </w:r>
    </w:p>
    <w:p w:rsidR="00A32067" w:rsidRDefault="00A32067">
      <w:pPr>
        <w:spacing w:line="240" w:lineRule="atLeast"/>
      </w:pPr>
    </w:p>
    <w:p w:rsidR="00A32067" w:rsidRDefault="00A32067">
      <w:pPr>
        <w:spacing w:line="220" w:lineRule="atLeast"/>
      </w:pPr>
      <w:r>
        <w:br w:type="page"/>
      </w:r>
    </w:p>
    <w:p w:rsidR="00A32067" w:rsidRDefault="00A32067">
      <w:pPr>
        <w:shd w:val="clear" w:color="auto" w:fill="FFFFFF"/>
        <w:spacing w:line="432" w:lineRule="auto"/>
        <w:ind w:firstLine="465"/>
        <w:jc w:val="center"/>
        <w:outlineLvl w:val="2"/>
        <w:rPr>
          <w:b/>
          <w:bCs/>
          <w:color w:val="333333"/>
          <w:sz w:val="44"/>
          <w:szCs w:val="44"/>
        </w:rPr>
      </w:pPr>
      <w:bookmarkStart w:id="26" w:name="_Toc519872269"/>
      <w:r>
        <w:rPr>
          <w:rFonts w:cs="宋体" w:hint="eastAsia"/>
          <w:b/>
          <w:bCs/>
          <w:color w:val="333333"/>
          <w:sz w:val="44"/>
          <w:szCs w:val="44"/>
        </w:rPr>
        <w:t>中华人民共和国耕地占用税暂行条例实施细则</w:t>
      </w:r>
      <w:bookmarkEnd w:id="26"/>
    </w:p>
    <w:p w:rsidR="00A32067" w:rsidRDefault="00A32067">
      <w:pPr>
        <w:shd w:val="clear" w:color="auto" w:fill="FFFFFF"/>
        <w:spacing w:line="432" w:lineRule="auto"/>
        <w:ind w:firstLine="465"/>
        <w:jc w:val="center"/>
        <w:rPr>
          <w:color w:val="333333"/>
          <w:spacing w:val="10"/>
          <w:kern w:val="0"/>
          <w:sz w:val="22"/>
          <w:szCs w:val="22"/>
        </w:rPr>
      </w:pPr>
      <w:r>
        <w:rPr>
          <w:rFonts w:cs="宋体" w:hint="eastAsia"/>
          <w:color w:val="333333"/>
          <w:spacing w:val="10"/>
          <w:kern w:val="0"/>
          <w:sz w:val="22"/>
          <w:szCs w:val="22"/>
        </w:rPr>
        <w:t>中华人民共和国财部国家税务总局令第</w:t>
      </w:r>
      <w:r>
        <w:rPr>
          <w:color w:val="333333"/>
          <w:spacing w:val="10"/>
          <w:kern w:val="0"/>
          <w:sz w:val="22"/>
          <w:szCs w:val="22"/>
        </w:rPr>
        <w:t>49</w:t>
      </w:r>
      <w:r>
        <w:rPr>
          <w:rFonts w:cs="宋体" w:hint="eastAsia"/>
          <w:color w:val="333333"/>
          <w:spacing w:val="10"/>
          <w:kern w:val="0"/>
          <w:sz w:val="22"/>
          <w:szCs w:val="22"/>
        </w:rPr>
        <w:t>号</w:t>
      </w:r>
    </w:p>
    <w:p w:rsidR="00A32067" w:rsidRDefault="00A32067">
      <w:pPr>
        <w:shd w:val="clear" w:color="auto" w:fill="FFFFFF"/>
        <w:spacing w:line="432" w:lineRule="auto"/>
        <w:ind w:firstLine="465"/>
        <w:jc w:val="center"/>
        <w:rPr>
          <w:color w:val="333333"/>
          <w:spacing w:val="10"/>
          <w:kern w:val="0"/>
          <w:sz w:val="22"/>
          <w:szCs w:val="22"/>
        </w:rPr>
      </w:pPr>
    </w:p>
    <w:p w:rsidR="00A32067" w:rsidRDefault="00A32067" w:rsidP="005431C7">
      <w:pPr>
        <w:spacing w:line="360" w:lineRule="auto"/>
        <w:ind w:firstLineChars="200" w:firstLine="31680"/>
        <w:rPr>
          <w:color w:val="333333"/>
          <w:sz w:val="22"/>
          <w:szCs w:val="22"/>
        </w:rPr>
      </w:pPr>
      <w:r>
        <w:rPr>
          <w:rFonts w:cs="宋体" w:hint="eastAsia"/>
          <w:color w:val="333333"/>
          <w:sz w:val="22"/>
          <w:szCs w:val="22"/>
        </w:rPr>
        <w:t>《中华人民共和国耕地占用税暂行条例实施细则》经财政部、国家税务总局审议通过，现予公布，自公布之日起实施。</w:t>
      </w:r>
    </w:p>
    <w:p w:rsidR="00A32067" w:rsidRDefault="00A32067" w:rsidP="005431C7">
      <w:pPr>
        <w:spacing w:line="360" w:lineRule="auto"/>
        <w:ind w:firstLineChars="200" w:firstLine="31680"/>
        <w:rPr>
          <w:color w:val="333333"/>
          <w:sz w:val="22"/>
          <w:szCs w:val="22"/>
        </w:rPr>
      </w:pPr>
      <w:r>
        <w:rPr>
          <w:color w:val="333333"/>
          <w:sz w:val="22"/>
          <w:szCs w:val="22"/>
        </w:rPr>
        <w:br/>
      </w:r>
      <w:r>
        <w:rPr>
          <w:rFonts w:eastAsia="微软雅黑" w:cs="微软雅黑" w:hint="eastAsia"/>
          <w:color w:val="000000"/>
          <w:sz w:val="24"/>
          <w:szCs w:val="24"/>
        </w:rPr>
        <w:t xml:space="preserve">　　　　　　　　　　　　　　　　　　　　　　</w:t>
      </w:r>
      <w:r>
        <w:rPr>
          <w:rFonts w:cs="宋体" w:hint="eastAsia"/>
          <w:color w:val="333333"/>
          <w:sz w:val="22"/>
          <w:szCs w:val="22"/>
        </w:rPr>
        <w:t xml:space="preserve">　部　长　谢旭人</w:t>
      </w:r>
      <w:r>
        <w:rPr>
          <w:color w:val="333333"/>
          <w:sz w:val="22"/>
          <w:szCs w:val="22"/>
        </w:rPr>
        <w:br/>
      </w:r>
      <w:r>
        <w:rPr>
          <w:rFonts w:cs="宋体" w:hint="eastAsia"/>
          <w:color w:val="333333"/>
          <w:sz w:val="22"/>
          <w:szCs w:val="22"/>
        </w:rPr>
        <w:t xml:space="preserve">　　　　　　　　　　　　　　　　　　　　　　　局　长　肖　捷</w:t>
      </w:r>
      <w:r>
        <w:rPr>
          <w:color w:val="333333"/>
          <w:sz w:val="22"/>
          <w:szCs w:val="22"/>
        </w:rPr>
        <w:br/>
      </w:r>
      <w:r>
        <w:rPr>
          <w:rFonts w:cs="宋体" w:hint="eastAsia"/>
          <w:color w:val="333333"/>
          <w:sz w:val="22"/>
          <w:szCs w:val="22"/>
        </w:rPr>
        <w:t xml:space="preserve">　　　　　　　　　　　　　　　　　　　　二〇〇八年二月二十六日</w:t>
      </w:r>
    </w:p>
    <w:p w:rsidR="00A32067" w:rsidRDefault="00A32067" w:rsidP="005431C7">
      <w:pPr>
        <w:spacing w:line="360" w:lineRule="auto"/>
        <w:ind w:firstLineChars="200" w:firstLine="31680"/>
        <w:rPr>
          <w:rFonts w:eastAsia="微软雅黑"/>
          <w:color w:val="000000"/>
          <w:sz w:val="24"/>
          <w:szCs w:val="24"/>
        </w:rPr>
      </w:pPr>
    </w:p>
    <w:p w:rsidR="00A32067" w:rsidRDefault="00A32067" w:rsidP="005431C7">
      <w:pPr>
        <w:shd w:val="clear" w:color="auto" w:fill="FFFFFF"/>
        <w:spacing w:line="360" w:lineRule="auto"/>
        <w:ind w:firstLineChars="200" w:firstLine="31680"/>
        <w:rPr>
          <w:color w:val="333333"/>
          <w:sz w:val="22"/>
          <w:szCs w:val="22"/>
        </w:rPr>
      </w:pPr>
      <w:r>
        <w:rPr>
          <w:rFonts w:cs="宋体" w:hint="eastAsia"/>
          <w:b/>
          <w:bCs/>
          <w:color w:val="333333"/>
          <w:kern w:val="0"/>
          <w:sz w:val="22"/>
          <w:szCs w:val="22"/>
        </w:rPr>
        <w:t xml:space="preserve">第一条　</w:t>
      </w:r>
      <w:r>
        <w:rPr>
          <w:rFonts w:cs="宋体" w:hint="eastAsia"/>
          <w:color w:val="333333"/>
          <w:sz w:val="22"/>
          <w:szCs w:val="22"/>
        </w:rPr>
        <w:t>根据《</w:t>
      </w:r>
      <w:hyperlink r:id="rId48" w:tgtFrame="_blank" w:tooltip="http://www.gov.cn/zwgk/2007-12/06/content_826778.htm" w:history="1">
        <w:r>
          <w:rPr>
            <w:rFonts w:cs="宋体" w:hint="eastAsia"/>
            <w:color w:val="333333"/>
            <w:sz w:val="22"/>
            <w:szCs w:val="22"/>
          </w:rPr>
          <w:t>中华人民共和国耕地占用税暂行条例</w:t>
        </w:r>
      </w:hyperlink>
      <w:r>
        <w:rPr>
          <w:rFonts w:cs="宋体" w:hint="eastAsia"/>
          <w:color w:val="333333"/>
          <w:sz w:val="22"/>
          <w:szCs w:val="22"/>
        </w:rPr>
        <w:t>》（以下简称条例），制定本细则。</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第二条　</w:t>
      </w:r>
      <w:r>
        <w:rPr>
          <w:rFonts w:cs="宋体" w:hint="eastAsia"/>
          <w:color w:val="333333"/>
          <w:sz w:val="22"/>
          <w:szCs w:val="22"/>
        </w:rPr>
        <w:t>条例所称建房，包括建设建筑物和构筑物。</w:t>
      </w:r>
      <w:r>
        <w:rPr>
          <w:color w:val="333333"/>
          <w:sz w:val="22"/>
          <w:szCs w:val="22"/>
        </w:rPr>
        <w:br/>
      </w:r>
      <w:r>
        <w:rPr>
          <w:rFonts w:cs="宋体" w:hint="eastAsia"/>
          <w:color w:val="333333"/>
          <w:sz w:val="22"/>
          <w:szCs w:val="22"/>
        </w:rPr>
        <w:t xml:space="preserve">　　农田水利占用耕地的</w:t>
      </w:r>
      <w:r>
        <w:rPr>
          <w:color w:val="333333"/>
          <w:sz w:val="22"/>
          <w:szCs w:val="22"/>
        </w:rPr>
        <w:t>,</w:t>
      </w:r>
      <w:r>
        <w:rPr>
          <w:rFonts w:cs="宋体" w:hint="eastAsia"/>
          <w:color w:val="333333"/>
          <w:sz w:val="22"/>
          <w:szCs w:val="22"/>
        </w:rPr>
        <w:t>不征收耕地占用税。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第三条　</w:t>
      </w:r>
      <w:r>
        <w:rPr>
          <w:rFonts w:cs="宋体" w:hint="eastAsia"/>
          <w:color w:val="333333"/>
          <w:sz w:val="22"/>
          <w:szCs w:val="22"/>
        </w:rPr>
        <w:t>占用园地建房或者从事非农业建设的，视同占用耕地征收耕地占用税。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第四条　</w:t>
      </w:r>
      <w:r>
        <w:rPr>
          <w:rFonts w:cs="宋体" w:hint="eastAsia"/>
          <w:color w:val="333333"/>
          <w:sz w:val="22"/>
          <w:szCs w:val="22"/>
        </w:rPr>
        <w:t>经申请批准占用耕地的，纳税人为农用地转用审批文件中标明的建设用地人；农用地转用审批文件中未标明建设用地人的，纳税人为用地申请人。</w:t>
      </w:r>
    </w:p>
    <w:p w:rsidR="00A32067" w:rsidRDefault="00A32067" w:rsidP="005431C7">
      <w:pPr>
        <w:shd w:val="clear" w:color="auto" w:fill="FFFFFF"/>
        <w:spacing w:line="360" w:lineRule="auto"/>
        <w:ind w:firstLineChars="200" w:firstLine="31680"/>
        <w:rPr>
          <w:color w:val="333333"/>
          <w:sz w:val="22"/>
          <w:szCs w:val="22"/>
        </w:rPr>
      </w:pPr>
      <w:r>
        <w:rPr>
          <w:rFonts w:cs="宋体" w:hint="eastAsia"/>
          <w:color w:val="333333"/>
          <w:sz w:val="22"/>
          <w:szCs w:val="22"/>
        </w:rPr>
        <w:t>未经批准占用耕地的，纳税人为实际用地人。</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第五条　</w:t>
      </w:r>
      <w:r>
        <w:rPr>
          <w:rFonts w:cs="宋体" w:hint="eastAsia"/>
          <w:color w:val="333333"/>
          <w:sz w:val="22"/>
          <w:szCs w:val="22"/>
        </w:rPr>
        <w:t>条例第四条所称实际占用的耕地面积，包括经批准占用的耕地面积和未经批准占用的耕地面积。</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第六条　</w:t>
      </w:r>
      <w:r>
        <w:rPr>
          <w:rFonts w:cs="宋体" w:hint="eastAsia"/>
          <w:color w:val="333333"/>
          <w:sz w:val="22"/>
          <w:szCs w:val="22"/>
        </w:rPr>
        <w:t>各省、自治区、直辖市耕地占用税的平均税额，按照本细则所附的《各省、自治区、直辖市耕地占用税平均税额表》执行。</w:t>
      </w:r>
      <w:r>
        <w:rPr>
          <w:color w:val="333333"/>
          <w:sz w:val="22"/>
          <w:szCs w:val="22"/>
        </w:rPr>
        <w:br/>
      </w:r>
      <w:r>
        <w:rPr>
          <w:rFonts w:cs="宋体" w:hint="eastAsia"/>
          <w:color w:val="333333"/>
          <w:sz w:val="22"/>
          <w:szCs w:val="22"/>
        </w:rPr>
        <w:t xml:space="preserve">　　县级行政区域的适用税额，按照条例、本细则和各省、自治区、直辖市人民政府的规定执行。</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第七条　</w:t>
      </w:r>
      <w:r>
        <w:rPr>
          <w:rFonts w:cs="宋体" w:hint="eastAsia"/>
          <w:color w:val="333333"/>
          <w:sz w:val="22"/>
          <w:szCs w:val="22"/>
        </w:rPr>
        <w:t>条例第七条所称基本农田，是指依据《基本农田保护条例》划定的基本农田保护区范围内的耕地。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第八条　</w:t>
      </w:r>
      <w:r>
        <w:rPr>
          <w:rFonts w:cs="宋体" w:hint="eastAsia"/>
          <w:color w:val="333333"/>
          <w:sz w:val="22"/>
          <w:szCs w:val="22"/>
        </w:rPr>
        <w:t>条例第八条规定免税的军事设施，具体范围包括：</w:t>
      </w:r>
      <w:r>
        <w:rPr>
          <w:color w:val="333333"/>
          <w:sz w:val="22"/>
          <w:szCs w:val="22"/>
        </w:rPr>
        <w:br/>
      </w:r>
      <w:r>
        <w:rPr>
          <w:rFonts w:cs="宋体" w:hint="eastAsia"/>
          <w:color w:val="333333"/>
          <w:sz w:val="22"/>
          <w:szCs w:val="22"/>
        </w:rPr>
        <w:t xml:space="preserve">　　（一）地上、地下的军事指挥、作战工程；</w:t>
      </w:r>
      <w:r>
        <w:rPr>
          <w:color w:val="333333"/>
          <w:sz w:val="22"/>
          <w:szCs w:val="22"/>
        </w:rPr>
        <w:br/>
      </w:r>
      <w:r>
        <w:rPr>
          <w:rFonts w:cs="宋体" w:hint="eastAsia"/>
          <w:color w:val="333333"/>
          <w:sz w:val="22"/>
          <w:szCs w:val="22"/>
        </w:rPr>
        <w:t xml:space="preserve">　　（二）军用机场、港口、码头；</w:t>
      </w:r>
      <w:r>
        <w:rPr>
          <w:color w:val="333333"/>
          <w:sz w:val="22"/>
          <w:szCs w:val="22"/>
        </w:rPr>
        <w:br/>
      </w:r>
      <w:r>
        <w:rPr>
          <w:rFonts w:cs="宋体" w:hint="eastAsia"/>
          <w:color w:val="333333"/>
          <w:sz w:val="22"/>
          <w:szCs w:val="22"/>
        </w:rPr>
        <w:t xml:space="preserve">　　（三）营区、训练场、试验场；</w:t>
      </w:r>
      <w:r>
        <w:rPr>
          <w:color w:val="333333"/>
          <w:sz w:val="22"/>
          <w:szCs w:val="22"/>
        </w:rPr>
        <w:br/>
      </w:r>
      <w:r>
        <w:rPr>
          <w:rFonts w:cs="宋体" w:hint="eastAsia"/>
          <w:color w:val="333333"/>
          <w:sz w:val="22"/>
          <w:szCs w:val="22"/>
        </w:rPr>
        <w:t xml:space="preserve">　　（四）军用洞库、仓库；</w:t>
      </w:r>
      <w:r>
        <w:rPr>
          <w:color w:val="333333"/>
          <w:sz w:val="22"/>
          <w:szCs w:val="22"/>
        </w:rPr>
        <w:br/>
      </w:r>
      <w:r>
        <w:rPr>
          <w:rFonts w:cs="宋体" w:hint="eastAsia"/>
          <w:color w:val="333333"/>
          <w:sz w:val="22"/>
          <w:szCs w:val="22"/>
        </w:rPr>
        <w:t xml:space="preserve">　　（五）军用通信、侦察、导航、观测台站和测量、导航、助航标志；</w:t>
      </w:r>
      <w:r>
        <w:rPr>
          <w:color w:val="333333"/>
          <w:sz w:val="22"/>
          <w:szCs w:val="22"/>
        </w:rPr>
        <w:br/>
      </w:r>
      <w:r>
        <w:rPr>
          <w:rFonts w:cs="宋体" w:hint="eastAsia"/>
          <w:color w:val="333333"/>
          <w:sz w:val="22"/>
          <w:szCs w:val="22"/>
        </w:rPr>
        <w:t xml:space="preserve">　　（六）军用公路、铁路专用线，军用通讯、输电线路，军用输油、输水管道；</w:t>
      </w:r>
      <w:r>
        <w:rPr>
          <w:color w:val="333333"/>
          <w:sz w:val="22"/>
          <w:szCs w:val="22"/>
        </w:rPr>
        <w:br/>
      </w:r>
      <w:r>
        <w:rPr>
          <w:rFonts w:cs="宋体" w:hint="eastAsia"/>
          <w:color w:val="333333"/>
          <w:sz w:val="22"/>
          <w:szCs w:val="22"/>
        </w:rPr>
        <w:t xml:space="preserve">　　（七）其他直接用于军事用途的设施。</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第九条　</w:t>
      </w:r>
      <w:r>
        <w:rPr>
          <w:rFonts w:cs="宋体" w:hint="eastAsia"/>
          <w:color w:val="333333"/>
          <w:sz w:val="22"/>
          <w:szCs w:val="22"/>
        </w:rPr>
        <w:t>条例第八条规定免税的学校，具体范围包括县级以上人民政府教育行政部门批准成立的大学、中学、小学、学历性职业教育学校以及特殊教育学校。</w:t>
      </w:r>
      <w:r>
        <w:rPr>
          <w:color w:val="333333"/>
          <w:sz w:val="22"/>
          <w:szCs w:val="22"/>
        </w:rPr>
        <w:br/>
      </w:r>
      <w:r>
        <w:rPr>
          <w:rFonts w:cs="宋体" w:hint="eastAsia"/>
          <w:color w:val="333333"/>
          <w:sz w:val="22"/>
          <w:szCs w:val="22"/>
        </w:rPr>
        <w:t xml:space="preserve">　　学校内经营性场所和教职工住房占用耕地的，按照当地适用税额缴纳耕地占用税。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第十条　</w:t>
      </w:r>
      <w:r>
        <w:rPr>
          <w:rFonts w:cs="宋体" w:hint="eastAsia"/>
          <w:color w:val="333333"/>
          <w:sz w:val="22"/>
          <w:szCs w:val="22"/>
        </w:rPr>
        <w:t>条例第八条规定免税的幼儿园，具体范围限于县级人民政府教育行政部门登记注册或者备案的幼儿园内专门用于幼儿保育、教育的场所。</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第十一条　</w:t>
      </w:r>
      <w:r>
        <w:rPr>
          <w:rFonts w:cs="宋体" w:hint="eastAsia"/>
          <w:color w:val="333333"/>
          <w:sz w:val="22"/>
          <w:szCs w:val="22"/>
        </w:rPr>
        <w:t>条例第八条规定免税的养老院，具体范围限于经批准设立的养老院内专门为老年人提供生活照顾的场所。</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第十二条　</w:t>
      </w:r>
      <w:r>
        <w:rPr>
          <w:rFonts w:cs="宋体" w:hint="eastAsia"/>
          <w:color w:val="333333"/>
          <w:sz w:val="22"/>
          <w:szCs w:val="22"/>
        </w:rPr>
        <w:t>条例第八条规定免税的医院，具体范围限于县级以上人民政府卫生行政部门批准设立的医院内专门用于提供医护服务的场所及其配套设施。</w:t>
      </w:r>
      <w:r>
        <w:rPr>
          <w:color w:val="333333"/>
          <w:sz w:val="22"/>
          <w:szCs w:val="22"/>
        </w:rPr>
        <w:br/>
      </w:r>
      <w:r>
        <w:rPr>
          <w:rFonts w:cs="宋体" w:hint="eastAsia"/>
          <w:color w:val="333333"/>
          <w:sz w:val="22"/>
          <w:szCs w:val="22"/>
        </w:rPr>
        <w:t xml:space="preserve">　　医院内职工住房占用耕地的，按照当地适用税额缴纳耕地占用税。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第十三条　</w:t>
      </w:r>
      <w:r>
        <w:rPr>
          <w:rFonts w:cs="宋体" w:hint="eastAsia"/>
          <w:color w:val="333333"/>
          <w:sz w:val="22"/>
          <w:szCs w:val="22"/>
        </w:rPr>
        <w:t>条例第九条规定减税的铁路线路，具体范围限于铁路路基、桥梁、涵洞、隧道及其按照规定两侧留地。</w:t>
      </w:r>
      <w:r>
        <w:rPr>
          <w:color w:val="333333"/>
          <w:sz w:val="22"/>
          <w:szCs w:val="22"/>
        </w:rPr>
        <w:br/>
      </w:r>
      <w:r>
        <w:rPr>
          <w:rFonts w:cs="宋体" w:hint="eastAsia"/>
          <w:color w:val="333333"/>
          <w:sz w:val="22"/>
          <w:szCs w:val="22"/>
        </w:rPr>
        <w:t xml:space="preserve">　　专用铁路和铁路专用线占用耕地的，按照当地适用税额缴纳耕地占用税。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第十四条　</w:t>
      </w:r>
      <w:r>
        <w:rPr>
          <w:rFonts w:cs="宋体" w:hint="eastAsia"/>
          <w:color w:val="333333"/>
          <w:sz w:val="22"/>
          <w:szCs w:val="22"/>
        </w:rPr>
        <w:t>条例第九条规定减税的公路线路，具体范围限于经批准建设的国道、省道、县道、乡道和属于农村公路的村道的主体工程以及两侧边沟或者截水沟。</w:t>
      </w:r>
      <w:r>
        <w:rPr>
          <w:color w:val="333333"/>
          <w:sz w:val="22"/>
          <w:szCs w:val="22"/>
        </w:rPr>
        <w:br/>
      </w:r>
      <w:r>
        <w:rPr>
          <w:rFonts w:cs="宋体" w:hint="eastAsia"/>
          <w:color w:val="333333"/>
          <w:sz w:val="22"/>
          <w:szCs w:val="22"/>
        </w:rPr>
        <w:t xml:space="preserve">　　专用公路和城区内机动车道占用耕地的，按照当地适用税额缴纳耕地占用税。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第十五条　</w:t>
      </w:r>
      <w:r>
        <w:rPr>
          <w:rFonts w:cs="宋体" w:hint="eastAsia"/>
          <w:color w:val="333333"/>
          <w:sz w:val="22"/>
          <w:szCs w:val="22"/>
        </w:rPr>
        <w:t>条例第九条规定减税的飞机场跑道、停机坪，具体范围限于经批准建设的民用机场专门用于民用航空器起降、滑行、停放的场所。</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第十六条　</w:t>
      </w:r>
      <w:r>
        <w:rPr>
          <w:rFonts w:cs="宋体" w:hint="eastAsia"/>
          <w:color w:val="333333"/>
          <w:sz w:val="22"/>
          <w:szCs w:val="22"/>
        </w:rPr>
        <w:t>条例第九条规定减税的港口，具体范围限于经批准建设的港口内供船舶进出、停靠以及旅客上下、货物装卸的场所。</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第十七条　</w:t>
      </w:r>
      <w:r>
        <w:rPr>
          <w:rFonts w:cs="宋体" w:hint="eastAsia"/>
          <w:color w:val="333333"/>
          <w:sz w:val="22"/>
          <w:szCs w:val="22"/>
        </w:rPr>
        <w:t>条例第九条规定减税的航道，具体范围限于在江、河、湖泊、港湾等水域内供船舶安全航行的通道。</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第十八条　</w:t>
      </w:r>
      <w:r>
        <w:rPr>
          <w:rFonts w:cs="宋体" w:hint="eastAsia"/>
          <w:color w:val="333333"/>
          <w:sz w:val="22"/>
          <w:szCs w:val="22"/>
        </w:rPr>
        <w:t>条例第十条规定减税的农村居民占用耕地新建住宅，是指农村居民经批准在户口所在地按照规定标准占用耕地建设自用住宅。</w:t>
      </w:r>
      <w:r>
        <w:rPr>
          <w:color w:val="333333"/>
          <w:sz w:val="22"/>
          <w:szCs w:val="22"/>
        </w:rPr>
        <w:br/>
      </w:r>
      <w:r>
        <w:rPr>
          <w:rFonts w:cs="宋体" w:hint="eastAsia"/>
          <w:color w:val="333333"/>
          <w:sz w:val="22"/>
          <w:szCs w:val="22"/>
        </w:rPr>
        <w:t xml:space="preserve">　　农村居民经批准搬迁，原宅基地恢复耕种，凡新建住宅占用耕地不超过原宅基地面积的，不征收耕地占用税；超过原宅基地面积的，对超过部分按照当地适用税额减半征收耕地占用税。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第十九条　</w:t>
      </w:r>
      <w:r>
        <w:rPr>
          <w:rFonts w:cs="宋体" w:hint="eastAsia"/>
          <w:color w:val="333333"/>
          <w:sz w:val="22"/>
          <w:szCs w:val="22"/>
        </w:rPr>
        <w:t>条例第十条所称农村烈士家属，包括农村烈士的父母、配偶和子女。</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第二十条　</w:t>
      </w:r>
      <w:r>
        <w:rPr>
          <w:rFonts w:cs="宋体" w:hint="eastAsia"/>
          <w:color w:val="333333"/>
          <w:sz w:val="22"/>
          <w:szCs w:val="22"/>
        </w:rPr>
        <w:t>条例第十条所称革命老根据地、少数民族聚居地区和边远贫困山区生活困难的农村居民，其标准按照各省、自治区、直辖市人民政府有关规定执行。</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第二十一条　</w:t>
      </w:r>
      <w:r>
        <w:rPr>
          <w:rFonts w:cs="宋体" w:hint="eastAsia"/>
          <w:color w:val="333333"/>
          <w:sz w:val="22"/>
          <w:szCs w:val="22"/>
        </w:rPr>
        <w:t>根据条例第十一条的规定，纳税人改变占地用途，不再属于免税或减税情形的，应自改变用途之日起</w:t>
      </w:r>
      <w:r>
        <w:rPr>
          <w:color w:val="333333"/>
          <w:sz w:val="22"/>
          <w:szCs w:val="22"/>
        </w:rPr>
        <w:t>30</w:t>
      </w:r>
      <w:r>
        <w:rPr>
          <w:rFonts w:cs="宋体" w:hint="eastAsia"/>
          <w:color w:val="333333"/>
          <w:sz w:val="22"/>
          <w:szCs w:val="22"/>
        </w:rPr>
        <w:t>日内按改变用途的实际占用耕地面积和当地适用税额补缴税款。</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第二十二条　</w:t>
      </w:r>
      <w:r>
        <w:rPr>
          <w:rFonts w:cs="宋体" w:hint="eastAsia"/>
          <w:color w:val="333333"/>
          <w:sz w:val="22"/>
          <w:szCs w:val="22"/>
        </w:rPr>
        <w:t>条例第十三条所称临时占用耕地，是指纳税人因建设项目施工、地质勘查等需要，在一般不超过</w:t>
      </w:r>
      <w:r>
        <w:rPr>
          <w:color w:val="333333"/>
          <w:sz w:val="22"/>
          <w:szCs w:val="22"/>
        </w:rPr>
        <w:t>2</w:t>
      </w:r>
      <w:r>
        <w:rPr>
          <w:rFonts w:cs="宋体" w:hint="eastAsia"/>
          <w:color w:val="333333"/>
          <w:sz w:val="22"/>
          <w:szCs w:val="22"/>
        </w:rPr>
        <w:t>年内临时使用耕地并且没有修建永久性建筑物的行为。</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第二十三条　</w:t>
      </w:r>
      <w:r>
        <w:rPr>
          <w:rFonts w:cs="宋体" w:hint="eastAsia"/>
          <w:color w:val="333333"/>
          <w:sz w:val="22"/>
          <w:szCs w:val="22"/>
        </w:rPr>
        <w:t>因污染、取土、采矿塌陷等损毁耕地的，比照条例第十三条规定的临时占用耕地的情况，由造成损毁的单位或者个人缴纳耕地占用税。超过</w:t>
      </w:r>
      <w:r>
        <w:rPr>
          <w:color w:val="333333"/>
          <w:sz w:val="22"/>
          <w:szCs w:val="22"/>
        </w:rPr>
        <w:t>2</w:t>
      </w:r>
      <w:r>
        <w:rPr>
          <w:rFonts w:cs="宋体" w:hint="eastAsia"/>
          <w:color w:val="333333"/>
          <w:sz w:val="22"/>
          <w:szCs w:val="22"/>
        </w:rPr>
        <w:t>年未恢复耕地原状的，已征税款不予退还。</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第二十四条　</w:t>
      </w:r>
      <w:r>
        <w:rPr>
          <w:rFonts w:cs="宋体" w:hint="eastAsia"/>
          <w:color w:val="333333"/>
          <w:sz w:val="22"/>
          <w:szCs w:val="22"/>
        </w:rPr>
        <w:t>条例第十四条所称林地，包括有林地、灌木林地、疏林地、未成林地、迹地、苗圃等，不包括居民点内部的绿化林木用地，铁路、公路征地范围内的林木用地，以及河流、沟渠的护堤林用地。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第二十五条　</w:t>
      </w:r>
      <w:r>
        <w:rPr>
          <w:rFonts w:cs="宋体" w:hint="eastAsia"/>
          <w:color w:val="333333"/>
          <w:sz w:val="22"/>
          <w:szCs w:val="22"/>
        </w:rPr>
        <w:t>条例第十四条所称牧草地，包括天然牧草地、人工牧草地。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第二十六条　</w:t>
      </w:r>
      <w:r>
        <w:rPr>
          <w:rFonts w:cs="宋体" w:hint="eastAsia"/>
          <w:color w:val="333333"/>
          <w:sz w:val="22"/>
          <w:szCs w:val="22"/>
        </w:rPr>
        <w:t>条例第十四条所称农田水利用地，包括农田排灌沟渠及相应附属设施用地。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第二十七条　</w:t>
      </w:r>
      <w:r>
        <w:rPr>
          <w:rFonts w:cs="宋体" w:hint="eastAsia"/>
          <w:color w:val="333333"/>
          <w:sz w:val="22"/>
          <w:szCs w:val="22"/>
        </w:rPr>
        <w:t>条例第十四条所称养殖水面，包括人工开挖或者天然形成的用于水产养殖的河流水面、湖泊水面、水库水面、坑塘水面及相应附属设施用地。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第二十八条　</w:t>
      </w:r>
      <w:r>
        <w:rPr>
          <w:rFonts w:cs="宋体" w:hint="eastAsia"/>
          <w:color w:val="333333"/>
          <w:sz w:val="22"/>
          <w:szCs w:val="22"/>
        </w:rPr>
        <w:t>条例第十四条所称渔业水域滩涂，包括专门用于种植或者养殖水生动植物的海水潮浸地带和滩地。</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第二十九条　</w:t>
      </w:r>
      <w:r>
        <w:rPr>
          <w:rFonts w:cs="宋体" w:hint="eastAsia"/>
          <w:color w:val="333333"/>
          <w:sz w:val="22"/>
          <w:szCs w:val="22"/>
        </w:rPr>
        <w:t>占用林地、牧草地、农田水利用地、养殖水面以及渔业水域滩涂等其他农用地建房或者从事非农业建设的，适用税额可以适当低于当地占用耕地的适用税额，具体适用税额按照各省、自治区、直辖市人民政府的规定执行。</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第三十条　</w:t>
      </w:r>
      <w:r>
        <w:rPr>
          <w:rFonts w:cs="宋体" w:hint="eastAsia"/>
          <w:color w:val="333333"/>
          <w:sz w:val="22"/>
          <w:szCs w:val="22"/>
        </w:rPr>
        <w:t>条例第十四条所称直接为农业生产服务的生产设施，是指直接为农业生产服务而建设的建筑物和构筑物。具体包括：储存农用机具和种子、苗木、木材等农业产品的仓储设施；培育、生产种子、种苗的设施；畜禽养殖设施；木材集材道、运材道；农业科研、试验、示范基地；野生动植物保护、护林、森林病虫害防治、森林防火、木材检疫的设施；专为农业生产服务的灌溉排水、供水、供电、供热、供气、通讯基础设施；农业生产者从事农业生产必需的食宿和管理设施；其他直接为农业生产服务的生产设施。</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第三十一条　</w:t>
      </w:r>
      <w:r>
        <w:rPr>
          <w:rFonts w:cs="宋体" w:hint="eastAsia"/>
          <w:color w:val="333333"/>
          <w:sz w:val="22"/>
          <w:szCs w:val="22"/>
        </w:rPr>
        <w:t>经批准占用耕地的，耕地占用税纳税义务发生时间为纳税人收到土地管理部门办理占用农用地手续通知的当天。</w:t>
      </w:r>
      <w:r>
        <w:rPr>
          <w:color w:val="333333"/>
          <w:sz w:val="22"/>
          <w:szCs w:val="22"/>
        </w:rPr>
        <w:br/>
      </w:r>
      <w:r>
        <w:rPr>
          <w:rFonts w:cs="宋体" w:hint="eastAsia"/>
          <w:color w:val="333333"/>
          <w:sz w:val="22"/>
          <w:szCs w:val="22"/>
        </w:rPr>
        <w:t xml:space="preserve">　　未经批准占用耕地的，耕地占用税纳税义务发生时间为纳税人实际占用耕地的当天。</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第三十二条　</w:t>
      </w:r>
      <w:r>
        <w:rPr>
          <w:rFonts w:cs="宋体" w:hint="eastAsia"/>
          <w:color w:val="333333"/>
          <w:sz w:val="22"/>
          <w:szCs w:val="22"/>
        </w:rPr>
        <w:t>纳税人占用耕地或其他农用地，应当在耕地或其他农用地所在地申报纳税。</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第三十三条　</w:t>
      </w:r>
      <w:r>
        <w:rPr>
          <w:rFonts w:cs="宋体" w:hint="eastAsia"/>
          <w:color w:val="333333"/>
          <w:sz w:val="22"/>
          <w:szCs w:val="22"/>
        </w:rPr>
        <w:t>各省、自治区、直辖市人民政府财政、税务主管部门应当将本省、自治区、直辖市人民政府制定的耕地占用税具体实施办法报送财政部和国家税务总局。</w:t>
      </w:r>
      <w:r>
        <w:rPr>
          <w:color w:val="333333"/>
          <w:sz w:val="22"/>
          <w:szCs w:val="22"/>
        </w:rPr>
        <w:br/>
      </w:r>
      <w:r>
        <w:rPr>
          <w:rFonts w:cs="宋体" w:hint="eastAsia"/>
          <w:color w:val="333333"/>
          <w:sz w:val="22"/>
          <w:szCs w:val="22"/>
        </w:rPr>
        <w:t xml:space="preserve">　　</w:t>
      </w:r>
      <w:r>
        <w:rPr>
          <w:rFonts w:cs="宋体" w:hint="eastAsia"/>
          <w:b/>
          <w:bCs/>
          <w:color w:val="333333"/>
          <w:kern w:val="0"/>
          <w:sz w:val="22"/>
          <w:szCs w:val="22"/>
        </w:rPr>
        <w:t xml:space="preserve">第三十四条　</w:t>
      </w:r>
      <w:r>
        <w:rPr>
          <w:rFonts w:cs="宋体" w:hint="eastAsia"/>
          <w:color w:val="333333"/>
          <w:sz w:val="22"/>
          <w:szCs w:val="22"/>
        </w:rPr>
        <w:t>本细则自公布之日起实施。</w:t>
      </w:r>
    </w:p>
    <w:p w:rsidR="00A32067" w:rsidRDefault="00A32067">
      <w:pPr>
        <w:spacing w:before="100" w:beforeAutospacing="1" w:after="100" w:afterAutospacing="1" w:line="432" w:lineRule="atLeast"/>
        <w:jc w:val="left"/>
        <w:rPr>
          <w:b/>
          <w:bCs/>
          <w:color w:val="000000"/>
          <w:sz w:val="24"/>
          <w:szCs w:val="24"/>
        </w:rPr>
      </w:pPr>
    </w:p>
    <w:p w:rsidR="00A32067" w:rsidRDefault="00A32067">
      <w:pPr>
        <w:spacing w:before="100" w:beforeAutospacing="1" w:after="100" w:afterAutospacing="1" w:line="432" w:lineRule="atLeast"/>
        <w:jc w:val="left"/>
        <w:rPr>
          <w:b/>
          <w:bCs/>
          <w:color w:val="000000"/>
          <w:sz w:val="24"/>
          <w:szCs w:val="24"/>
        </w:rPr>
      </w:pPr>
    </w:p>
    <w:p w:rsidR="00A32067" w:rsidRDefault="00A32067">
      <w:pPr>
        <w:spacing w:before="100" w:beforeAutospacing="1" w:after="100" w:afterAutospacing="1" w:line="432" w:lineRule="atLeast"/>
        <w:jc w:val="left"/>
        <w:rPr>
          <w:b/>
          <w:bCs/>
          <w:color w:val="000000"/>
          <w:sz w:val="24"/>
          <w:szCs w:val="24"/>
        </w:rPr>
      </w:pPr>
    </w:p>
    <w:p w:rsidR="00A32067" w:rsidRDefault="00A32067">
      <w:pPr>
        <w:spacing w:before="100" w:beforeAutospacing="1" w:after="100" w:afterAutospacing="1" w:line="432" w:lineRule="atLeast"/>
        <w:jc w:val="left"/>
        <w:rPr>
          <w:b/>
          <w:bCs/>
          <w:color w:val="000000"/>
          <w:sz w:val="24"/>
          <w:szCs w:val="24"/>
        </w:rPr>
      </w:pPr>
    </w:p>
    <w:p w:rsidR="00A32067" w:rsidRDefault="00A32067">
      <w:pPr>
        <w:spacing w:before="100" w:beforeAutospacing="1" w:after="100" w:afterAutospacing="1" w:line="432" w:lineRule="atLeast"/>
        <w:jc w:val="left"/>
        <w:rPr>
          <w:b/>
          <w:bCs/>
          <w:color w:val="000000"/>
          <w:sz w:val="24"/>
          <w:szCs w:val="24"/>
        </w:rPr>
      </w:pPr>
    </w:p>
    <w:p w:rsidR="00A32067" w:rsidRDefault="00A32067" w:rsidP="005431C7">
      <w:pPr>
        <w:spacing w:before="100" w:beforeAutospacing="1" w:after="100" w:afterAutospacing="1" w:line="432" w:lineRule="atLeast"/>
        <w:ind w:firstLineChars="250" w:firstLine="31680"/>
        <w:jc w:val="left"/>
        <w:rPr>
          <w:color w:val="000000"/>
          <w:sz w:val="24"/>
          <w:szCs w:val="24"/>
        </w:rPr>
      </w:pPr>
      <w:r>
        <w:rPr>
          <w:rFonts w:cs="宋体" w:hint="eastAsia"/>
          <w:color w:val="000000"/>
          <w:sz w:val="24"/>
          <w:szCs w:val="24"/>
        </w:rPr>
        <w:t>附表：</w:t>
      </w:r>
      <w:r>
        <w:rPr>
          <w:rFonts w:cs="宋体" w:hint="eastAsia"/>
          <w:b/>
          <w:bCs/>
          <w:color w:val="000000"/>
          <w:sz w:val="24"/>
          <w:szCs w:val="24"/>
        </w:rPr>
        <w:t>各省、自治区、直辖市耕地占用税平均税额表</w:t>
      </w:r>
    </w:p>
    <w:tbl>
      <w:tblPr>
        <w:tblW w:w="8100" w:type="dxa"/>
        <w:jc w:val="center"/>
        <w:tblLayout w:type="fixed"/>
        <w:tblCellMar>
          <w:left w:w="0" w:type="dxa"/>
          <w:right w:w="0" w:type="dxa"/>
        </w:tblCellMar>
        <w:tblLook w:val="00A0"/>
      </w:tblPr>
      <w:tblGrid>
        <w:gridCol w:w="4468"/>
        <w:gridCol w:w="3632"/>
      </w:tblGrid>
      <w:tr w:rsidR="00A32067">
        <w:trPr>
          <w:trHeight w:val="500"/>
          <w:jc w:val="center"/>
        </w:trPr>
        <w:tc>
          <w:tcPr>
            <w:tcW w:w="44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rPr>
                <w:b/>
                <w:bCs/>
              </w:rPr>
            </w:pPr>
            <w:r>
              <w:rPr>
                <w:rFonts w:cs="宋体" w:hint="eastAsia"/>
                <w:b/>
                <w:bCs/>
                <w:color w:val="000000"/>
              </w:rPr>
              <w:t>地区</w:t>
            </w:r>
          </w:p>
        </w:tc>
        <w:tc>
          <w:tcPr>
            <w:tcW w:w="36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rPr>
                <w:b/>
                <w:bCs/>
                <w:color w:val="000000"/>
              </w:rPr>
            </w:pPr>
            <w:r>
              <w:rPr>
                <w:rFonts w:cs="宋体" w:hint="eastAsia"/>
                <w:b/>
                <w:bCs/>
                <w:color w:val="000000"/>
              </w:rPr>
              <w:t>每平方米平均税额（元）</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上海</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45</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北京</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40</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天津</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35</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江苏、浙江、福建、广东</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30</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辽宁、湖北、湖南</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25</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河北、安徽、江西、山东、河南、重庆、四川</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22.5</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广西、海南、贵州、云南、陕西</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20</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山西、吉林、黑龙江</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17.5</w:t>
            </w:r>
          </w:p>
        </w:tc>
      </w:tr>
      <w:tr w:rsidR="00A32067">
        <w:trPr>
          <w:trHeight w:val="500"/>
          <w:jc w:val="center"/>
        </w:trPr>
        <w:tc>
          <w:tcPr>
            <w:tcW w:w="44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left"/>
            </w:pPr>
            <w:r>
              <w:rPr>
                <w:rFonts w:cs="宋体" w:hint="eastAsia"/>
                <w:color w:val="000000"/>
              </w:rPr>
              <w:t>内蒙古、西藏、甘肃、青海、宁夏、新疆</w:t>
            </w:r>
          </w:p>
        </w:tc>
        <w:tc>
          <w:tcPr>
            <w:tcW w:w="3632" w:type="dxa"/>
            <w:tcBorders>
              <w:top w:val="nil"/>
              <w:left w:val="nil"/>
              <w:bottom w:val="single" w:sz="4" w:space="0" w:color="auto"/>
              <w:right w:val="single" w:sz="4" w:space="0" w:color="auto"/>
            </w:tcBorders>
            <w:tcMar>
              <w:top w:w="0" w:type="dxa"/>
              <w:left w:w="108" w:type="dxa"/>
              <w:bottom w:w="0" w:type="dxa"/>
              <w:right w:w="108" w:type="dxa"/>
            </w:tcMar>
            <w:vAlign w:val="center"/>
          </w:tcPr>
          <w:p w:rsidR="00A32067" w:rsidRDefault="00A32067">
            <w:pPr>
              <w:spacing w:before="100" w:beforeAutospacing="1" w:after="100" w:afterAutospacing="1" w:line="500" w:lineRule="atLeast"/>
              <w:jc w:val="center"/>
            </w:pPr>
            <w:r>
              <w:rPr>
                <w:color w:val="000000"/>
              </w:rPr>
              <w:t>12.5</w:t>
            </w:r>
          </w:p>
        </w:tc>
      </w:tr>
    </w:tbl>
    <w:p w:rsidR="00A32067" w:rsidRDefault="00A32067">
      <w:pPr>
        <w:spacing w:line="220" w:lineRule="atLeast"/>
        <w:rPr>
          <w:rFonts w:eastAsia="微软雅黑"/>
        </w:rPr>
      </w:pPr>
      <w:r>
        <w:rPr>
          <w:rFonts w:eastAsia="微软雅黑"/>
        </w:rPr>
        <w:br w:type="page"/>
      </w:r>
    </w:p>
    <w:p w:rsidR="00A32067" w:rsidRDefault="00A32067">
      <w:pPr>
        <w:shd w:val="clear" w:color="auto" w:fill="FFFFFF"/>
        <w:spacing w:line="432" w:lineRule="auto"/>
        <w:ind w:firstLine="465"/>
        <w:jc w:val="center"/>
        <w:outlineLvl w:val="2"/>
        <w:rPr>
          <w:b/>
          <w:bCs/>
          <w:color w:val="333333"/>
          <w:sz w:val="44"/>
          <w:szCs w:val="44"/>
        </w:rPr>
      </w:pPr>
      <w:bookmarkStart w:id="27" w:name="_Toc519872270"/>
      <w:r>
        <w:rPr>
          <w:rFonts w:cs="宋体" w:hint="eastAsia"/>
          <w:b/>
          <w:bCs/>
          <w:color w:val="333333"/>
          <w:sz w:val="44"/>
          <w:szCs w:val="44"/>
        </w:rPr>
        <w:t>河北省土地管理条例</w:t>
      </w:r>
      <w:bookmarkEnd w:id="27"/>
    </w:p>
    <w:p w:rsidR="00A32067" w:rsidRDefault="00A32067" w:rsidP="005431C7">
      <w:pPr>
        <w:shd w:val="clear" w:color="auto" w:fill="FFFFFF"/>
        <w:spacing w:line="360" w:lineRule="auto"/>
        <w:ind w:firstLineChars="200" w:firstLine="31680"/>
        <w:rPr>
          <w:rFonts w:ascii="宋体"/>
          <w:color w:val="333333"/>
          <w:sz w:val="22"/>
          <w:szCs w:val="22"/>
        </w:rPr>
      </w:pPr>
      <w:r>
        <w:rPr>
          <w:rFonts w:ascii="宋体" w:hAnsi="宋体" w:cs="宋体" w:hint="eastAsia"/>
          <w:color w:val="333333"/>
          <w:sz w:val="22"/>
          <w:szCs w:val="22"/>
        </w:rPr>
        <w:t>（</w:t>
      </w:r>
      <w:r>
        <w:rPr>
          <w:rFonts w:ascii="宋体" w:hAnsi="宋体" w:cs="宋体"/>
          <w:color w:val="333333"/>
          <w:sz w:val="22"/>
          <w:szCs w:val="22"/>
        </w:rPr>
        <w:t>1987</w:t>
      </w:r>
      <w:r>
        <w:rPr>
          <w:rFonts w:ascii="宋体" w:hAnsi="宋体" w:cs="宋体" w:hint="eastAsia"/>
          <w:color w:val="333333"/>
          <w:sz w:val="22"/>
          <w:szCs w:val="22"/>
        </w:rPr>
        <w:t>年</w:t>
      </w:r>
      <w:r>
        <w:rPr>
          <w:rFonts w:ascii="宋体" w:hAnsi="宋体" w:cs="宋体"/>
          <w:color w:val="333333"/>
          <w:sz w:val="22"/>
          <w:szCs w:val="22"/>
        </w:rPr>
        <w:t>4</w:t>
      </w:r>
      <w:r>
        <w:rPr>
          <w:rFonts w:ascii="宋体" w:hAnsi="宋体" w:cs="宋体" w:hint="eastAsia"/>
          <w:color w:val="333333"/>
          <w:sz w:val="22"/>
          <w:szCs w:val="22"/>
        </w:rPr>
        <w:t>月</w:t>
      </w:r>
      <w:r>
        <w:rPr>
          <w:rFonts w:ascii="宋体" w:hAnsi="宋体" w:cs="宋体"/>
          <w:color w:val="333333"/>
          <w:sz w:val="22"/>
          <w:szCs w:val="22"/>
        </w:rPr>
        <w:t>27</w:t>
      </w:r>
      <w:r>
        <w:rPr>
          <w:rFonts w:ascii="宋体" w:hAnsi="宋体" w:cs="宋体" w:hint="eastAsia"/>
          <w:color w:val="333333"/>
          <w:sz w:val="22"/>
          <w:szCs w:val="22"/>
        </w:rPr>
        <w:t>日河北省第六届人民代表大会第五次会议通过　根据</w:t>
      </w:r>
      <w:r>
        <w:rPr>
          <w:rFonts w:ascii="宋体" w:hAnsi="宋体" w:cs="宋体"/>
          <w:color w:val="333333"/>
          <w:sz w:val="22"/>
          <w:szCs w:val="22"/>
        </w:rPr>
        <w:t>1990</w:t>
      </w:r>
      <w:r>
        <w:rPr>
          <w:rFonts w:ascii="宋体" w:hAnsi="宋体" w:cs="宋体" w:hint="eastAsia"/>
          <w:color w:val="333333"/>
          <w:sz w:val="22"/>
          <w:szCs w:val="22"/>
        </w:rPr>
        <w:t>年</w:t>
      </w:r>
      <w:r>
        <w:rPr>
          <w:rFonts w:ascii="宋体" w:hAnsi="宋体" w:cs="宋体"/>
          <w:color w:val="333333"/>
          <w:sz w:val="22"/>
          <w:szCs w:val="22"/>
        </w:rPr>
        <w:t>11</w:t>
      </w:r>
      <w:r>
        <w:rPr>
          <w:rFonts w:ascii="宋体" w:hAnsi="宋体" w:cs="宋体" w:hint="eastAsia"/>
          <w:color w:val="333333"/>
          <w:sz w:val="22"/>
          <w:szCs w:val="22"/>
        </w:rPr>
        <w:t>月</w:t>
      </w:r>
      <w:r>
        <w:rPr>
          <w:rFonts w:ascii="宋体" w:hAnsi="宋体" w:cs="宋体"/>
          <w:color w:val="333333"/>
          <w:sz w:val="22"/>
          <w:szCs w:val="22"/>
        </w:rPr>
        <w:t>10</w:t>
      </w:r>
      <w:r>
        <w:rPr>
          <w:rFonts w:ascii="宋体" w:hAnsi="宋体" w:cs="宋体" w:hint="eastAsia"/>
          <w:color w:val="333333"/>
          <w:sz w:val="22"/>
          <w:szCs w:val="22"/>
        </w:rPr>
        <w:t>日河北省第七届人民代表大会常务委员会第十七次会议《关于修改</w:t>
      </w:r>
      <w:r>
        <w:rPr>
          <w:rFonts w:ascii="宋体" w:hAnsi="宋体" w:cs="宋体"/>
          <w:color w:val="333333"/>
          <w:sz w:val="22"/>
          <w:szCs w:val="22"/>
        </w:rPr>
        <w:t>&lt;</w:t>
      </w:r>
      <w:r>
        <w:rPr>
          <w:rFonts w:ascii="宋体" w:hAnsi="宋体" w:cs="宋体" w:hint="eastAsia"/>
          <w:color w:val="333333"/>
          <w:sz w:val="22"/>
          <w:szCs w:val="22"/>
        </w:rPr>
        <w:t>河北省土地管理条例</w:t>
      </w:r>
      <w:r>
        <w:rPr>
          <w:rFonts w:ascii="宋体" w:hAnsi="宋体" w:cs="宋体"/>
          <w:color w:val="333333"/>
          <w:sz w:val="22"/>
          <w:szCs w:val="22"/>
        </w:rPr>
        <w:t>&gt;</w:t>
      </w:r>
      <w:r>
        <w:rPr>
          <w:rFonts w:ascii="宋体" w:hAnsi="宋体" w:cs="宋体" w:hint="eastAsia"/>
          <w:color w:val="333333"/>
          <w:sz w:val="22"/>
          <w:szCs w:val="22"/>
        </w:rPr>
        <w:t>的决定》第一次修正　根据</w:t>
      </w:r>
      <w:r>
        <w:rPr>
          <w:rFonts w:ascii="宋体" w:hAnsi="宋体" w:cs="宋体"/>
          <w:color w:val="333333"/>
          <w:sz w:val="22"/>
          <w:szCs w:val="22"/>
        </w:rPr>
        <w:t>1997</w:t>
      </w:r>
      <w:r>
        <w:rPr>
          <w:rFonts w:ascii="宋体" w:hAnsi="宋体" w:cs="宋体" w:hint="eastAsia"/>
          <w:color w:val="333333"/>
          <w:sz w:val="22"/>
          <w:szCs w:val="22"/>
        </w:rPr>
        <w:t>年</w:t>
      </w:r>
      <w:r>
        <w:rPr>
          <w:rFonts w:ascii="宋体" w:hAnsi="宋体" w:cs="宋体"/>
          <w:color w:val="333333"/>
          <w:sz w:val="22"/>
          <w:szCs w:val="22"/>
        </w:rPr>
        <w:t>12</w:t>
      </w:r>
      <w:r>
        <w:rPr>
          <w:rFonts w:ascii="宋体" w:hAnsi="宋体" w:cs="宋体" w:hint="eastAsia"/>
          <w:color w:val="333333"/>
          <w:sz w:val="22"/>
          <w:szCs w:val="22"/>
        </w:rPr>
        <w:t>月</w:t>
      </w:r>
      <w:r>
        <w:rPr>
          <w:rFonts w:ascii="宋体" w:hAnsi="宋体" w:cs="宋体"/>
          <w:color w:val="333333"/>
          <w:sz w:val="22"/>
          <w:szCs w:val="22"/>
        </w:rPr>
        <w:t>22</w:t>
      </w:r>
      <w:r>
        <w:rPr>
          <w:rFonts w:ascii="宋体" w:hAnsi="宋体" w:cs="宋体" w:hint="eastAsia"/>
          <w:color w:val="333333"/>
          <w:sz w:val="22"/>
          <w:szCs w:val="22"/>
        </w:rPr>
        <w:t>日河北省第八届人民代表大会常务委员会第三十一次会议《关于修改</w:t>
      </w:r>
      <w:r>
        <w:rPr>
          <w:rFonts w:ascii="宋体" w:hAnsi="宋体" w:cs="宋体"/>
          <w:color w:val="333333"/>
          <w:sz w:val="22"/>
          <w:szCs w:val="22"/>
        </w:rPr>
        <w:t>&lt;</w:t>
      </w:r>
      <w:r>
        <w:rPr>
          <w:rFonts w:ascii="宋体" w:hAnsi="宋体" w:cs="宋体" w:hint="eastAsia"/>
          <w:color w:val="333333"/>
          <w:sz w:val="22"/>
          <w:szCs w:val="22"/>
        </w:rPr>
        <w:t>河北省土地管理条例</w:t>
      </w:r>
      <w:r>
        <w:rPr>
          <w:rFonts w:ascii="宋体" w:hAnsi="宋体" w:cs="宋体"/>
          <w:color w:val="333333"/>
          <w:sz w:val="22"/>
          <w:szCs w:val="22"/>
        </w:rPr>
        <w:t>&gt;</w:t>
      </w:r>
      <w:r>
        <w:rPr>
          <w:rFonts w:ascii="宋体" w:hAnsi="宋体" w:cs="宋体" w:hint="eastAsia"/>
          <w:color w:val="333333"/>
          <w:sz w:val="22"/>
          <w:szCs w:val="22"/>
        </w:rPr>
        <w:t xml:space="preserve">的决定》第二次修正　</w:t>
      </w:r>
      <w:r>
        <w:rPr>
          <w:rFonts w:ascii="宋体" w:hAnsi="宋体" w:cs="宋体"/>
          <w:color w:val="333333"/>
          <w:sz w:val="22"/>
          <w:szCs w:val="22"/>
        </w:rPr>
        <w:t>1999</w:t>
      </w:r>
      <w:r>
        <w:rPr>
          <w:rFonts w:ascii="宋体" w:hAnsi="宋体" w:cs="宋体" w:hint="eastAsia"/>
          <w:color w:val="333333"/>
          <w:sz w:val="22"/>
          <w:szCs w:val="22"/>
        </w:rPr>
        <w:t>年</w:t>
      </w:r>
      <w:r>
        <w:rPr>
          <w:rFonts w:ascii="宋体" w:hAnsi="宋体" w:cs="宋体"/>
          <w:color w:val="333333"/>
          <w:sz w:val="22"/>
          <w:szCs w:val="22"/>
        </w:rPr>
        <w:t>9</w:t>
      </w:r>
      <w:r>
        <w:rPr>
          <w:rFonts w:ascii="宋体" w:hAnsi="宋体" w:cs="宋体" w:hint="eastAsia"/>
          <w:color w:val="333333"/>
          <w:sz w:val="22"/>
          <w:szCs w:val="22"/>
        </w:rPr>
        <w:t>月</w:t>
      </w:r>
      <w:r>
        <w:rPr>
          <w:rFonts w:ascii="宋体" w:hAnsi="宋体" w:cs="宋体"/>
          <w:color w:val="333333"/>
          <w:sz w:val="22"/>
          <w:szCs w:val="22"/>
        </w:rPr>
        <w:t>24</w:t>
      </w:r>
      <w:r>
        <w:rPr>
          <w:rFonts w:ascii="宋体" w:hAnsi="宋体" w:cs="宋体" w:hint="eastAsia"/>
          <w:color w:val="333333"/>
          <w:sz w:val="22"/>
          <w:szCs w:val="22"/>
        </w:rPr>
        <w:t>日河北省第九届人民代表大会常务委员会第十一次会议修订　根据</w:t>
      </w:r>
      <w:r>
        <w:rPr>
          <w:rFonts w:ascii="宋体" w:hAnsi="宋体" w:cs="宋体"/>
          <w:color w:val="333333"/>
          <w:sz w:val="22"/>
          <w:szCs w:val="22"/>
        </w:rPr>
        <w:t>2002</w:t>
      </w:r>
      <w:r>
        <w:rPr>
          <w:rFonts w:ascii="宋体" w:hAnsi="宋体" w:cs="宋体" w:hint="eastAsia"/>
          <w:color w:val="333333"/>
          <w:sz w:val="22"/>
          <w:szCs w:val="22"/>
        </w:rPr>
        <w:t>年</w:t>
      </w:r>
      <w:r>
        <w:rPr>
          <w:rFonts w:ascii="宋体" w:hAnsi="宋体" w:cs="宋体"/>
          <w:color w:val="333333"/>
          <w:sz w:val="22"/>
          <w:szCs w:val="22"/>
        </w:rPr>
        <w:t>3</w:t>
      </w:r>
      <w:r>
        <w:rPr>
          <w:rFonts w:ascii="宋体" w:hAnsi="宋体" w:cs="宋体" w:hint="eastAsia"/>
          <w:color w:val="333333"/>
          <w:sz w:val="22"/>
          <w:szCs w:val="22"/>
        </w:rPr>
        <w:t>月</w:t>
      </w:r>
      <w:r>
        <w:rPr>
          <w:rFonts w:ascii="宋体" w:hAnsi="宋体" w:cs="宋体"/>
          <w:color w:val="333333"/>
          <w:sz w:val="22"/>
          <w:szCs w:val="22"/>
        </w:rPr>
        <w:t>30</w:t>
      </w:r>
      <w:r>
        <w:rPr>
          <w:rFonts w:ascii="宋体" w:hAnsi="宋体" w:cs="宋体" w:hint="eastAsia"/>
          <w:color w:val="333333"/>
          <w:sz w:val="22"/>
          <w:szCs w:val="22"/>
        </w:rPr>
        <w:t>日河北省第九届人民代表大会常务委员会第二十六次会议《关于修改</w:t>
      </w:r>
      <w:r>
        <w:rPr>
          <w:rFonts w:ascii="宋体" w:hAnsi="宋体" w:cs="宋体"/>
          <w:color w:val="333333"/>
          <w:sz w:val="22"/>
          <w:szCs w:val="22"/>
        </w:rPr>
        <w:t>&lt;</w:t>
      </w:r>
      <w:r>
        <w:rPr>
          <w:rFonts w:ascii="宋体" w:hAnsi="宋体" w:cs="宋体" w:hint="eastAsia"/>
          <w:color w:val="333333"/>
          <w:sz w:val="22"/>
          <w:szCs w:val="22"/>
        </w:rPr>
        <w:t>河北省土地管理条例</w:t>
      </w:r>
      <w:r>
        <w:rPr>
          <w:rFonts w:ascii="宋体" w:hAnsi="宋体" w:cs="宋体"/>
          <w:color w:val="333333"/>
          <w:sz w:val="22"/>
          <w:szCs w:val="22"/>
        </w:rPr>
        <w:t>&gt;</w:t>
      </w:r>
      <w:r>
        <w:rPr>
          <w:rFonts w:ascii="宋体" w:hAnsi="宋体" w:cs="宋体" w:hint="eastAsia"/>
          <w:color w:val="333333"/>
          <w:sz w:val="22"/>
          <w:szCs w:val="22"/>
        </w:rPr>
        <w:t>的决定》第四次修正　根据</w:t>
      </w:r>
      <w:r>
        <w:rPr>
          <w:rFonts w:ascii="宋体" w:hAnsi="宋体" w:cs="宋体"/>
          <w:color w:val="333333"/>
          <w:sz w:val="22"/>
          <w:szCs w:val="22"/>
        </w:rPr>
        <w:t>2005</w:t>
      </w:r>
      <w:r>
        <w:rPr>
          <w:rFonts w:ascii="宋体" w:hAnsi="宋体" w:cs="宋体" w:hint="eastAsia"/>
          <w:color w:val="333333"/>
          <w:sz w:val="22"/>
          <w:szCs w:val="22"/>
        </w:rPr>
        <w:t>年</w:t>
      </w:r>
      <w:r>
        <w:rPr>
          <w:rFonts w:ascii="宋体" w:hAnsi="宋体" w:cs="宋体"/>
          <w:color w:val="333333"/>
          <w:sz w:val="22"/>
          <w:szCs w:val="22"/>
        </w:rPr>
        <w:t>5</w:t>
      </w:r>
      <w:r>
        <w:rPr>
          <w:rFonts w:ascii="宋体" w:hAnsi="宋体" w:cs="宋体" w:hint="eastAsia"/>
          <w:color w:val="333333"/>
          <w:sz w:val="22"/>
          <w:szCs w:val="22"/>
        </w:rPr>
        <w:t>月</w:t>
      </w:r>
      <w:r>
        <w:rPr>
          <w:rFonts w:ascii="宋体" w:hAnsi="宋体" w:cs="宋体"/>
          <w:color w:val="333333"/>
          <w:sz w:val="22"/>
          <w:szCs w:val="22"/>
        </w:rPr>
        <w:t>27</w:t>
      </w:r>
      <w:r>
        <w:rPr>
          <w:rFonts w:ascii="宋体" w:hAnsi="宋体" w:cs="宋体" w:hint="eastAsia"/>
          <w:color w:val="333333"/>
          <w:sz w:val="22"/>
          <w:szCs w:val="22"/>
        </w:rPr>
        <w:t>日河北省第十届人民代表大会常务委员会第十五次会议《关于修改</w:t>
      </w:r>
      <w:r>
        <w:rPr>
          <w:rFonts w:ascii="宋体" w:hAnsi="宋体" w:cs="宋体"/>
          <w:color w:val="333333"/>
          <w:sz w:val="22"/>
          <w:szCs w:val="22"/>
        </w:rPr>
        <w:t>&lt;</w:t>
      </w:r>
      <w:r>
        <w:rPr>
          <w:rFonts w:ascii="宋体" w:hAnsi="宋体" w:cs="宋体" w:hint="eastAsia"/>
          <w:color w:val="333333"/>
          <w:sz w:val="22"/>
          <w:szCs w:val="22"/>
        </w:rPr>
        <w:t>河北省土地管理条例</w:t>
      </w:r>
      <w:r>
        <w:rPr>
          <w:rFonts w:ascii="宋体" w:hAnsi="宋体" w:cs="宋体"/>
          <w:color w:val="333333"/>
          <w:sz w:val="22"/>
          <w:szCs w:val="22"/>
        </w:rPr>
        <w:t>&gt;</w:t>
      </w:r>
      <w:r>
        <w:rPr>
          <w:rFonts w:ascii="宋体" w:hAnsi="宋体" w:cs="宋体" w:hint="eastAsia"/>
          <w:color w:val="333333"/>
          <w:sz w:val="22"/>
          <w:szCs w:val="22"/>
        </w:rPr>
        <w:t>的决定》第五次修正根据</w:t>
      </w:r>
      <w:r>
        <w:rPr>
          <w:rFonts w:ascii="宋体" w:hAnsi="宋体" w:cs="宋体"/>
          <w:color w:val="333333"/>
          <w:sz w:val="22"/>
          <w:szCs w:val="22"/>
        </w:rPr>
        <w:t>2014</w:t>
      </w:r>
      <w:r>
        <w:rPr>
          <w:rFonts w:ascii="宋体" w:hAnsi="宋体" w:cs="宋体" w:hint="eastAsia"/>
          <w:color w:val="333333"/>
          <w:sz w:val="22"/>
          <w:szCs w:val="22"/>
        </w:rPr>
        <w:t>年</w:t>
      </w:r>
      <w:r>
        <w:rPr>
          <w:rFonts w:ascii="宋体" w:hAnsi="宋体" w:cs="宋体"/>
          <w:color w:val="333333"/>
          <w:sz w:val="22"/>
          <w:szCs w:val="22"/>
        </w:rPr>
        <w:t>9</w:t>
      </w:r>
      <w:r>
        <w:rPr>
          <w:rFonts w:ascii="宋体" w:hAnsi="宋体" w:cs="宋体" w:hint="eastAsia"/>
          <w:color w:val="333333"/>
          <w:sz w:val="22"/>
          <w:szCs w:val="22"/>
        </w:rPr>
        <w:t>月</w:t>
      </w:r>
      <w:r>
        <w:rPr>
          <w:rFonts w:ascii="宋体" w:hAnsi="宋体" w:cs="宋体"/>
          <w:color w:val="333333"/>
          <w:sz w:val="22"/>
          <w:szCs w:val="22"/>
        </w:rPr>
        <w:t>26</w:t>
      </w:r>
      <w:r>
        <w:rPr>
          <w:rFonts w:ascii="宋体" w:hAnsi="宋体" w:cs="宋体" w:hint="eastAsia"/>
          <w:color w:val="333333"/>
          <w:sz w:val="22"/>
          <w:szCs w:val="22"/>
        </w:rPr>
        <w:t>日河北省第十二届人民代表大会常务委员会第十次会议《关于修改部分法规的决定》第六次修正）</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hint="eastAsia"/>
          <w:b/>
          <w:bCs/>
          <w:color w:val="333333"/>
        </w:rPr>
        <w:t>第一章</w:t>
      </w:r>
      <w:r>
        <w:rPr>
          <w:rFonts w:ascii="Times New Roman" w:hAnsi="Times New Roman" w:hint="eastAsia"/>
          <w:b/>
          <w:bCs/>
          <w:color w:val="333333"/>
        </w:rPr>
        <w:t xml:space="preserve">　总则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第一条</w:t>
      </w:r>
      <w:r>
        <w:rPr>
          <w:rFonts w:ascii="Times New Roman" w:hAnsi="Times New Roman" w:hint="eastAsia"/>
          <w:color w:val="333333"/>
          <w:kern w:val="2"/>
          <w:sz w:val="22"/>
          <w:szCs w:val="22"/>
        </w:rPr>
        <w:t xml:space="preserve">　为加强土地管理，合理利用土地，切实保护耕地，促进社会经济可持续发展，根据《中华人民共和国土地管理法》、《中华人民共和国土地管理法实施条例》，结合本省实际，制定本条例。</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第二条　</w:t>
      </w:r>
      <w:r>
        <w:rPr>
          <w:rFonts w:ascii="Times New Roman" w:hAnsi="Times New Roman" w:hint="eastAsia"/>
          <w:color w:val="333333"/>
          <w:kern w:val="2"/>
          <w:sz w:val="22"/>
          <w:szCs w:val="22"/>
        </w:rPr>
        <w:t>本条例适用于本省行政区域内土地的管理和使用。</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第三条　</w:t>
      </w:r>
      <w:r>
        <w:rPr>
          <w:rFonts w:ascii="Times New Roman" w:hAnsi="Times New Roman" w:hint="eastAsia"/>
          <w:color w:val="333333"/>
          <w:kern w:val="2"/>
          <w:sz w:val="22"/>
          <w:szCs w:val="22"/>
        </w:rPr>
        <w:t>本省依法实行土地的全民所有制和农民集体所有制，实行国有土地有偿使用制度、土地使用权流转制度和土地用途管制制度。禁止侵占、买卖或者以其他形式非法转让土地。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第四条　</w:t>
      </w:r>
      <w:r>
        <w:rPr>
          <w:rFonts w:ascii="Times New Roman" w:hAnsi="Times New Roman" w:hint="eastAsia"/>
          <w:color w:val="333333"/>
          <w:kern w:val="2"/>
          <w:sz w:val="22"/>
          <w:szCs w:val="22"/>
        </w:rPr>
        <w:t>各级人民政府必须贯彻十分珍惜、合理利用土地和切实保护耕地的基本国策，加强土地资源与资产管理，全面规划，依法行政，保证本条例的贯彻实施。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第五条　</w:t>
      </w:r>
      <w:r>
        <w:rPr>
          <w:rFonts w:ascii="Times New Roman" w:hAnsi="Times New Roman" w:hint="eastAsia"/>
          <w:color w:val="333333"/>
          <w:kern w:val="2"/>
          <w:sz w:val="22"/>
          <w:szCs w:val="22"/>
        </w:rPr>
        <w:t>县级以上人民政府土地行政主管部门统一负责本行政区域内的土地管理和监督工作。</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第二章土地权利的确认和变更</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第六条　</w:t>
      </w:r>
      <w:r>
        <w:rPr>
          <w:rFonts w:ascii="Times New Roman" w:hAnsi="Times New Roman" w:hint="eastAsia"/>
          <w:color w:val="333333"/>
          <w:kern w:val="2"/>
          <w:sz w:val="22"/>
          <w:szCs w:val="22"/>
        </w:rPr>
        <w:t>本省依法实行土地所有权、使用权及他项权利的登记发证制度。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未按本条例登记发证的，其土地权利不受法律保护。</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土地他项权利是指在已经确定了所有权和使用权的土地上设定的其他利用土地的权利，包括抵押权、租赁权、空中权、地下权等。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第七条　</w:t>
      </w:r>
      <w:r>
        <w:rPr>
          <w:rFonts w:ascii="Times New Roman" w:hAnsi="Times New Roman" w:hint="eastAsia"/>
          <w:color w:val="333333"/>
          <w:kern w:val="2"/>
          <w:sz w:val="22"/>
          <w:szCs w:val="22"/>
        </w:rPr>
        <w:t>农民集体所有土地的所有者、使用者，应当向市、县土地行政主管部门提出登记申请，经审核同意，由市、县人民政府进行登记，核发《集体土地所有证》、《集体土地使用证》。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国有土地使用者应当向市、县土地行政主管部门提出登记申请，经审核同意，由市、县人民政府进行登记，核发《国有土地使用证》。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确认农民集体所有的农用地承包经营权、林地和草原的所有权或者使用权、水面和滩涂的养殖使用权的，依照《中华人民共和国森林法》、《中华人民共和国草原法》、《中华人民共和国渔业法》等法律、法规办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第八条　</w:t>
      </w:r>
      <w:r>
        <w:rPr>
          <w:rFonts w:ascii="Times New Roman" w:hAnsi="Times New Roman" w:hint="eastAsia"/>
          <w:color w:val="333333"/>
          <w:kern w:val="2"/>
          <w:sz w:val="22"/>
          <w:szCs w:val="22"/>
        </w:rPr>
        <w:t>需要设定土地他项权利的，当事人应当向原登记机关的土地行政主管部门提出登记申请，经审核同意由原登记机关进行登记，核发土地他项权利证书。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第九条　</w:t>
      </w:r>
      <w:r>
        <w:rPr>
          <w:rFonts w:ascii="Times New Roman" w:hAnsi="Times New Roman" w:hint="eastAsia"/>
          <w:color w:val="333333"/>
          <w:kern w:val="2"/>
          <w:sz w:val="22"/>
          <w:szCs w:val="22"/>
        </w:rPr>
        <w:t>依法改变土地所有权、使用权、他项权利和土地用途的，应当在规定期限内向原登记机关的土地行政主管部门提出变更登记申请，经审核同意，由原登记机关办理变更登记手续。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第十条　</w:t>
      </w:r>
      <w:r>
        <w:rPr>
          <w:rFonts w:ascii="Times New Roman" w:hAnsi="Times New Roman" w:hint="eastAsia"/>
          <w:color w:val="333333"/>
          <w:kern w:val="2"/>
          <w:sz w:val="22"/>
          <w:szCs w:val="22"/>
        </w:rPr>
        <w:t>依法收回农民集体土地使用权或者终止土地他项权利的，当事人应当持有关文件，向原登记机关的土地行政主管部门提出注销登记申请，经审核同意，由原登记机关注销土地使用权或者他项权利登记。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依法收回国有土地使用权的，由原登记机关根据有关批准文件，注销土地使用权登记；依照合同的约定收回国有土地使用权的，由原登记机关根据合同，注销土地使用权登记。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第十一条　</w:t>
      </w:r>
      <w:r>
        <w:rPr>
          <w:rFonts w:ascii="Times New Roman" w:hAnsi="Times New Roman" w:hint="eastAsia"/>
          <w:color w:val="333333"/>
          <w:kern w:val="2"/>
          <w:sz w:val="22"/>
          <w:szCs w:val="22"/>
        </w:rPr>
        <w:t>城市市区内未经征收的集体土地依法转为国有后，原土地使用权人拥有该土地的划拨国有土地使用权。为公共利益或者实施城市规划需要收回该土地使用权时，应当为原土地使用权人提供新的用地或者按照征收土地的补偿标准给予适当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第十二条　</w:t>
      </w:r>
      <w:r>
        <w:rPr>
          <w:rFonts w:ascii="Times New Roman" w:hAnsi="Times New Roman" w:hint="eastAsia"/>
          <w:color w:val="333333"/>
          <w:kern w:val="2"/>
          <w:sz w:val="22"/>
          <w:szCs w:val="22"/>
        </w:rPr>
        <w:t>有下列情形之一，确需调整土地所有权的，必须经省人民政府批准，由县级以上人民政府组织实施：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（一）因修建大型水利工程、保护生态环境和改善自然环境恶劣地区农民生活件等原因，国家组织农民集体迁移的；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（二）因交通、水利等工程项目改变位置的；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（三）因实施土地利用总体规划必须调整土地的；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（四）其他原因确需调整土地的。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第十三条　</w:t>
      </w:r>
      <w:r>
        <w:rPr>
          <w:rFonts w:ascii="Times New Roman" w:hAnsi="Times New Roman" w:hint="eastAsia"/>
          <w:color w:val="333333"/>
          <w:kern w:val="2"/>
          <w:sz w:val="22"/>
          <w:szCs w:val="22"/>
        </w:rPr>
        <w:t>农民集体所有的土地，实行家庭承包经营为基础、统分结合的双层经营制度。农民承包经营本集体所有的农用地，承包经营期限为三十年。本集体经济组织以外的单位或者个人承包农民集体所有的农用地，承包期限由合同约定。</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土地承包权可以依法转让，在承包期内，承包人可以将土地使用权依法转包、互换、入股、联营。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土地承包权和土地使用权流转，应当遵循平等协商、自愿有偿、经发包方同意和不改变承包合同规定的土地用途、不改变土地所有权等原则。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第十四条　</w:t>
      </w:r>
      <w:r>
        <w:rPr>
          <w:rFonts w:ascii="Times New Roman" w:hAnsi="Times New Roman" w:hint="eastAsia"/>
          <w:color w:val="333333"/>
          <w:kern w:val="2"/>
          <w:sz w:val="22"/>
          <w:szCs w:val="22"/>
        </w:rPr>
        <w:t>发生土地权属争议，由当事人协商解决。协商不成的，应当依法报请人民政府处理。发生权属争议的土地跨行政区域的，由其共同的上级人民政府处理。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人民政府处理土地权属争议，应当下达处理决定书。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　土地利用总体规划</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第十五条　</w:t>
      </w:r>
      <w:r>
        <w:rPr>
          <w:rFonts w:ascii="Times New Roman" w:hAnsi="Times New Roman" w:hint="eastAsia"/>
          <w:color w:val="333333"/>
          <w:kern w:val="2"/>
          <w:sz w:val="22"/>
          <w:szCs w:val="22"/>
        </w:rPr>
        <w:t>县级以上的土地利用总体规划，由同级人民政府组织土地行政主管部门和有关部门共同编制，依照《中华人民共和国土地管理法》规定的审批权限报有批准权的人民政府批准。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乡级土地利用总体规划由乡级人民政府组织编制，逐级报由省人民政府委托的设区的市人民政府批准，报省土地行政主管部门备案。</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第十六条　</w:t>
      </w:r>
      <w:r>
        <w:rPr>
          <w:rFonts w:ascii="Times New Roman" w:hAnsi="Times New Roman" w:hint="eastAsia"/>
          <w:color w:val="333333"/>
          <w:kern w:val="2"/>
          <w:sz w:val="22"/>
          <w:szCs w:val="22"/>
        </w:rPr>
        <w:t>土地利用总体规划应当符合上一级土地利用总体规划和本级国民经济和社会发展规划、国土规划，所依据的土地调查资料、土地统计资料和其他有关资料必须真实可靠。</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第十七条　</w:t>
      </w:r>
      <w:r>
        <w:rPr>
          <w:rFonts w:ascii="Times New Roman" w:hAnsi="Times New Roman" w:hint="eastAsia"/>
          <w:color w:val="333333"/>
          <w:kern w:val="2"/>
          <w:sz w:val="22"/>
          <w:szCs w:val="22"/>
        </w:rPr>
        <w:t>编制土地利用总体规划，应当对土地利用现状和土地资源潜力进行综合分析研究，明确规划期内的土地利用目标和基本方针，确定各类用地的控制指标，调整土地利用的结构和布局，提出实施规划的政策和措施。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第十八条　</w:t>
      </w:r>
      <w:r>
        <w:rPr>
          <w:rFonts w:ascii="Times New Roman" w:hAnsi="Times New Roman" w:hint="eastAsia"/>
          <w:color w:val="333333"/>
          <w:kern w:val="2"/>
          <w:sz w:val="22"/>
          <w:szCs w:val="22"/>
        </w:rPr>
        <w:t>编制土地利用总体规划，应当结合当地土地资源实际状况拟订方案，与有关部门和上、下级人民政府充分协调，组织有关专家和部门科学论证，并广泛征求社会公众的意见。</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第十九条　</w:t>
      </w:r>
      <w:r>
        <w:rPr>
          <w:rFonts w:ascii="Times New Roman" w:hAnsi="Times New Roman" w:hint="eastAsia"/>
          <w:color w:val="333333"/>
          <w:kern w:val="2"/>
          <w:sz w:val="22"/>
          <w:szCs w:val="22"/>
        </w:rPr>
        <w:t>省土地利用总体规划应当确保全省耕地总量不减少，确定的基本农田面积应当占全省耕地总面积的百分之八十以上。</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设区的市土地利用总体规划，应当划定城市市区的建设用地范围。</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县（市）、乡（镇）土地利用总体规划应当根据实际情况，划分基本农田保护区、自然保护区、一般农田区、林业用地区、牧业用地区、渔业用地区、城市建设用地区、村庄和集镇建设用地区、独立工业矿业用地区、土地开垦区、禁止开垦区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第二十条　</w:t>
      </w:r>
      <w:r>
        <w:rPr>
          <w:rFonts w:ascii="Times New Roman" w:hAnsi="Times New Roman" w:hint="eastAsia"/>
          <w:color w:val="333333"/>
          <w:kern w:val="2"/>
          <w:sz w:val="22"/>
          <w:szCs w:val="22"/>
        </w:rPr>
        <w:t>土地利用年度计划建议由县级以上人民政府土地行政主管部门会同有关部门提出，经同级人民政府审核同意，报上一级人民政府土地行政主管部门汇总平衡。</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县级以上人民政府土地行政主管部门应当将上级下达的农用地转用计划指标、耕地保有量计划指标和土地开发整理计划指标逐级分解，拟订实施方案，经同级人民政府批准后下达。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对没有农用地转用计划指标的，不得批准农用地转用。未实现耕地保有量计划指标和土地开发整理计划指标的，核减下一年度的农用地转用计划指标。节约的农用地转用计划指标，逐级报经省土地行政主管部门核准后，可以结转下一年度使用。</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第二十一条　</w:t>
      </w:r>
      <w:r>
        <w:rPr>
          <w:rFonts w:ascii="Times New Roman" w:hAnsi="Times New Roman" w:hint="eastAsia"/>
          <w:color w:val="333333"/>
          <w:kern w:val="2"/>
          <w:sz w:val="22"/>
          <w:szCs w:val="22"/>
        </w:rPr>
        <w:t>县（市）以上人民政府应当将土地利用年度计划的执行情况列入国民经济和社会发展计划执行情况的内容，向同级人民代表大会报告。</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第二十二条　</w:t>
      </w:r>
      <w:r>
        <w:rPr>
          <w:rFonts w:ascii="Times New Roman" w:hAnsi="Times New Roman" w:hint="eastAsia"/>
          <w:color w:val="333333"/>
          <w:kern w:val="2"/>
          <w:sz w:val="22"/>
          <w:szCs w:val="22"/>
        </w:rPr>
        <w:t>市、县土地行政主管部门应当根据土地等级、土地收益和土地市场交易价格，评定城市基准地价和标定地价，评定结果经同级人民政府批准后，向社会公布。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第二十三条　</w:t>
      </w:r>
      <w:r>
        <w:rPr>
          <w:rFonts w:ascii="Times New Roman" w:hAnsi="Times New Roman" w:hint="eastAsia"/>
          <w:color w:val="333333"/>
          <w:kern w:val="2"/>
          <w:sz w:val="22"/>
          <w:szCs w:val="22"/>
        </w:rPr>
        <w:t>县级以上人民政府土地行政主管部门负责建立本行政区域内的土地管理信息系统，对土地利用状况进行动态监测。</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　耕地保护</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第二十四条　</w:t>
      </w:r>
      <w:r>
        <w:rPr>
          <w:rFonts w:ascii="Times New Roman" w:hAnsi="Times New Roman" w:hint="eastAsia"/>
          <w:color w:val="333333"/>
          <w:kern w:val="2"/>
          <w:sz w:val="22"/>
          <w:szCs w:val="22"/>
        </w:rPr>
        <w:t>县级和乡级人民政府应当依法划定基本农田保护区。</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除国家重点建设项目确需占用基本农田外，任何单位和个人不得占用基本农田进行建设。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第二十五条　</w:t>
      </w:r>
      <w:r>
        <w:rPr>
          <w:rFonts w:ascii="Times New Roman" w:hAnsi="Times New Roman" w:hint="eastAsia"/>
          <w:color w:val="333333"/>
          <w:kern w:val="2"/>
          <w:sz w:val="22"/>
          <w:szCs w:val="22"/>
        </w:rPr>
        <w:t>为实施土地利用总体规划和保护生态环境的需要，进行退耕还林、还草的，由省人民政府下达指标，市、县人民政府组织实施。</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因退耕还林、还草减少的耕地，由省土地行政主管部门组织异地开垦与其面积和质量相当的耕地，并且按照规定拨付耕地开垦费。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第二十六条　</w:t>
      </w:r>
      <w:r>
        <w:rPr>
          <w:rFonts w:ascii="Times New Roman" w:hAnsi="Times New Roman" w:hint="eastAsia"/>
          <w:color w:val="333333"/>
          <w:kern w:val="2"/>
          <w:sz w:val="22"/>
          <w:szCs w:val="22"/>
        </w:rPr>
        <w:t>因自然灾害损毁的耕地，由土地的所有者、使用者或者承包经营者负责恢复，人民政府可以给予适当补助；无法恢复的，由省土地行政主管部门委托市、县土地行政主管部门组织开垦与其面积和质量相当的耕地，并且按照规定拨付耕地开垦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第二十七条　</w:t>
      </w:r>
      <w:r>
        <w:rPr>
          <w:rFonts w:ascii="Times New Roman" w:hAnsi="Times New Roman" w:hint="eastAsia"/>
          <w:color w:val="333333"/>
          <w:kern w:val="2"/>
          <w:sz w:val="22"/>
          <w:szCs w:val="22"/>
        </w:rPr>
        <w:t>禁止占用耕地建窑、建坟或者擅自在耕地上建房、挖砂、采石、采矿、取土等。</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第二十八条　</w:t>
      </w:r>
      <w:r>
        <w:rPr>
          <w:rFonts w:ascii="Times New Roman" w:hAnsi="Times New Roman" w:hint="eastAsia"/>
          <w:color w:val="333333"/>
          <w:kern w:val="2"/>
          <w:sz w:val="22"/>
          <w:szCs w:val="22"/>
        </w:rPr>
        <w:t>非农业建设占用耕地，没有条件开垦或者开垦的耕地经最终验收不合格的，占用耕地的单位应当按照省人民政府规定的标准，向县（市）以上土地行政主管部门缴纳耕地开垦费，由土地行政主管部门用于组织开垦与占用耕地的面积和质量相当的耕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第二十九条　</w:t>
      </w:r>
      <w:r>
        <w:rPr>
          <w:rFonts w:ascii="Times New Roman" w:hAnsi="Times New Roman" w:hint="eastAsia"/>
          <w:color w:val="333333"/>
          <w:kern w:val="2"/>
          <w:sz w:val="22"/>
          <w:szCs w:val="22"/>
        </w:rPr>
        <w:t>经依法批准占用土地进行建设的，应当在批准的动工建设之日起一年内动工建设，不得造成土地闲置。</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因闲置依法收回的国有土地所有权性质不变，可以安排其他建设项目使用，也可以安排原集体经济组织耕种。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第三十条　</w:t>
      </w:r>
      <w:r>
        <w:rPr>
          <w:rFonts w:ascii="Times New Roman" w:hAnsi="Times New Roman" w:hint="eastAsia"/>
          <w:color w:val="333333"/>
          <w:kern w:val="2"/>
          <w:sz w:val="22"/>
          <w:szCs w:val="22"/>
        </w:rPr>
        <w:t>开发土地必须经过科学论证，不得在土地利用总体规划确定的禁止开垦区内从事开发活动，不得造成环境破坏和土地荒漠化、盐渍化。</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第三十一条　</w:t>
      </w:r>
      <w:r>
        <w:rPr>
          <w:rFonts w:ascii="Times New Roman" w:hAnsi="Times New Roman" w:hint="eastAsia"/>
          <w:color w:val="333333"/>
          <w:kern w:val="2"/>
          <w:sz w:val="22"/>
          <w:szCs w:val="22"/>
        </w:rPr>
        <w:t>在土地利用总体规划确定的土地开垦区内，开发未确定使用权的国有荒山、荒地、荒滩从事种植业、林业、畜牧业和渔业生产的，应当向市、县土地行政主管部门提出申请，按照规定权限由县级以上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第三十二条　</w:t>
      </w:r>
      <w:r>
        <w:rPr>
          <w:rFonts w:ascii="Times New Roman" w:hAnsi="Times New Roman" w:hint="eastAsia"/>
          <w:color w:val="333333"/>
          <w:kern w:val="2"/>
          <w:sz w:val="22"/>
          <w:szCs w:val="22"/>
        </w:rPr>
        <w:t>因挖损、塌陷、压占等造成土地破坏的，必须进行复垦；没有条件复垦或者复垦的土地经最终验收不合格的，造成土地破坏的单位或者个人应当根据破坏土地的面积和破坏程度，按照每平方米五元至二十元的标准，向市、县土地行政主管部门缴纳土地复垦费，由收取复垦费的土地行政主管部门统一组织复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第三十三条　</w:t>
      </w:r>
      <w:r>
        <w:rPr>
          <w:rFonts w:ascii="Times New Roman" w:hAnsi="Times New Roman" w:hint="eastAsia"/>
          <w:color w:val="333333"/>
          <w:kern w:val="2"/>
          <w:sz w:val="22"/>
          <w:szCs w:val="22"/>
        </w:rPr>
        <w:t>土地整理后增加的耕地面积，可以用作充抵建设和农业结构调整占用耕地的补偿指标。</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第三十四条　</w:t>
      </w:r>
      <w:r>
        <w:rPr>
          <w:rFonts w:ascii="Times New Roman" w:hAnsi="Times New Roman" w:hint="eastAsia"/>
          <w:color w:val="333333"/>
          <w:kern w:val="2"/>
          <w:sz w:val="22"/>
          <w:szCs w:val="22"/>
        </w:rPr>
        <w:t>县（市）以上人民政府应当建立耕地开垦专项资金，用于土地开垦、整理和复垦。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耕地开垦专项资金由新增建设用地的土地有偿使用费、耕地开垦费、土地复垦费、土地闲置费、新菜地开发建设基金、新型墙体材料开发费分成以及人民政府拨付的其他资金组成。具体管理使用办法，由省人民政府规定。</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　建设用地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第三十五条　</w:t>
      </w:r>
      <w:r>
        <w:rPr>
          <w:rFonts w:ascii="Times New Roman" w:hAnsi="Times New Roman" w:hint="eastAsia"/>
          <w:color w:val="333333"/>
          <w:kern w:val="2"/>
          <w:sz w:val="22"/>
          <w:szCs w:val="22"/>
        </w:rPr>
        <w:t>对非农业建设用地，必须依法提供土地利用总体规划确定的城市、村庄和集镇建设用地范围内的土地。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进行能源、交通、水利、矿山和军事设施等项目建设，经依法批准，可以提供前款规定之外的土地。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第三十六条　</w:t>
      </w:r>
      <w:r>
        <w:rPr>
          <w:rFonts w:ascii="Times New Roman" w:hAnsi="Times New Roman" w:hint="eastAsia"/>
          <w:color w:val="333333"/>
          <w:kern w:val="2"/>
          <w:sz w:val="22"/>
          <w:szCs w:val="22"/>
        </w:rPr>
        <w:t>农用地转为建设用地的，由市、县土地行政主管部门根据土地利用年度计划，制订农用地分批次转用方案，其中占用耕地的应当同时制订补充耕地方案，经同级人民政府审核同意，逐级报有批准权的人民政府审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第三十七条　</w:t>
      </w:r>
      <w:r>
        <w:rPr>
          <w:rFonts w:ascii="Times New Roman" w:hAnsi="Times New Roman" w:hint="eastAsia"/>
          <w:color w:val="333333"/>
          <w:kern w:val="2"/>
          <w:sz w:val="22"/>
          <w:szCs w:val="22"/>
        </w:rPr>
        <w:t>征收农民集体所有土地的，由市、县土地行政主管部门拟订土地征收方案，经同级人民政府审核同意，逐级报有批准权的人民政府审批。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第三十八条　</w:t>
      </w:r>
      <w:r>
        <w:rPr>
          <w:rFonts w:ascii="Times New Roman" w:hAnsi="Times New Roman" w:hint="eastAsia"/>
          <w:color w:val="333333"/>
          <w:kern w:val="2"/>
          <w:sz w:val="22"/>
          <w:szCs w:val="22"/>
        </w:rPr>
        <w:t>征收耕地的土地补偿费，为该耕地被征收前三年平均年产值的六倍至十倍。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征收耕地以外的其他农用地和建设用地的土地补偿费，为该土地所在乡（镇）耕地前三年平均年产值的五倍至八倍。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征收未利用地的土地补偿费，为该土地所在乡（镇）耕地前三年平均年产值的三倍至五倍。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第三十九条　</w:t>
      </w:r>
      <w:r>
        <w:rPr>
          <w:rFonts w:ascii="Times New Roman" w:hAnsi="Times New Roman" w:hint="eastAsia"/>
          <w:color w:val="333333"/>
          <w:kern w:val="2"/>
          <w:sz w:val="22"/>
          <w:szCs w:val="22"/>
        </w:rPr>
        <w:t>征收耕地的安置补助费，为该耕地被征收前三年平均年产值的四倍至六倍。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征收耕地以外的其他农用地和建设用地的安置补助费，为该土地所在乡（镇）耕地前三年平均年产值的四倍至六倍。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征收未利用地的，不支付安置补助费。</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第四十条　</w:t>
      </w:r>
      <w:r>
        <w:rPr>
          <w:rFonts w:ascii="Times New Roman" w:hAnsi="Times New Roman" w:hint="eastAsia"/>
          <w:color w:val="333333"/>
          <w:kern w:val="2"/>
          <w:sz w:val="22"/>
          <w:szCs w:val="22"/>
        </w:rPr>
        <w:t>依照本条例第三十八条和第三十九条规定支付土地补偿费和安置补助费后，尚不能使需要安置的农民保持原有生活水平的，经省人民政府批准，可以再增加安置补助费。但是，土地补偿费和安置补助费的总和不得超过下列限额：</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（一）征收耕地的，不得超过该耕地被征收前三年平均年产值的三十倍；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（二）征收耕地以外的其他农用地和建设用地的，不得超过该土地所在乡（镇）耕地前三年平均年产值的二十五倍。</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第四十一条　</w:t>
      </w:r>
      <w:r>
        <w:rPr>
          <w:rFonts w:ascii="Times New Roman" w:hAnsi="Times New Roman" w:hint="eastAsia"/>
          <w:color w:val="333333"/>
          <w:kern w:val="2"/>
          <w:sz w:val="22"/>
          <w:szCs w:val="22"/>
        </w:rPr>
        <w:t>征收土地的青苗补偿费按当季作物的产值计算。地上附着物补偿费标准由设区的市人民政府制定，报省人民政府批准后执行。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第四十二条　</w:t>
      </w:r>
      <w:r>
        <w:rPr>
          <w:rFonts w:ascii="Times New Roman" w:hAnsi="Times New Roman" w:hint="eastAsia"/>
          <w:color w:val="333333"/>
          <w:kern w:val="2"/>
          <w:sz w:val="22"/>
          <w:szCs w:val="22"/>
        </w:rPr>
        <w:t>在土地利用总体规划确定的城市建设用地范围外，建设项目使用国有未利用地的，除依法应当报国务院批准的外，其供地方案由省人民政府批准。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第四十三条　</w:t>
      </w:r>
      <w:r>
        <w:rPr>
          <w:rFonts w:ascii="Times New Roman" w:hAnsi="Times New Roman" w:hint="eastAsia"/>
          <w:color w:val="333333"/>
          <w:kern w:val="2"/>
          <w:sz w:val="22"/>
          <w:szCs w:val="22"/>
        </w:rPr>
        <w:t>有偿提供国有土地使用权的，应当采取招标、拍卖的方式；没有条件采取招标、拍卖方式的，可以采取协议方式。</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以协议方式有偿提供国有土地使用权或者以行政划拨方式提供国有土地使用权的，由建设单位向市、县土地行政主管部门提出建设用地申请，土地行政主管部门审查同意后，拟订供地方案，逐级报有批准权的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第四十四条　</w:t>
      </w:r>
      <w:r>
        <w:rPr>
          <w:rFonts w:ascii="Times New Roman" w:hAnsi="Times New Roman" w:hint="eastAsia"/>
          <w:color w:val="333333"/>
          <w:kern w:val="2"/>
          <w:sz w:val="22"/>
          <w:szCs w:val="22"/>
        </w:rPr>
        <w:t>新增建设用地的土地有偿使用费，专项用于耕地开发和土地整理，任何单位和个人不得挪用。各级上缴比例由省人民政府根据《中华人民共和国土地管理法》作出规定。</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原有建设用地的土地有偿使用费，全部留给市、县人民政府，专项用于城市基础设施建设和土地储备。</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第四十五条　</w:t>
      </w:r>
      <w:r>
        <w:rPr>
          <w:rFonts w:ascii="Times New Roman" w:hAnsi="Times New Roman" w:hint="eastAsia"/>
          <w:color w:val="333333"/>
          <w:kern w:val="2"/>
          <w:sz w:val="22"/>
          <w:szCs w:val="22"/>
        </w:rPr>
        <w:t>为公共利益或者为实施城市规划进行旧城区改建，需要收回国有土地使用权的，由市、县土地行政主管部门拟订方案，报原批准机关或者有批准权的人民政府批准后实施。对原土地使用权人应当按照下列标准给予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（一）原以划拨方式取得国有土地使用权的，提供新的用地或者按照征收土地的补偿标准给予补偿；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（二）原以出让或者作价入股方式取得国有土地使用权的，按照剩余年限的土地使用权价格给予补偿；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（三）原以租赁方式取得国有土地使用权的，按照评估租金高出实际租金的数额与剩余年限折算的现值给予补偿。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因单位撤销、迁移等原因停止使用原划拨的国有土地，以及公路、铁路、机场、矿场等经核准报废，应当收回国有土地使用权的，由市、县土地行政主管部门拟订方案，报原批准机关或者有批准权的人民政府批准后，无偿收回。</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国有土地有偿使用合同届满，土地使用者未申请续期或者申请续期未获批准的，由市、县土地行政主管部门依照合同，无偿收回国有土地使用权。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第四十六条　</w:t>
      </w:r>
      <w:r>
        <w:rPr>
          <w:rFonts w:ascii="Times New Roman" w:hAnsi="Times New Roman" w:hint="eastAsia"/>
          <w:color w:val="333333"/>
          <w:kern w:val="2"/>
          <w:sz w:val="22"/>
          <w:szCs w:val="22"/>
        </w:rPr>
        <w:t>非农业建设使用国有农牧场农用地，乡（镇）村公共设施和公益事业建设使用农民集体所有的土地的，应当为原土地使用者提供新的用地或者予以安置，也可以按照征收土地安置补助费的标准给予补偿。</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第四十七条　</w:t>
      </w:r>
      <w:r>
        <w:rPr>
          <w:rFonts w:ascii="Times New Roman" w:hAnsi="Times New Roman" w:hint="eastAsia"/>
          <w:color w:val="333333"/>
          <w:kern w:val="2"/>
          <w:sz w:val="22"/>
          <w:szCs w:val="22"/>
        </w:rPr>
        <w:t>乡镇企业和乡（镇）村公共设施、公益事业建设需要使用农民集体所有土地，在村庄和集镇建设用地区内的，其供地方案由市、县人民政府批准；在村庄和集镇建设用地区外的，由省人民政府批准。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第四十八条　</w:t>
      </w:r>
      <w:r>
        <w:rPr>
          <w:rFonts w:ascii="Times New Roman" w:hAnsi="Times New Roman" w:hint="eastAsia"/>
          <w:color w:val="333333"/>
          <w:kern w:val="2"/>
          <w:sz w:val="22"/>
          <w:szCs w:val="22"/>
        </w:rPr>
        <w:t>乡镇企业建设应当坚持合理用地、集约用地的原则，其用地标准由省土地行政主管部门会同有关部门制定，报省人民政府批准后施行。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第四十九条　</w:t>
      </w:r>
      <w:r>
        <w:rPr>
          <w:rFonts w:ascii="Times New Roman" w:hAnsi="Times New Roman" w:hint="eastAsia"/>
          <w:color w:val="333333"/>
          <w:kern w:val="2"/>
          <w:sz w:val="22"/>
          <w:szCs w:val="22"/>
        </w:rPr>
        <w:t>符合土地利用总体规划并依法取得建设用地的企业，因破产、兼并、处分抵押房地产等原因，需要转让集体土地使用权的，报市、县人民政府批准。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第五十条　</w:t>
      </w:r>
      <w:r>
        <w:rPr>
          <w:rFonts w:ascii="Times New Roman" w:hAnsi="Times New Roman" w:hint="eastAsia"/>
          <w:color w:val="333333"/>
          <w:kern w:val="2"/>
          <w:sz w:val="22"/>
          <w:szCs w:val="22"/>
        </w:rPr>
        <w:t>农村村民建住宅必须严格执行村镇规划，村内有空闲宅基地的，不得占用耕地建住宅。鼓励建设多层住宅。需要使用本村集体所有土地的，由村民提出用地申请，村民会议或者村民代表会议讨论同意，经乡级人民政府审核，报市、县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第五十一条　</w:t>
      </w:r>
      <w:r>
        <w:rPr>
          <w:rFonts w:ascii="Times New Roman" w:hAnsi="Times New Roman" w:hint="eastAsia"/>
          <w:color w:val="333333"/>
          <w:kern w:val="2"/>
          <w:sz w:val="22"/>
          <w:szCs w:val="22"/>
        </w:rPr>
        <w:t>农村村民新建住宅，宅基地的用地标准是：</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（一）城市郊区，每处宅基地不得超过一百六十七平方米；</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（二）平原地区和山区，人均耕地不足一千平方米的县（市），每处宅基地不得超过二百平方米，人均耕地一千平方米以上的县（市），每处宅基地不得超过二百三十三平方米；</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（三）坝上地区，每处宅基地不得超过四百六十七平方米。</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在前款规定的限额内，市、县人民政府可以根据当地实际，具体规定本行政区域内的农村宅基地标准。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第五十二条　</w:t>
      </w:r>
      <w:r>
        <w:rPr>
          <w:rFonts w:ascii="Times New Roman" w:hAnsi="Times New Roman" w:hint="eastAsia"/>
          <w:color w:val="333333"/>
          <w:kern w:val="2"/>
          <w:sz w:val="22"/>
          <w:szCs w:val="22"/>
        </w:rPr>
        <w:t>符合下列条件之一的，可以申请宅基地：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（一）农村村民因子女结婚等原因确需分户，缺少宅基地的；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（二）外来人口落户本村，没有宅基地的；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（三）因自然灾害或者因实施村庄和集镇规划，需要搬迁的。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第五十三条　</w:t>
      </w:r>
      <w:r>
        <w:rPr>
          <w:rFonts w:ascii="Times New Roman" w:hAnsi="Times New Roman" w:hint="eastAsia"/>
          <w:color w:val="333333"/>
          <w:kern w:val="2"/>
          <w:sz w:val="22"/>
          <w:szCs w:val="22"/>
        </w:rPr>
        <w:t>农村村民申请宅基地，有下列情形之一的，不予批准：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（一）年龄未满十八周岁的；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（二）原有宅基地能够解决分户需要的；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（三）出卖或者出租住房的。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第五十四条　</w:t>
      </w:r>
      <w:r>
        <w:rPr>
          <w:rFonts w:ascii="Times New Roman" w:hAnsi="Times New Roman" w:hint="eastAsia"/>
          <w:color w:val="333333"/>
          <w:kern w:val="2"/>
          <w:sz w:val="22"/>
          <w:szCs w:val="22"/>
        </w:rPr>
        <w:t>农村村民一户一处之外的宅基地，由村集体经济组织或者村民委员会提出申请，经乡级人民政府审核，报市、县人民政府批准后，予以收回，统一安排使用。</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原有宅基地超过规定标准的，超标部分可以实行有偿使用，具体办法由省人民政府制定。</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多余宅基地上的房屋损坏不能利用的，必须退出其宅基地。</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鼓励房屋所有者出卖多余宅基地上的房屋。农村村民由于买卖住房转移集体土地使用权的，买方必须符合申请宅基地的条件，并依照本条例第五十一条的规定办理宅基地审批手续。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第五十五条　</w:t>
      </w:r>
      <w:r>
        <w:rPr>
          <w:rFonts w:ascii="Times New Roman" w:hAnsi="Times New Roman" w:hint="eastAsia"/>
          <w:color w:val="333333"/>
          <w:kern w:val="2"/>
          <w:sz w:val="22"/>
          <w:szCs w:val="22"/>
        </w:rPr>
        <w:t>临时使用土地的，应当按照有关规定报市、县土地行政主管部门批准。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临时使用土地的期限超过二年的，应当重新办理临时用地手续。</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第五十六条　</w:t>
      </w:r>
      <w:r>
        <w:rPr>
          <w:rFonts w:ascii="Times New Roman" w:hAnsi="Times New Roman" w:hint="eastAsia"/>
          <w:color w:val="333333"/>
          <w:kern w:val="2"/>
          <w:sz w:val="22"/>
          <w:szCs w:val="22"/>
        </w:rPr>
        <w:t>取土应当首先安排使用非耕地，确需使用耕地的，应当限定取土深度，保留耕作层的土壤，并依法进行复垦。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在国有土地上取土的，取土者应当向市、县土地行政主管部门提出申请，与市、县土地行政主管部门签订取土补偿合同，报同级人民政府批准。在集体土地上取土的，取土者应当与村集体经济组织和村民委员会签订取土补偿合同，向市、县土地行政主管部门提出申请，报同级人民政府批准。</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农村村民因生产和建设需要在本集体所有的土地上取土的，应当在本集体经济组织或者村民委员会依法指定的非耕地上取土；确需在耕地上取土的，应当经本集体经济组织或者村民委员会同意，向市、县土地行政主管部门提出申请，报市、县人民政府批准。</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　监督检查</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第五十七条　</w:t>
      </w:r>
      <w:r>
        <w:rPr>
          <w:rFonts w:ascii="Times New Roman" w:hAnsi="Times New Roman" w:hint="eastAsia"/>
          <w:color w:val="333333"/>
          <w:kern w:val="2"/>
          <w:sz w:val="22"/>
          <w:szCs w:val="22"/>
        </w:rPr>
        <w:t>土地监督检查坚持依法、及时、准确的原则，实行土地行政执法责任制度、土地巡回检查制度、土地重大违法案件备案制度。</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第五十八条　</w:t>
      </w:r>
      <w:r>
        <w:rPr>
          <w:rFonts w:ascii="Times New Roman" w:hAnsi="Times New Roman" w:hint="eastAsia"/>
          <w:color w:val="333333"/>
          <w:kern w:val="2"/>
          <w:sz w:val="22"/>
          <w:szCs w:val="22"/>
        </w:rPr>
        <w:t>对于依法受到责令限期拆除在非法占用的土地上新建的建筑物和其他设施的处罚拒不执行并继续施工的，土地行政主管部门可以查封、扣押其实施违法行为的设备和建筑材料。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第五十九条　</w:t>
      </w:r>
      <w:r>
        <w:rPr>
          <w:rFonts w:ascii="Times New Roman" w:hAnsi="Times New Roman" w:hint="eastAsia"/>
          <w:color w:val="333333"/>
          <w:kern w:val="2"/>
          <w:sz w:val="22"/>
          <w:szCs w:val="22"/>
        </w:rPr>
        <w:t>土地行政主管部门查处违反土地管理法律、法规的案件，需要有关部门协助时，同级或者上级人民政府的行政监察、公安、审计等部门应当按照各自的职责予以协助。</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第六十条　</w:t>
      </w:r>
      <w:r>
        <w:rPr>
          <w:rFonts w:ascii="Times New Roman" w:hAnsi="Times New Roman" w:hint="eastAsia"/>
          <w:color w:val="333333"/>
          <w:kern w:val="2"/>
          <w:sz w:val="22"/>
          <w:szCs w:val="22"/>
        </w:rPr>
        <w:t>对违反土地管理法律、法规的行为，上级人民政府土地行政主管部门可以对下级人民政府土地行政主管部门下达查处令，也可以直接查处。</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上级人民政府土地行政主管部门对下级人民政府土地行政主管部门违法作出的行政处罚决定有权予以撤销，并有权责令重新作出行政处罚决定或者直接作出行政处罚决定。</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　法律责任</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第六十一条　</w:t>
      </w:r>
      <w:r>
        <w:rPr>
          <w:rFonts w:ascii="Times New Roman" w:hAnsi="Times New Roman" w:hint="eastAsia"/>
          <w:color w:val="333333"/>
          <w:kern w:val="2"/>
          <w:sz w:val="22"/>
          <w:szCs w:val="22"/>
        </w:rPr>
        <w:t>依照《中华人民共和国土地管理法》第七十三条的规定处以罚款的，罚款额为非法所得的百分之五以上百分之五十以下。</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第六十二条　</w:t>
      </w:r>
      <w:r>
        <w:rPr>
          <w:rFonts w:ascii="Times New Roman" w:hAnsi="Times New Roman" w:hint="eastAsia"/>
          <w:color w:val="333333"/>
          <w:kern w:val="2"/>
          <w:sz w:val="22"/>
          <w:szCs w:val="22"/>
        </w:rPr>
        <w:t>依照《中华人民共和国土地管理法》第七十四条的规定处以罚款的，罚款额为耕地开垦费的一倍以上二倍以下。</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第六十三条　</w:t>
      </w:r>
      <w:r>
        <w:rPr>
          <w:rFonts w:ascii="Times New Roman" w:hAnsi="Times New Roman" w:hint="eastAsia"/>
          <w:color w:val="333333"/>
          <w:kern w:val="2"/>
          <w:sz w:val="22"/>
          <w:szCs w:val="22"/>
        </w:rPr>
        <w:t>经依法批准占用耕地进行建设，自批准的动工建设之日起满一年未动工建设的，由县级以上人民政府土地行政主管部门按照每平方米五元至十元的标准，向用地单位征收土地闲置费；连续二年未使用的，经原批准机关批准，由县级以上人民政府土地行政主管部门无偿收回土地使用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color w:val="333333"/>
          <w:kern w:val="2"/>
          <w:sz w:val="22"/>
          <w:szCs w:val="22"/>
        </w:rPr>
        <w:t>在城市规划区范围内，以出让方式取得土地使用权进行房地产开发，超过出让合同约定的动工开发日期满一年未动工开发的，可以由县级以上人民政府土地行政主管部门向用地单位征收相当于土地使用权出让金百分之五以上百分之二十以下的土地闲置费；满二年未动工开发的，可以由县级以上人民政府土地行政主管部门无偿收回土地使用权。</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第六十四条　</w:t>
      </w:r>
      <w:r>
        <w:rPr>
          <w:rFonts w:ascii="Times New Roman" w:hAnsi="Times New Roman" w:hint="eastAsia"/>
          <w:color w:val="333333"/>
          <w:kern w:val="2"/>
          <w:sz w:val="22"/>
          <w:szCs w:val="22"/>
        </w:rPr>
        <w:t>违反本条例规定，拒不履行土地复垦义务的，由县级以上人民政府土地行政主管部门责令限期改正；逾期不改正的，责令缴纳土地复垦费，并处以土地复垦费一倍以上二倍以下的罚款。</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第六十五条　</w:t>
      </w:r>
      <w:r>
        <w:rPr>
          <w:rFonts w:ascii="Times New Roman" w:hAnsi="Times New Roman" w:hint="eastAsia"/>
          <w:color w:val="333333"/>
          <w:kern w:val="2"/>
          <w:sz w:val="22"/>
          <w:szCs w:val="22"/>
        </w:rPr>
        <w:t>依照《中华人民共和国土地管理法》第七十六条的规定处以罚款的，罚款额为非法占用土地每平方米十元以上三十元以下。</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第六十六条　</w:t>
      </w:r>
      <w:r>
        <w:rPr>
          <w:rFonts w:ascii="Times New Roman" w:hAnsi="Times New Roman" w:hint="eastAsia"/>
          <w:color w:val="333333"/>
          <w:kern w:val="2"/>
          <w:sz w:val="22"/>
          <w:szCs w:val="22"/>
        </w:rPr>
        <w:t>农村村民未经批准或者骗取批准，非法占用土地建住宅或者超过市、县人民政府依法批准的面积多占土地建住宅的，由县级以上人民政府土地行政主管部门责令退还非法占用的土地，限期拆除在非法占用的土地上新建的建筑物。</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第六十七条　</w:t>
      </w:r>
      <w:r>
        <w:rPr>
          <w:rFonts w:ascii="Times New Roman" w:hAnsi="Times New Roman" w:hint="eastAsia"/>
          <w:color w:val="333333"/>
          <w:kern w:val="2"/>
          <w:sz w:val="22"/>
          <w:szCs w:val="22"/>
        </w:rPr>
        <w:t>当事人对行政处罚决定不服的，可以依法申请复议或者提起诉讼。逾期不申请复议或者不起诉又不履行的，由作出处罚决定的机关申请人民法院强制执行。</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第六十八条　</w:t>
      </w:r>
      <w:r>
        <w:rPr>
          <w:rFonts w:ascii="Times New Roman" w:hAnsi="Times New Roman" w:hint="eastAsia"/>
          <w:color w:val="333333"/>
          <w:kern w:val="2"/>
          <w:sz w:val="22"/>
          <w:szCs w:val="22"/>
        </w:rPr>
        <w:t>违反本条例规定，非法挪用耕地开垦费、土地复垦费、新增建设用地土地有偿使用费的，由县级以上人民政府土地、财政、审计等部门责令其限期改正；情节严重的，对主要责任人员依法给予行政处分；构成犯罪的，依法追究刑事责任。</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第六十九条　</w:t>
      </w:r>
      <w:r>
        <w:rPr>
          <w:rFonts w:ascii="Times New Roman" w:hAnsi="Times New Roman" w:hint="eastAsia"/>
          <w:color w:val="333333"/>
          <w:kern w:val="2"/>
          <w:sz w:val="22"/>
          <w:szCs w:val="22"/>
        </w:rPr>
        <w:t>土地行政主管部门及其工作人员以化整为零、谎报地类等手段弄虚作假报批土地，不按照本条例的规定发放土地证书，对收取的有关土地费用违法使用或者使用不当，不及时查处土地违法行为，对依法应予处罚的违法行为不予处罚，玩忽职守、滥用职权、徇私舞弊，情节轻微的，对主要负责人员或者直接责任人员依法给予行政处分；构成犯罪的，依法追究刑事责任。</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　附则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第七十条　</w:t>
      </w:r>
      <w:r>
        <w:rPr>
          <w:rFonts w:ascii="Times New Roman" w:hAnsi="Times New Roman" w:hint="eastAsia"/>
          <w:color w:val="333333"/>
          <w:kern w:val="2"/>
          <w:sz w:val="22"/>
          <w:szCs w:val="22"/>
        </w:rPr>
        <w:t>本条例所称市、县，是指设区的市、县和县级市。</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 xml:space="preserve">第七十一条　</w:t>
      </w:r>
      <w:r>
        <w:rPr>
          <w:rFonts w:ascii="Times New Roman" w:hAnsi="Times New Roman" w:hint="eastAsia"/>
          <w:color w:val="333333"/>
          <w:kern w:val="2"/>
          <w:sz w:val="22"/>
          <w:szCs w:val="22"/>
        </w:rPr>
        <w:t>本条例自公布之日起施行。《河北省经济技术开发区土地管理规定》同时废止。</w:t>
      </w:r>
    </w:p>
    <w:p w:rsidR="00A32067" w:rsidRDefault="00A32067">
      <w:pPr>
        <w:pStyle w:val="NormalWeb"/>
        <w:shd w:val="clear" w:color="auto" w:fill="FFFFFF"/>
        <w:spacing w:before="0" w:beforeAutospacing="0" w:after="0" w:afterAutospacing="0"/>
        <w:ind w:firstLine="482"/>
        <w:rPr>
          <w:rFonts w:ascii="Times New Roman" w:eastAsia="微软雅黑" w:hAnsi="Times New Roman" w:cs="Times New Roman"/>
          <w:color w:val="333333"/>
        </w:rPr>
      </w:pP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z w:val="44"/>
          <w:szCs w:val="44"/>
        </w:rPr>
        <w:sectPr w:rsidR="00A32067">
          <w:pgSz w:w="11907" w:h="16840"/>
          <w:pgMar w:top="1134" w:right="1077" w:bottom="1134" w:left="1077" w:header="794" w:footer="567" w:gutter="284"/>
          <w:cols w:space="720"/>
          <w:docGrid w:linePitch="312"/>
        </w:sectPr>
      </w:pPr>
      <w:bookmarkStart w:id="28" w:name="_Toc519872271"/>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z w:val="44"/>
          <w:szCs w:val="44"/>
        </w:rPr>
      </w:pPr>
      <w:r>
        <w:rPr>
          <w:rFonts w:ascii="Times New Roman" w:hAnsi="Times New Roman" w:hint="eastAsia"/>
          <w:b/>
          <w:bCs/>
          <w:color w:val="333333"/>
          <w:sz w:val="44"/>
          <w:szCs w:val="44"/>
        </w:rPr>
        <w:t>河北省城镇国有土地使用权</w:t>
      </w:r>
      <w:r>
        <w:rPr>
          <w:rFonts w:ascii="Times New Roman" w:hAnsi="Times New Roman" w:cs="Times New Roman"/>
          <w:b/>
          <w:bCs/>
          <w:color w:val="333333"/>
          <w:sz w:val="44"/>
          <w:szCs w:val="44"/>
        </w:rPr>
        <w:br/>
      </w:r>
      <w:r>
        <w:rPr>
          <w:rFonts w:ascii="Times New Roman" w:hAnsi="Times New Roman" w:hint="eastAsia"/>
          <w:b/>
          <w:bCs/>
          <w:color w:val="333333"/>
          <w:sz w:val="44"/>
          <w:szCs w:val="44"/>
        </w:rPr>
        <w:t>出让和转让实施办法</w:t>
      </w:r>
      <w:bookmarkEnd w:id="28"/>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eastAsia="微软雅黑" w:hAnsi="Times New Roman" w:cs="微软雅黑" w:hint="eastAsia"/>
          <w:color w:val="333333"/>
        </w:rPr>
        <w:t xml:space="preserve">　</w:t>
      </w:r>
      <w:r>
        <w:rPr>
          <w:rFonts w:ascii="Times New Roman" w:hAnsi="Times New Roman" w:hint="eastAsia"/>
          <w:color w:val="333333"/>
          <w:kern w:val="2"/>
          <w:sz w:val="22"/>
          <w:szCs w:val="22"/>
        </w:rPr>
        <w:t>（</w:t>
      </w:r>
      <w:r>
        <w:rPr>
          <w:rFonts w:ascii="Times New Roman" w:hAnsi="Times New Roman" w:cs="Times New Roman"/>
          <w:color w:val="333333"/>
          <w:kern w:val="2"/>
          <w:sz w:val="22"/>
          <w:szCs w:val="22"/>
        </w:rPr>
        <w:t>1990</w:t>
      </w:r>
      <w:r>
        <w:rPr>
          <w:rFonts w:ascii="Times New Roman" w:hAnsi="Times New Roman" w:hint="eastAsia"/>
          <w:color w:val="333333"/>
          <w:kern w:val="2"/>
          <w:sz w:val="22"/>
          <w:szCs w:val="22"/>
        </w:rPr>
        <w:t>年</w:t>
      </w:r>
      <w:r>
        <w:rPr>
          <w:rFonts w:ascii="Times New Roman" w:hAnsi="Times New Roman" w:cs="Times New Roman"/>
          <w:color w:val="333333"/>
          <w:kern w:val="2"/>
          <w:sz w:val="22"/>
          <w:szCs w:val="22"/>
        </w:rPr>
        <w:t>7</w:t>
      </w:r>
      <w:r>
        <w:rPr>
          <w:rFonts w:ascii="Times New Roman" w:hAnsi="Times New Roman" w:hint="eastAsia"/>
          <w:color w:val="333333"/>
          <w:kern w:val="2"/>
          <w:sz w:val="22"/>
          <w:szCs w:val="22"/>
        </w:rPr>
        <w:t>月</w:t>
      </w:r>
      <w:r>
        <w:rPr>
          <w:rFonts w:ascii="Times New Roman" w:hAnsi="Times New Roman" w:cs="Times New Roman"/>
          <w:color w:val="333333"/>
          <w:kern w:val="2"/>
          <w:sz w:val="22"/>
          <w:szCs w:val="22"/>
        </w:rPr>
        <w:t>15</w:t>
      </w:r>
      <w:r>
        <w:rPr>
          <w:rFonts w:ascii="Times New Roman" w:hAnsi="Times New Roman" w:hint="eastAsia"/>
          <w:color w:val="333333"/>
          <w:kern w:val="2"/>
          <w:sz w:val="22"/>
          <w:szCs w:val="22"/>
        </w:rPr>
        <w:t>日河北省人民政府文件冀政</w:t>
      </w:r>
      <w:r>
        <w:rPr>
          <w:rFonts w:ascii="Times New Roman" w:hAnsi="Times New Roman" w:cs="Times New Roman"/>
          <w:color w:val="333333"/>
          <w:kern w:val="2"/>
          <w:sz w:val="22"/>
          <w:szCs w:val="22"/>
        </w:rPr>
        <w:t>[1990]76</w:t>
      </w:r>
      <w:r>
        <w:rPr>
          <w:rFonts w:ascii="Times New Roman" w:hAnsi="Times New Roman" w:hint="eastAsia"/>
          <w:color w:val="333333"/>
          <w:kern w:val="2"/>
          <w:sz w:val="22"/>
          <w:szCs w:val="22"/>
        </w:rPr>
        <w:t>号发布根据</w:t>
      </w:r>
      <w:r>
        <w:rPr>
          <w:rFonts w:ascii="Times New Roman" w:hAnsi="Times New Roman" w:cs="Times New Roman"/>
          <w:color w:val="333333"/>
          <w:kern w:val="2"/>
          <w:sz w:val="22"/>
          <w:szCs w:val="22"/>
        </w:rPr>
        <w:t>2002</w:t>
      </w:r>
      <w:r>
        <w:rPr>
          <w:rFonts w:ascii="Times New Roman" w:hAnsi="Times New Roman" w:hint="eastAsia"/>
          <w:color w:val="333333"/>
          <w:kern w:val="2"/>
          <w:sz w:val="22"/>
          <w:szCs w:val="22"/>
        </w:rPr>
        <w:t>年</w:t>
      </w:r>
      <w:r>
        <w:rPr>
          <w:rFonts w:ascii="Times New Roman" w:hAnsi="Times New Roman" w:cs="Times New Roman"/>
          <w:color w:val="333333"/>
          <w:kern w:val="2"/>
          <w:sz w:val="22"/>
          <w:szCs w:val="22"/>
        </w:rPr>
        <w:t>9</w:t>
      </w:r>
      <w:r>
        <w:rPr>
          <w:rFonts w:ascii="Times New Roman" w:hAnsi="Times New Roman" w:hint="eastAsia"/>
          <w:color w:val="333333"/>
          <w:kern w:val="2"/>
          <w:sz w:val="22"/>
          <w:szCs w:val="22"/>
        </w:rPr>
        <w:t>月</w:t>
      </w:r>
      <w:r>
        <w:rPr>
          <w:rFonts w:ascii="Times New Roman" w:hAnsi="Times New Roman" w:cs="Times New Roman"/>
          <w:color w:val="333333"/>
          <w:kern w:val="2"/>
          <w:sz w:val="22"/>
          <w:szCs w:val="22"/>
        </w:rPr>
        <w:t>24</w:t>
      </w:r>
      <w:r>
        <w:rPr>
          <w:rFonts w:ascii="Times New Roman" w:hAnsi="Times New Roman" w:hint="eastAsia"/>
          <w:color w:val="333333"/>
          <w:kern w:val="2"/>
          <w:sz w:val="22"/>
          <w:szCs w:val="22"/>
        </w:rPr>
        <w:t>日河北省人民政府令</w:t>
      </w:r>
      <w:r>
        <w:rPr>
          <w:rFonts w:ascii="Times New Roman" w:hAnsi="Times New Roman" w:cs="Times New Roman"/>
          <w:color w:val="333333"/>
          <w:kern w:val="2"/>
          <w:sz w:val="22"/>
          <w:szCs w:val="22"/>
        </w:rPr>
        <w:t>[2002]</w:t>
      </w:r>
      <w:r>
        <w:rPr>
          <w:rFonts w:ascii="Times New Roman" w:hAnsi="Times New Roman" w:hint="eastAsia"/>
          <w:color w:val="333333"/>
          <w:kern w:val="2"/>
          <w:sz w:val="22"/>
          <w:szCs w:val="22"/>
        </w:rPr>
        <w:t>第</w:t>
      </w:r>
      <w:r>
        <w:rPr>
          <w:rFonts w:ascii="Times New Roman" w:hAnsi="Times New Roman" w:cs="Times New Roman"/>
          <w:color w:val="333333"/>
          <w:kern w:val="2"/>
          <w:sz w:val="22"/>
          <w:szCs w:val="22"/>
        </w:rPr>
        <w:t>16</w:t>
      </w:r>
      <w:r>
        <w:rPr>
          <w:rFonts w:ascii="Times New Roman" w:hAnsi="Times New Roman" w:hint="eastAsia"/>
          <w:color w:val="333333"/>
          <w:kern w:val="2"/>
          <w:sz w:val="22"/>
          <w:szCs w:val="22"/>
        </w:rPr>
        <w:t>号修正）</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w:t>
      </w:r>
      <w:r>
        <w:rPr>
          <w:rFonts w:ascii="Times New Roman" w:hAnsi="Times New Roman" w:cs="Times New Roman"/>
          <w:b/>
          <w:bCs/>
          <w:color w:val="333333"/>
        </w:rPr>
        <w:t xml:space="preserve">  </w:t>
      </w:r>
      <w:r>
        <w:rPr>
          <w:rFonts w:ascii="Times New Roman" w:hAnsi="Times New Roman" w:hint="eastAsia"/>
          <w:b/>
          <w:bCs/>
          <w:color w:val="333333"/>
        </w:rPr>
        <w:t>总则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为加强土地管理，改革国有土地使用制度，合理开发利用土地资源，改善投资环境，促进本省对外开放和经济建设的发展，根据《中华人民共和国城镇国有土地使用权出让和转让暂行条例》的规定，制定本实施办法。</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中华人民共和国境内外的公司、企业、其他组织和个人，除法律另有规定的外，均可依照本实施办法的规定，在河北省境内设区的市、县城、建制镇、工矿区范围内取得国有土地使用权，进行土地开发、利用、经营。</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土地使用权出让和转让期间，其所有权仍属于中华人民共和国，用地单位或个人只有使用权，不得擅自改变土地的用途，不得损害社会公共利益。</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地下的各类资源、埋藏物和市政公用设施属国家所有，不在土地使用权出让和转让范围内。</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县级以上人民政府土地管理部门对本辖区内的土地使用权出让、转让、出租、抵押、终止进行监督检查。</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土地使用权出让、转让、出租、抵押、终止由土地管理部门进行登记，负责权属管理；有关的地上建筑物、其他附着物，由房产管理部门进行登记，负责权属管理。</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第五条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依照本实施办法的规定取得土地使用权者的合法权益受法律保护。其使用权在使用年限内可以依法转让、出租、抵押。</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第六条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土地使用权出让、转让、出租、抵押中的一切活动，应遵守中华人民共和国的法律、法规和本省的有关规定。</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第二章土地使用权出让</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第七条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土地使用权出让</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以下简称出让</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是指设区的市、县人民政府以土地所有者的身份将国家所有的土地的使用权以指定的地块、用途、使用年限和其他条件，提供给土地使用权受让人依法开发经营使用，并由受让人向国家支付土地使用权出让金的行为。</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第八条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出让土地使用权，由市、县人民政府负责，有计划、有步骤地进行。</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市、县土地管理部门</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以下简称出让方</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，与受让人签订出让合同。</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第九条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出让的地块、用途、年限和其他条件，由市、县人民政府土地管理部门会同城市规划和建设部门、房产管理部门共同拟定方案，经市、县人民政府批准后，由市、县土地管理部门实施。</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出让可以采取协议、招标和公开拍卖三种方式。</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协议出让程序：</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一</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出让地块经依法批准后，由市、县土地管理部门向有意受让人提供出让地块的必要资料和有关文件。</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二</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有意受让人得到资料后，应在规定的时间内，向市、县土地管理部门提交土地开发经营方案和包括出让金数额、币种、付款方式等在内的有关文件。土地管理部门在接到受让人提交的文件后，应在三十日内给予答复。</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三</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达成协议后，由市、县土地管理部门与受让人签订出让合同。</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第十二条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招标出让程序：</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一</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市、县土地管理部门根据依法批准的出让地块的具体要求，向投标对象发出投标邀请书，或向国内外发布招标公告及有关资料文件。</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二</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投标者应在规定的投标时间内，向指定的地点、单位提交保证金</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不计息</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，并将标书密封后投入指定的标箱。</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三</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市、县土地管理部门会同有关部门的代表聘请专家组成评标委员会，由评标委员会主持开标、评标和决标工作。评标委员会对有效标书进行评审，决定中标者，市、县土地管理部门向中标者发出中标证明书。</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（四</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中标者应当在十五日内持中标证明书与市、县土地管理部门签订出让合同。</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第十三条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拍卖出让程序：</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一</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市、县土地管理部门就依法批准出让的地块发布公告。公告内容应包括所拍卖地块的位置、面积、现状、用途、用地规划和使用年限，以及拍卖时间、地点，报名时间、地点。</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二</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有意参加竞投者向市、县土地管理部门购买</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拍卖须知</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用地规划</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土地使用权出让合同式样</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等资料，并按规定时间持当事人姓名、国籍、单位或组织的名称、主要营业场所或住所等有关证件报名，缴纳保证金后领取应价牌。</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三</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市、县土地管理部门主持拍卖。经过叫价应价，价高者为受让人，由出让方与受让方当场签订出让合同。</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第十四条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以出让方式取得土地使用权的，应当按照出让合同的约定，支付土地使用权出让金。</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第十五条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保证金可充抵出让金。对未中标者或竞投失败者所交保证金，应在决标或拍卖成交之日起五日内原数退还。</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第十六条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受让人未按出让合同的约定支付出让金的，出让方有权解除合同，保证金不予退还，并可请求违约赔偿；出让方未按出让合同的约定提供土地使用权的，应双倍返还保证金，受让人有权解除出让合同，并可请求违约赔偿。</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第十七条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出让金应按出让合同中规定的币种支付。</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第十八条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出让的最高年限为：</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一</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公寓、住宅用地七十年；</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二</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工业、交通用地五十年；</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三</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教育、科技、文化、卫生、体育用地五十年；</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四</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商业、旅游、娱乐用地四十年；</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五</w:t>
      </w:r>
      <w:r>
        <w:rPr>
          <w:rFonts w:ascii="Times New Roman" w:hAnsi="Times New Roman" w:cs="Times New Roman"/>
          <w:color w:val="333333"/>
          <w:kern w:val="2"/>
          <w:sz w:val="22"/>
          <w:szCs w:val="22"/>
        </w:rPr>
        <w:t>)</w:t>
      </w:r>
      <w:r>
        <w:rPr>
          <w:rFonts w:ascii="Times New Roman" w:hAnsi="Times New Roman" w:hint="eastAsia"/>
          <w:color w:val="333333"/>
          <w:kern w:val="2"/>
          <w:sz w:val="22"/>
          <w:szCs w:val="22"/>
        </w:rPr>
        <w:t>综合用地或其他用地五十年。</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第十九条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协议出让的价格，不得低于按国家规定所确定的最低价。招标、拍卖出让的底价，不得低于协议出让最低价。</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受让人取得土地使用权后，应按每年每平方米一元以下标准向市、县土地管理部门缴纳使用金。</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期间，受让人需要改变出让合同规定的土地用途和规划建筑要求时，必须事先向出让方提出申请，经土地管理部门和城市规划部门核准后变更，并重新签订合同或签订补充合同，按规定调整土地使用权出让金，办理变更登记，换领土地使用证。</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第二十二条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受让人在受让土地上进行的各项开发经营活动，应按国家和本省的规定，办理有关手续，并按期建成。</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受让人未按合同约定的动工开发日期开发利用土地造成土地闲置一年以上的，由县级以上人民政府土地管理部门依法收取土地闲置费，连续闲置两年以上的，由县级以上人民政府土地管理部门无偿收回土地使用权。但是，因为不可抗力、政府或者政府有关部门的行为造成动工开发延迟的除外。</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第三章土地使用权转让</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第二十三条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土地使用权转让是指以出让方式取得土地使用权后，受让人将土地使用权再转移的行为，包括出售、赠与和交换。</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第二十四条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土地使用权转让，必须在出让金全部缴清，除出让金外，已投入建设资金占总投资的</w:t>
      </w:r>
      <w:r>
        <w:rPr>
          <w:rFonts w:ascii="Times New Roman" w:hAnsi="Times New Roman" w:cs="Times New Roman"/>
          <w:color w:val="333333"/>
          <w:kern w:val="2"/>
          <w:sz w:val="22"/>
          <w:szCs w:val="22"/>
        </w:rPr>
        <w:t>25%</w:t>
      </w:r>
      <w:r>
        <w:rPr>
          <w:rFonts w:ascii="Times New Roman" w:hAnsi="Times New Roman" w:hint="eastAsia"/>
          <w:color w:val="333333"/>
          <w:kern w:val="2"/>
          <w:sz w:val="22"/>
          <w:szCs w:val="22"/>
        </w:rPr>
        <w:t>以上方可进行。土地使用权转让时，原出让合同和登记文件中所规定的权利、义务随之转移。</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转让后的土地使用年限为出让合同规定的使用年限，减去原土地使用者已使用年限后的剩余年限。</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第二十五条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土地使用权转让时，其地上建筑物及其他附着物所有权随之转让；土地使用者转让地上建筑物及其他附着物所有权时，建筑物及其他附着物使用范围内的土地使用权随之转让。但作为动产转让的除外。</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第二十六条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转让土地使用权和地上建筑物及其他附着物所有权的，应在转让合同签订之日起十五日内，向市、县土地管理部门和房产管理部门办理土地使用权和房产所有权变更登记。土地使用权和地上建筑物、其他附着物的所有权分割转让的，应报经市、县土地管理部门和房产管理部门批准，并按上款规定办理变更登记。</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第二十七条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土地使用权转让后，受转让人需要变更出让合同规定的土地使用用途和规划建筑要求的，应按照本实施办法第二十一条规定办理。</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第二十八条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土地使用权转让时，该地块发生土地增值的，转让人应当依法缴纳土地增值税。</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第二十九条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受让人转让土地使用权时，转让价格明显低于市场价格的，市、县人民政府有按转让价格购回土地使用权的优先权。</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第四章土地使用权抵押和出租</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第三十条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土地使用权可以抵押。经出让或转让取得的土地使用权，可以用作向银行或其他金融机构的贷款抵押，以及其他债务抵押。土地使用权抵押年限，不得超过原出让和转让合同规定的有效年限。</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土地使用权抵押时，其地上建筑物和其他附着物随之抵押；地上建筑物和其他附着物抵押时，其相应的土地使用权也随之抵押。</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第三十二条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土地使用权抵押时，抵押双方应签订抵押合同。抵押合同不得违背国家法律、法规和本省的规定以及出让、转让合同的约定。</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抵押双方应当持抵押合同、出让合同、土地使用权证书，分别向市、县土地管理部门和房产管理部门申请办理土地使用权和房产所有权抵押登记。未经登记的抵押合同无效。</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第三十三条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抵押人将已出租的房地产抵押，不影响原房地产租赁关系。</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第三十四条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抵押人到期未能履行债务或抵押合同期间宣告解散、破产的，抵押权人有权依照法律，法规和本省的规定以及抵押合同的规定处分抵押物，并享有优先受偿权。</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因处分抵押物而获得土地使用权和其地上建筑物及其他附着物所有权的，应按本实施办法有关转让的规定，向市、县土地管理部门和房产管理部门办理土地使用权和房产所有权变更登记。</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第三十五条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抵押权因债务清偿或其他原因而消灭，抵押双方在抵押合同终结后十五日内，应向土地管理部门和房产管理部门办理抵押登记注销手续。</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第三十六条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土地使用权出租是指以土地出让或转让方式取得土地使用权者作为出租人，将土地使用权随同地上建筑物及其他附着物租赁给承租人使用，由承租人向出租人支付租金的行为。</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未按出让合同规定的期限和条件投入开发、利用的土地，其土地使用权不得出租。</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第三十七条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土地使用权出租人与承租人应签订租赁合同。租赁合同不得违背国家法律、法规和本省的规定以及出让合同的规定。</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第三十八条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自出租合同签订之日起十五日内，出租人须持租赁合同到土地管理部门和房产管理部门办理土地、房产出租登记。</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第三十九条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土地使用权出租后，土地使用者必须继续履行土地使用权出让合同。</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第五章土地使用权终止</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第四十条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合同约定的年限届满，土地使用者需要继续使用土地的，应当于届满的一年前申请续期，除根据社会公共利益需要收回的外，应当予以批准。批准续期的，应当重新签订出让合同，约定土地出让金数额，并办理土地使用权登记；未批准续期的，土地使用权由市、县土地管理部门无偿收回，对地上附着物按照其价值给予补偿。土地使用者未申请续期的，土地使用权即由市、县土地管理部门无偿收回，并同时注销土地使用证。该地上的建筑物和其他附着物的所有权由国家无偿取得。</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出让合同年限届满，受让人要求继续使用土地的，可享有优先使用的权利。但应在届满前六个月向市、县土地管理部门申请办理使用手续，并按续期日的土地出让价格缴纳出让金。</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第四十二条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出让期未满的土地使用权不提前收回。在出让合同规定的使用期间，因公共利益的需要，可依照法律程序提前收回土地使用权，并根据剩余年限的土地使用权价格给予相应补偿。</w:t>
      </w:r>
    </w:p>
    <w:p w:rsidR="00A32067" w:rsidRDefault="00A32067" w:rsidP="0002085C">
      <w:pPr>
        <w:pStyle w:val="NormalWeb"/>
        <w:shd w:val="clear" w:color="auto" w:fill="FFFFFF"/>
        <w:spacing w:beforeLines="100" w:beforeAutospacing="0" w:afterLines="10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第六章附则</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第四十三条</w:t>
      </w:r>
      <w:r>
        <w:rPr>
          <w:rFonts w:ascii="Times New Roman" w:hAnsi="Times New Roman" w:hint="eastAsia"/>
          <w:color w:val="333333"/>
          <w:kern w:val="2"/>
          <w:sz w:val="22"/>
          <w:szCs w:val="22"/>
        </w:rPr>
        <w:t>划拨土地使用权的转让、出租、抵押按《中华人民共和国城市房地产管理法》的有关规定办理。</w:t>
      </w:r>
      <w:r>
        <w:rPr>
          <w:rFonts w:ascii="Times New Roman" w:hAnsi="Times New Roman" w:cs="Times New Roman"/>
          <w:color w:val="333333"/>
          <w:kern w:val="2"/>
          <w:sz w:val="22"/>
          <w:szCs w:val="22"/>
        </w:rPr>
        <w:br/>
      </w:r>
      <w:r>
        <w:rPr>
          <w:rFonts w:ascii="Times New Roman" w:hAnsi="Times New Roman" w:hint="eastAsia"/>
          <w:b/>
          <w:bCs/>
          <w:color w:val="333333"/>
          <w:kern w:val="2"/>
          <w:sz w:val="22"/>
          <w:szCs w:val="22"/>
        </w:rPr>
        <w:t>第四十四条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依照本办法的规定取得土地使用权的个人，其土地使用权可以继承。</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第四十五条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土地使用权出让和转让纳税事宜，按国家有关规定办理。</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第四十六条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土地使用权出让金，列入财政预算，作为专项基金管理，主要用于土地开发和城市建设。</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第四十七条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有关土地使用权出让和转让的经济纠纷，争议双方可以按照合同的约定或事后达成的书面仲裁协议，申请仲裁机构仲裁。</w:t>
      </w:r>
      <w:r>
        <w:rPr>
          <w:rFonts w:ascii="Times New Roman" w:hAnsi="Times New Roman" w:cs="Times New Roman"/>
          <w:color w:val="333333"/>
          <w:kern w:val="2"/>
          <w:sz w:val="22"/>
          <w:szCs w:val="22"/>
        </w:rPr>
        <w:br/>
        <w:t>  </w:t>
      </w:r>
      <w:r>
        <w:rPr>
          <w:rFonts w:ascii="Times New Roman" w:hAnsi="Times New Roman" w:hint="eastAsia"/>
          <w:color w:val="333333"/>
          <w:kern w:val="2"/>
          <w:sz w:val="22"/>
          <w:szCs w:val="22"/>
        </w:rPr>
        <w:t>争议双方未在合同中订立仲裁条款，事后又未达成书面仲裁协议的，可依照我国有关法律规定向人民法院起诉。</w:t>
      </w:r>
      <w:r>
        <w:rPr>
          <w:rFonts w:ascii="Times New Roman" w:hAnsi="Times New Roman" w:cs="Times New Roman"/>
          <w:color w:val="333333"/>
          <w:kern w:val="2"/>
          <w:sz w:val="22"/>
          <w:szCs w:val="22"/>
        </w:rPr>
        <w:br/>
        <w:t>  </w:t>
      </w:r>
      <w:r>
        <w:rPr>
          <w:rFonts w:ascii="Times New Roman" w:hAnsi="Times New Roman" w:hint="eastAsia"/>
          <w:b/>
          <w:bCs/>
          <w:color w:val="333333"/>
          <w:kern w:val="2"/>
          <w:sz w:val="22"/>
          <w:szCs w:val="22"/>
        </w:rPr>
        <w:t>第四十八条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违反本实施办法规定，非法买卖、出让、转让土地使用权和未按城市规划建设的，由市、县土地管理部门和建设管理部门，按照有关规定予以处罚。</w:t>
      </w: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333333"/>
          <w:kern w:val="2"/>
          <w:sz w:val="22"/>
          <w:szCs w:val="22"/>
        </w:rPr>
      </w:pPr>
      <w:r>
        <w:rPr>
          <w:rFonts w:ascii="Times New Roman" w:hAnsi="Times New Roman" w:hint="eastAsia"/>
          <w:b/>
          <w:bCs/>
          <w:color w:val="333333"/>
          <w:kern w:val="2"/>
          <w:sz w:val="22"/>
          <w:szCs w:val="22"/>
        </w:rPr>
        <w:t>第四十九条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在出让和转让土地使用权过程中，有关人员如有贪污、行贿、受贿、敲诈勒索、渎职等行为，除没收非法所得外，由其行政主管部门给予行政处分。构成犯罪的，由司法机关依法追究刑事责任。</w:t>
      </w:r>
      <w:r>
        <w:rPr>
          <w:rFonts w:ascii="Times New Roman" w:hAnsi="Times New Roman" w:cs="Times New Roman"/>
          <w:color w:val="333333"/>
          <w:kern w:val="2"/>
          <w:sz w:val="22"/>
          <w:szCs w:val="22"/>
        </w:rPr>
        <w:br/>
        <w:t xml:space="preserve">    </w:t>
      </w:r>
      <w:r>
        <w:rPr>
          <w:rFonts w:ascii="Times New Roman" w:hAnsi="Times New Roman" w:hint="eastAsia"/>
          <w:b/>
          <w:bCs/>
          <w:color w:val="333333"/>
          <w:kern w:val="2"/>
          <w:sz w:val="22"/>
          <w:szCs w:val="22"/>
        </w:rPr>
        <w:t>第五十条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各市、县人民政府可根据本实施办法和当地情况，制定实施细则。</w:t>
      </w:r>
      <w:r>
        <w:rPr>
          <w:rFonts w:ascii="Times New Roman" w:hAnsi="Times New Roman" w:cs="Times New Roman"/>
          <w:color w:val="333333"/>
          <w:kern w:val="2"/>
          <w:sz w:val="22"/>
          <w:szCs w:val="22"/>
        </w:rPr>
        <w:br/>
        <w:t xml:space="preserve">    </w:t>
      </w:r>
      <w:r>
        <w:rPr>
          <w:rFonts w:ascii="Times New Roman" w:hAnsi="Times New Roman" w:hint="eastAsia"/>
          <w:b/>
          <w:bCs/>
          <w:color w:val="333333"/>
          <w:kern w:val="2"/>
          <w:sz w:val="22"/>
          <w:szCs w:val="22"/>
        </w:rPr>
        <w:t>第五十一条</w:t>
      </w:r>
      <w:r>
        <w:rPr>
          <w:rFonts w:ascii="Times New Roman" w:hAnsi="Times New Roman" w:cs="Times New Roman"/>
          <w:color w:val="333333"/>
          <w:kern w:val="2"/>
          <w:sz w:val="22"/>
          <w:szCs w:val="22"/>
        </w:rPr>
        <w:t xml:space="preserve">  </w:t>
      </w:r>
      <w:r>
        <w:rPr>
          <w:rFonts w:ascii="Times New Roman" w:hAnsi="Times New Roman" w:hint="eastAsia"/>
          <w:color w:val="333333"/>
          <w:kern w:val="2"/>
          <w:sz w:val="22"/>
          <w:szCs w:val="22"/>
        </w:rPr>
        <w:t>本实施办法自发布之日起施行。</w:t>
      </w:r>
    </w:p>
    <w:p w:rsidR="00A32067" w:rsidRDefault="00A32067">
      <w:pPr>
        <w:pStyle w:val="NormalWeb"/>
        <w:shd w:val="clear" w:color="auto" w:fill="FFFFFF"/>
        <w:spacing w:before="0" w:beforeAutospacing="0" w:after="0" w:afterAutospacing="0" w:line="360" w:lineRule="auto"/>
        <w:ind w:firstLine="482"/>
        <w:rPr>
          <w:rFonts w:ascii="Times New Roman" w:eastAsia="微软雅黑" w:hAnsi="Times New Roman" w:cs="Times New Roman"/>
          <w:color w:val="333333"/>
        </w:rPr>
      </w:pPr>
    </w:p>
    <w:p w:rsidR="00A32067" w:rsidRDefault="00A32067">
      <w:pPr>
        <w:spacing w:line="220" w:lineRule="atLeast"/>
      </w:pPr>
      <w:r>
        <w:br w:type="page"/>
      </w:r>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pPr>
      <w:bookmarkStart w:id="29" w:name="_Toc519872272"/>
      <w:r>
        <w:rPr>
          <w:rFonts w:ascii="Times New Roman" w:hAnsi="Times New Roman" w:hint="eastAsia"/>
          <w:b/>
          <w:bCs/>
          <w:color w:val="333333"/>
          <w:sz w:val="44"/>
          <w:szCs w:val="44"/>
        </w:rPr>
        <w:t>财政部国土资源部中国人民银行</w:t>
      </w:r>
      <w:r>
        <w:rPr>
          <w:rFonts w:ascii="Times New Roman" w:hAnsi="Times New Roman" w:cs="Times New Roman"/>
          <w:b/>
          <w:bCs/>
          <w:color w:val="333333"/>
          <w:sz w:val="44"/>
          <w:szCs w:val="44"/>
        </w:rPr>
        <w:br/>
      </w:r>
      <w:r>
        <w:rPr>
          <w:rFonts w:ascii="Times New Roman" w:hAnsi="Times New Roman" w:hint="eastAsia"/>
          <w:b/>
          <w:bCs/>
          <w:color w:val="333333"/>
          <w:sz w:val="44"/>
          <w:szCs w:val="44"/>
        </w:rPr>
        <w:t>关于调整新增建设用地土地有偿</w:t>
      </w:r>
      <w:r>
        <w:rPr>
          <w:rFonts w:ascii="Times New Roman" w:hAnsi="Times New Roman" w:cs="Times New Roman"/>
          <w:b/>
          <w:bCs/>
          <w:color w:val="333333"/>
          <w:sz w:val="44"/>
          <w:szCs w:val="44"/>
        </w:rPr>
        <w:br/>
      </w:r>
      <w:r>
        <w:rPr>
          <w:rFonts w:ascii="Times New Roman" w:hAnsi="Times New Roman" w:hint="eastAsia"/>
          <w:b/>
          <w:bCs/>
          <w:color w:val="333333"/>
          <w:sz w:val="44"/>
          <w:szCs w:val="44"/>
        </w:rPr>
        <w:t>使用费政策等问题的通知</w:t>
      </w:r>
      <w:r>
        <w:rPr>
          <w:rFonts w:ascii="Times New Roman" w:hAnsi="Times New Roman" w:cs="Times New Roman"/>
          <w:b/>
          <w:bCs/>
          <w:color w:val="333333"/>
          <w:sz w:val="44"/>
          <w:szCs w:val="44"/>
        </w:rPr>
        <w:br/>
      </w:r>
      <w:r>
        <w:rPr>
          <w:rFonts w:ascii="Times New Roman" w:hAnsi="Times New Roman" w:hint="eastAsia"/>
          <w:sz w:val="22"/>
          <w:szCs w:val="22"/>
        </w:rPr>
        <w:t>财综</w:t>
      </w:r>
      <w:r>
        <w:rPr>
          <w:rFonts w:ascii="Times New Roman" w:hAnsi="Times New Roman" w:cs="Times New Roman"/>
          <w:sz w:val="22"/>
          <w:szCs w:val="22"/>
        </w:rPr>
        <w:t>[2006]48</w:t>
      </w:r>
      <w:r>
        <w:rPr>
          <w:rFonts w:ascii="Times New Roman" w:hAnsi="Times New Roman" w:hint="eastAsia"/>
          <w:sz w:val="22"/>
          <w:szCs w:val="22"/>
        </w:rPr>
        <w:t>号</w:t>
      </w:r>
      <w:bookmarkEnd w:id="29"/>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各省、自治区、直辖市、计划单列市财政厅</w:t>
      </w:r>
      <w:r>
        <w:rPr>
          <w:color w:val="333333"/>
          <w:sz w:val="22"/>
          <w:szCs w:val="22"/>
        </w:rPr>
        <w:t>(</w:t>
      </w:r>
      <w:r>
        <w:rPr>
          <w:rFonts w:cs="宋体" w:hint="eastAsia"/>
          <w:color w:val="333333"/>
          <w:sz w:val="22"/>
          <w:szCs w:val="22"/>
        </w:rPr>
        <w:t>局</w:t>
      </w:r>
      <w:r>
        <w:rPr>
          <w:color w:val="333333"/>
          <w:sz w:val="22"/>
          <w:szCs w:val="22"/>
        </w:rPr>
        <w:t>)</w:t>
      </w:r>
      <w:r>
        <w:rPr>
          <w:rFonts w:cs="宋体" w:hint="eastAsia"/>
          <w:color w:val="333333"/>
          <w:sz w:val="22"/>
          <w:szCs w:val="22"/>
        </w:rPr>
        <w:t>、国土资源厅</w:t>
      </w:r>
      <w:r>
        <w:rPr>
          <w:color w:val="333333"/>
          <w:sz w:val="22"/>
          <w:szCs w:val="22"/>
        </w:rPr>
        <w:t>(</w:t>
      </w:r>
      <w:r>
        <w:rPr>
          <w:rFonts w:cs="宋体" w:hint="eastAsia"/>
          <w:color w:val="333333"/>
          <w:sz w:val="22"/>
          <w:szCs w:val="22"/>
        </w:rPr>
        <w:t>国土环境资源厅、国土资源局、国土资源和房屋管理局、房屋土地资源管理局</w:t>
      </w:r>
      <w:r>
        <w:rPr>
          <w:color w:val="333333"/>
          <w:sz w:val="22"/>
          <w:szCs w:val="22"/>
        </w:rPr>
        <w:t>)</w:t>
      </w:r>
      <w:r>
        <w:rPr>
          <w:rFonts w:cs="宋体" w:hint="eastAsia"/>
          <w:color w:val="333333"/>
          <w:sz w:val="22"/>
          <w:szCs w:val="22"/>
        </w:rPr>
        <w:t>，新疆生产建设兵团财务局、国土资源局，中国人民银行上海总部，各分行、营业管理部，省会</w:t>
      </w:r>
      <w:r>
        <w:rPr>
          <w:color w:val="333333"/>
          <w:sz w:val="22"/>
          <w:szCs w:val="22"/>
        </w:rPr>
        <w:t>(</w:t>
      </w:r>
      <w:r>
        <w:rPr>
          <w:rFonts w:cs="宋体" w:hint="eastAsia"/>
          <w:color w:val="333333"/>
          <w:sz w:val="22"/>
          <w:szCs w:val="22"/>
        </w:rPr>
        <w:t>首府</w:t>
      </w:r>
      <w:r>
        <w:rPr>
          <w:color w:val="333333"/>
          <w:sz w:val="22"/>
          <w:szCs w:val="22"/>
        </w:rPr>
        <w:t>)</w:t>
      </w:r>
      <w:r>
        <w:rPr>
          <w:rFonts w:cs="宋体" w:hint="eastAsia"/>
          <w:color w:val="333333"/>
          <w:sz w:val="22"/>
          <w:szCs w:val="22"/>
        </w:rPr>
        <w:t>城市中心支行，副省级城市中心支行：</w:t>
      </w:r>
    </w:p>
    <w:p w:rsidR="00A32067" w:rsidRDefault="00A32067" w:rsidP="005431C7">
      <w:pPr>
        <w:widowControl/>
        <w:shd w:val="clear" w:color="auto" w:fill="FFFFFF"/>
        <w:spacing w:line="360" w:lineRule="auto"/>
        <w:ind w:firstLineChars="200" w:firstLine="31680"/>
        <w:jc w:val="left"/>
        <w:rPr>
          <w:color w:val="333333"/>
          <w:sz w:val="22"/>
          <w:szCs w:val="22"/>
        </w:rPr>
      </w:pPr>
      <w:r>
        <w:rPr>
          <w:rFonts w:cs="宋体" w:hint="eastAsia"/>
          <w:color w:val="333333"/>
          <w:sz w:val="22"/>
          <w:szCs w:val="22"/>
        </w:rPr>
        <w:t>根据《国务院关于深化改革严格土地管理的决定》</w:t>
      </w:r>
      <w:r>
        <w:rPr>
          <w:color w:val="333333"/>
          <w:sz w:val="22"/>
          <w:szCs w:val="22"/>
        </w:rPr>
        <w:t>(</w:t>
      </w:r>
      <w:r>
        <w:rPr>
          <w:rFonts w:cs="宋体" w:hint="eastAsia"/>
          <w:color w:val="333333"/>
          <w:sz w:val="22"/>
          <w:szCs w:val="22"/>
        </w:rPr>
        <w:t>国发</w:t>
      </w:r>
      <w:r>
        <w:rPr>
          <w:color w:val="333333"/>
          <w:sz w:val="22"/>
          <w:szCs w:val="22"/>
        </w:rPr>
        <w:t>[2004]28</w:t>
      </w:r>
      <w:r>
        <w:rPr>
          <w:rFonts w:cs="宋体" w:hint="eastAsia"/>
          <w:color w:val="333333"/>
          <w:sz w:val="22"/>
          <w:szCs w:val="22"/>
        </w:rPr>
        <w:t>号</w:t>
      </w:r>
      <w:r>
        <w:rPr>
          <w:color w:val="333333"/>
          <w:sz w:val="22"/>
          <w:szCs w:val="22"/>
        </w:rPr>
        <w:t>)</w:t>
      </w:r>
      <w:r>
        <w:rPr>
          <w:rFonts w:cs="宋体" w:hint="eastAsia"/>
          <w:color w:val="333333"/>
          <w:sz w:val="22"/>
          <w:szCs w:val="22"/>
        </w:rPr>
        <w:t>和《国务院关于加强土地调控有关问题的通知》</w:t>
      </w:r>
      <w:r>
        <w:rPr>
          <w:color w:val="333333"/>
          <w:sz w:val="22"/>
          <w:szCs w:val="22"/>
        </w:rPr>
        <w:t>(</w:t>
      </w:r>
      <w:r>
        <w:rPr>
          <w:rFonts w:cs="宋体" w:hint="eastAsia"/>
          <w:color w:val="333333"/>
          <w:sz w:val="22"/>
          <w:szCs w:val="22"/>
        </w:rPr>
        <w:t>国发</w:t>
      </w:r>
      <w:r>
        <w:rPr>
          <w:color w:val="333333"/>
          <w:sz w:val="22"/>
          <w:szCs w:val="22"/>
        </w:rPr>
        <w:t>[2006]31</w:t>
      </w:r>
      <w:r>
        <w:rPr>
          <w:rFonts w:cs="宋体" w:hint="eastAsia"/>
          <w:color w:val="333333"/>
          <w:sz w:val="22"/>
          <w:szCs w:val="22"/>
        </w:rPr>
        <w:t>号</w:t>
      </w:r>
      <w:r>
        <w:rPr>
          <w:color w:val="333333"/>
          <w:sz w:val="22"/>
          <w:szCs w:val="22"/>
        </w:rPr>
        <w:t>)</w:t>
      </w:r>
      <w:r>
        <w:rPr>
          <w:rFonts w:cs="宋体" w:hint="eastAsia"/>
          <w:color w:val="333333"/>
          <w:sz w:val="22"/>
          <w:szCs w:val="22"/>
        </w:rPr>
        <w:t>的有关规定，为了进一步保护耕地，促进节约集约用地，加强土地调控管理，控制固定资产投资过快增长，现就调整新增建设用地土地有偿使用费政策等问题通知如下：</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一、进一步明确新增建设用地土地有偿使用费征收范围</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新增建设用地为农用地和未利用地转为建设用地。新增建设用地土地有偿使用费，由市、县人民政府按照国土资源部或省、自治区、直辖市国土资源管理部门核定的当地实际新增建设用地面积、相应等别和征收标准缴纳。新增建设用地土地有偿使用费的征收范围为：土地利用总体规划确定的城市</w:t>
      </w:r>
      <w:r>
        <w:rPr>
          <w:color w:val="333333"/>
          <w:sz w:val="22"/>
          <w:szCs w:val="22"/>
        </w:rPr>
        <w:t>(</w:t>
      </w:r>
      <w:r>
        <w:rPr>
          <w:rFonts w:cs="宋体" w:hint="eastAsia"/>
          <w:color w:val="333333"/>
          <w:sz w:val="22"/>
          <w:szCs w:val="22"/>
        </w:rPr>
        <w:t>含建制镇</w:t>
      </w:r>
      <w:r>
        <w:rPr>
          <w:color w:val="333333"/>
          <w:sz w:val="22"/>
          <w:szCs w:val="22"/>
        </w:rPr>
        <w:t>)</w:t>
      </w:r>
      <w:r>
        <w:rPr>
          <w:rFonts w:cs="宋体" w:hint="eastAsia"/>
          <w:color w:val="333333"/>
          <w:sz w:val="22"/>
          <w:szCs w:val="22"/>
        </w:rPr>
        <w:t>建设用地范围内的新增建设用地</w:t>
      </w:r>
      <w:r>
        <w:rPr>
          <w:color w:val="333333"/>
          <w:sz w:val="22"/>
          <w:szCs w:val="22"/>
        </w:rPr>
        <w:t>(</w:t>
      </w:r>
      <w:r>
        <w:rPr>
          <w:rFonts w:cs="宋体" w:hint="eastAsia"/>
          <w:color w:val="333333"/>
          <w:sz w:val="22"/>
          <w:szCs w:val="22"/>
        </w:rPr>
        <w:t>含村庄和集镇新增建设用地</w:t>
      </w:r>
      <w:r>
        <w:rPr>
          <w:color w:val="333333"/>
          <w:sz w:val="22"/>
          <w:szCs w:val="22"/>
        </w:rPr>
        <w:t>)</w:t>
      </w:r>
      <w:r>
        <w:rPr>
          <w:rFonts w:cs="宋体" w:hint="eastAsia"/>
          <w:color w:val="333333"/>
          <w:sz w:val="22"/>
          <w:szCs w:val="22"/>
        </w:rPr>
        <w:t>；在土地利用总体规划确定的城市</w:t>
      </w:r>
      <w:r>
        <w:rPr>
          <w:color w:val="333333"/>
          <w:sz w:val="22"/>
          <w:szCs w:val="22"/>
        </w:rPr>
        <w:t>(</w:t>
      </w:r>
      <w:r>
        <w:rPr>
          <w:rFonts w:cs="宋体" w:hint="eastAsia"/>
          <w:color w:val="333333"/>
          <w:sz w:val="22"/>
          <w:szCs w:val="22"/>
        </w:rPr>
        <w:t>含建制镇</w:t>
      </w:r>
      <w:r>
        <w:rPr>
          <w:color w:val="333333"/>
          <w:sz w:val="22"/>
          <w:szCs w:val="22"/>
        </w:rPr>
        <w:t>)</w:t>
      </w:r>
      <w:r>
        <w:rPr>
          <w:rFonts w:cs="宋体" w:hint="eastAsia"/>
          <w:color w:val="333333"/>
          <w:sz w:val="22"/>
          <w:szCs w:val="22"/>
        </w:rPr>
        <w:t>、村庄和集镇建设用地范围外单独选址、依法以出让等有偿使用方式取得的新增建设用地；在水利水电工程建设中，移民迁建用地占用城市</w:t>
      </w:r>
      <w:r>
        <w:rPr>
          <w:color w:val="333333"/>
          <w:sz w:val="22"/>
          <w:szCs w:val="22"/>
        </w:rPr>
        <w:t>(</w:t>
      </w:r>
      <w:r>
        <w:rPr>
          <w:rFonts w:cs="宋体" w:hint="eastAsia"/>
          <w:color w:val="333333"/>
          <w:sz w:val="22"/>
          <w:szCs w:val="22"/>
        </w:rPr>
        <w:t>含建制镇</w:t>
      </w:r>
      <w:r>
        <w:rPr>
          <w:color w:val="333333"/>
          <w:sz w:val="22"/>
          <w:szCs w:val="22"/>
        </w:rPr>
        <w:t>)</w:t>
      </w:r>
      <w:r>
        <w:rPr>
          <w:rFonts w:cs="宋体" w:hint="eastAsia"/>
          <w:color w:val="333333"/>
          <w:sz w:val="22"/>
          <w:szCs w:val="22"/>
        </w:rPr>
        <w:t>土地利用总体规划确定的经批准超出原建设用地面积的新增建设用地。</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因违法批地、占用而实际发生的新增建设用地，应按照国土资源部认定的实际新增建设用地面积、相应等别和征收标准缴纳新增建设用地土地有偿使用费。</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二、调整新增建设用地土地有偿使用费征收等别和征收标准</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从</w:t>
      </w:r>
      <w:r>
        <w:rPr>
          <w:color w:val="333333"/>
          <w:sz w:val="22"/>
          <w:szCs w:val="22"/>
        </w:rPr>
        <w:t>2007</w:t>
      </w:r>
      <w:r>
        <w:rPr>
          <w:rFonts w:cs="宋体" w:hint="eastAsia"/>
          <w:color w:val="333333"/>
          <w:sz w:val="22"/>
          <w:szCs w:val="22"/>
        </w:rPr>
        <w:t>年</w:t>
      </w:r>
      <w:r>
        <w:rPr>
          <w:color w:val="333333"/>
          <w:sz w:val="22"/>
          <w:szCs w:val="22"/>
        </w:rPr>
        <w:t>1</w:t>
      </w:r>
      <w:r>
        <w:rPr>
          <w:rFonts w:cs="宋体" w:hint="eastAsia"/>
          <w:color w:val="333333"/>
          <w:sz w:val="22"/>
          <w:szCs w:val="22"/>
        </w:rPr>
        <w:t>月</w:t>
      </w:r>
      <w:r>
        <w:rPr>
          <w:color w:val="333333"/>
          <w:sz w:val="22"/>
          <w:szCs w:val="22"/>
        </w:rPr>
        <w:t>1</w:t>
      </w:r>
      <w:r>
        <w:rPr>
          <w:rFonts w:cs="宋体" w:hint="eastAsia"/>
          <w:color w:val="333333"/>
          <w:sz w:val="22"/>
          <w:szCs w:val="22"/>
        </w:rPr>
        <w:t>日起，新批准新增建设用地的土地有偿使用费征收标准在原有基础上提高</w:t>
      </w:r>
      <w:r>
        <w:rPr>
          <w:color w:val="333333"/>
          <w:sz w:val="22"/>
          <w:szCs w:val="22"/>
        </w:rPr>
        <w:t>1</w:t>
      </w:r>
      <w:r>
        <w:rPr>
          <w:rFonts w:cs="宋体" w:hint="eastAsia"/>
          <w:color w:val="333333"/>
          <w:sz w:val="22"/>
          <w:szCs w:val="22"/>
        </w:rPr>
        <w:t>倍，提高后的新增建设用地土地有偿使用费征收标准详见附件</w:t>
      </w:r>
      <w:r>
        <w:rPr>
          <w:color w:val="333333"/>
          <w:sz w:val="22"/>
          <w:szCs w:val="22"/>
        </w:rPr>
        <w:t>1</w:t>
      </w:r>
      <w:r>
        <w:rPr>
          <w:rFonts w:cs="宋体" w:hint="eastAsia"/>
          <w:color w:val="333333"/>
          <w:sz w:val="22"/>
          <w:szCs w:val="22"/>
        </w:rPr>
        <w:t>。同时，根据各地行政区划变动情况，相应细化新增建设用地土地有偿使用费征收等别，细化后的《新增建设用地土地有偿使用费征收等别》详见附件</w:t>
      </w:r>
      <w:r>
        <w:rPr>
          <w:color w:val="333333"/>
          <w:sz w:val="22"/>
          <w:szCs w:val="22"/>
        </w:rPr>
        <w:t>2</w:t>
      </w:r>
      <w:r>
        <w:rPr>
          <w:rFonts w:cs="宋体" w:hint="eastAsia"/>
          <w:color w:val="333333"/>
          <w:sz w:val="22"/>
          <w:szCs w:val="22"/>
        </w:rPr>
        <w:t>。</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今后，财政部将会同国土资源部根据国家土地调控政策需要，结合各地基准地价水平、耕地总量和人均耕地面积、社会经济发展水平等状况，适时调整新增建设用地土地有偿使用费征收等别和征收标准，并向全社会公布。</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三、调整地方新增建设用地土地有偿使用费分成管理方式</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新增建设用地土地有偿使用费征收标准提高后，仍实行中央与地方</w:t>
      </w:r>
      <w:r>
        <w:rPr>
          <w:color w:val="333333"/>
          <w:sz w:val="22"/>
          <w:szCs w:val="22"/>
        </w:rPr>
        <w:t>30</w:t>
      </w:r>
      <w:r>
        <w:rPr>
          <w:rFonts w:cs="宋体" w:hint="eastAsia"/>
          <w:color w:val="333333"/>
          <w:sz w:val="22"/>
          <w:szCs w:val="22"/>
        </w:rPr>
        <w:t>：</w:t>
      </w:r>
      <w:r>
        <w:rPr>
          <w:color w:val="333333"/>
          <w:sz w:val="22"/>
          <w:szCs w:val="22"/>
        </w:rPr>
        <w:t>70</w:t>
      </w:r>
      <w:r>
        <w:rPr>
          <w:rFonts w:cs="宋体" w:hint="eastAsia"/>
          <w:color w:val="333333"/>
          <w:sz w:val="22"/>
          <w:szCs w:val="22"/>
        </w:rPr>
        <w:t>分成体制。同时，为加强对土地利用的调控，从</w:t>
      </w:r>
      <w:r>
        <w:rPr>
          <w:color w:val="333333"/>
          <w:sz w:val="22"/>
          <w:szCs w:val="22"/>
        </w:rPr>
        <w:t>2007</w:t>
      </w:r>
      <w:r>
        <w:rPr>
          <w:rFonts w:cs="宋体" w:hint="eastAsia"/>
          <w:color w:val="333333"/>
          <w:sz w:val="22"/>
          <w:szCs w:val="22"/>
        </w:rPr>
        <w:t>年</w:t>
      </w:r>
      <w:r>
        <w:rPr>
          <w:color w:val="333333"/>
          <w:sz w:val="22"/>
          <w:szCs w:val="22"/>
        </w:rPr>
        <w:t>1</w:t>
      </w:r>
      <w:r>
        <w:rPr>
          <w:rFonts w:cs="宋体" w:hint="eastAsia"/>
          <w:color w:val="333333"/>
          <w:sz w:val="22"/>
          <w:szCs w:val="22"/>
        </w:rPr>
        <w:t>月</w:t>
      </w:r>
      <w:r>
        <w:rPr>
          <w:color w:val="333333"/>
          <w:sz w:val="22"/>
          <w:szCs w:val="22"/>
        </w:rPr>
        <w:t>1</w:t>
      </w:r>
      <w:r>
        <w:rPr>
          <w:rFonts w:cs="宋体" w:hint="eastAsia"/>
          <w:color w:val="333333"/>
          <w:sz w:val="22"/>
          <w:szCs w:val="22"/>
        </w:rPr>
        <w:t>日起，调整地方分成的新增建设用地土地有偿使用费管理方式。地方分成的</w:t>
      </w:r>
      <w:r>
        <w:rPr>
          <w:color w:val="333333"/>
          <w:sz w:val="22"/>
          <w:szCs w:val="22"/>
        </w:rPr>
        <w:t>70%</w:t>
      </w:r>
      <w:r>
        <w:rPr>
          <w:rFonts w:cs="宋体" w:hint="eastAsia"/>
          <w:color w:val="333333"/>
          <w:sz w:val="22"/>
          <w:szCs w:val="22"/>
        </w:rPr>
        <w:t>部分，一律全额缴入省级</w:t>
      </w:r>
      <w:r>
        <w:rPr>
          <w:color w:val="333333"/>
          <w:sz w:val="22"/>
          <w:szCs w:val="22"/>
        </w:rPr>
        <w:t>(</w:t>
      </w:r>
      <w:r>
        <w:rPr>
          <w:rFonts w:cs="宋体" w:hint="eastAsia"/>
          <w:color w:val="333333"/>
          <w:sz w:val="22"/>
          <w:szCs w:val="22"/>
        </w:rPr>
        <w:t>含省、自治区、直辖市、计划单列市，下同</w:t>
      </w:r>
      <w:r>
        <w:rPr>
          <w:color w:val="333333"/>
          <w:sz w:val="22"/>
          <w:szCs w:val="22"/>
        </w:rPr>
        <w:t>)</w:t>
      </w:r>
      <w:r>
        <w:rPr>
          <w:rFonts w:cs="宋体" w:hint="eastAsia"/>
          <w:color w:val="333333"/>
          <w:sz w:val="22"/>
          <w:szCs w:val="22"/>
        </w:rPr>
        <w:t>国库。</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四、加强新增建设用地土地有偿使用费征收管理</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新增建设用地土地有偿使用费由国土资源部和各省、自治区、直辖市国土资源管理部门在办理用地审批手续时负责征收，由财政部门负责征收管理，由财政部驻各省、自治区、直辖市、计划单列市财政监察专员办事处</w:t>
      </w:r>
      <w:r>
        <w:rPr>
          <w:color w:val="333333"/>
          <w:sz w:val="22"/>
          <w:szCs w:val="22"/>
        </w:rPr>
        <w:t>(</w:t>
      </w:r>
      <w:r>
        <w:rPr>
          <w:rFonts w:cs="宋体" w:hint="eastAsia"/>
          <w:color w:val="333333"/>
          <w:sz w:val="22"/>
          <w:szCs w:val="22"/>
        </w:rPr>
        <w:t>以下简称财政部驻各地财政监察专员办事处</w:t>
      </w:r>
      <w:r>
        <w:rPr>
          <w:color w:val="333333"/>
          <w:sz w:val="22"/>
          <w:szCs w:val="22"/>
        </w:rPr>
        <w:t>)</w:t>
      </w:r>
      <w:r>
        <w:rPr>
          <w:rFonts w:cs="宋体" w:hint="eastAsia"/>
          <w:color w:val="333333"/>
          <w:sz w:val="22"/>
          <w:szCs w:val="22"/>
        </w:rPr>
        <w:t>以及省级财政部门共同负责监督解缴。</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国土资源部和各省、自治区、直辖市国土资源管理部门在办理用地审批手续时，应当开具新增建设用地土地有偿使用费缴款通知书，通知申请办理新增建设用地审批手续的市、县人民政府在规定的时间内依法足额缴纳新增建设用地土地有偿使用费，同时将缴款通知书抄送财政部、财政部驻各地财政监察专员办事处以及省级财政部门备查。缴款通知书应明确新增建设用地的地类、面积、适用的征收等别、征收标准以及应缴纳的新增建设用地土地有偿使用费具体数额。</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市、县人民政府在收到国土资源管理部门开具的缴款通知书后，应当及时通知市、县财政部门填写一份</w:t>
      </w:r>
      <w:r>
        <w:rPr>
          <w:color w:val="333333"/>
          <w:sz w:val="22"/>
          <w:szCs w:val="22"/>
        </w:rPr>
        <w:t>“</w:t>
      </w:r>
      <w:r>
        <w:rPr>
          <w:rFonts w:cs="宋体" w:hint="eastAsia"/>
          <w:color w:val="333333"/>
          <w:sz w:val="22"/>
          <w:szCs w:val="22"/>
        </w:rPr>
        <w:t>一般缴款书</w:t>
      </w:r>
      <w:r>
        <w:rPr>
          <w:color w:val="333333"/>
          <w:sz w:val="22"/>
          <w:szCs w:val="22"/>
        </w:rPr>
        <w:t>”</w:t>
      </w:r>
      <w:r>
        <w:rPr>
          <w:rFonts w:cs="宋体" w:hint="eastAsia"/>
          <w:color w:val="333333"/>
          <w:sz w:val="22"/>
          <w:szCs w:val="22"/>
        </w:rPr>
        <w:t>，将应当缴纳的新增建设用地土地有偿使用费全额就地缴入国库。市、县财政部门在缴款时，</w:t>
      </w:r>
      <w:r>
        <w:rPr>
          <w:color w:val="333333"/>
          <w:sz w:val="22"/>
          <w:szCs w:val="22"/>
        </w:rPr>
        <w:t>“</w:t>
      </w:r>
      <w:r>
        <w:rPr>
          <w:rFonts w:cs="宋体" w:hint="eastAsia"/>
          <w:color w:val="333333"/>
          <w:sz w:val="22"/>
          <w:szCs w:val="22"/>
        </w:rPr>
        <w:t>一般缴款书</w:t>
      </w:r>
      <w:r>
        <w:rPr>
          <w:color w:val="333333"/>
          <w:sz w:val="22"/>
          <w:szCs w:val="22"/>
        </w:rPr>
        <w:t>”</w:t>
      </w:r>
      <w:r>
        <w:rPr>
          <w:rFonts w:cs="宋体" w:hint="eastAsia"/>
          <w:color w:val="333333"/>
          <w:sz w:val="22"/>
          <w:szCs w:val="22"/>
        </w:rPr>
        <w:t>中收款单位栏填写</w:t>
      </w:r>
      <w:r>
        <w:rPr>
          <w:color w:val="333333"/>
          <w:sz w:val="22"/>
          <w:szCs w:val="22"/>
        </w:rPr>
        <w:t>“</w:t>
      </w:r>
      <w:r>
        <w:rPr>
          <w:rFonts w:cs="宋体" w:hint="eastAsia"/>
          <w:color w:val="333333"/>
          <w:sz w:val="22"/>
          <w:szCs w:val="22"/>
        </w:rPr>
        <w:t>财政部门</w:t>
      </w:r>
      <w:r>
        <w:rPr>
          <w:color w:val="333333"/>
          <w:sz w:val="22"/>
          <w:szCs w:val="22"/>
        </w:rPr>
        <w:t>”</w:t>
      </w:r>
      <w:r>
        <w:rPr>
          <w:rFonts w:cs="宋体" w:hint="eastAsia"/>
          <w:color w:val="333333"/>
          <w:sz w:val="22"/>
          <w:szCs w:val="22"/>
        </w:rPr>
        <w:t>，预算级次填写</w:t>
      </w:r>
      <w:r>
        <w:rPr>
          <w:color w:val="333333"/>
          <w:sz w:val="22"/>
          <w:szCs w:val="22"/>
        </w:rPr>
        <w:t>“</w:t>
      </w:r>
      <w:r>
        <w:rPr>
          <w:rFonts w:cs="宋体" w:hint="eastAsia"/>
          <w:color w:val="333333"/>
          <w:sz w:val="22"/>
          <w:szCs w:val="22"/>
        </w:rPr>
        <w:t>中央和省级共享收入</w:t>
      </w:r>
      <w:r>
        <w:rPr>
          <w:color w:val="333333"/>
          <w:sz w:val="22"/>
          <w:szCs w:val="22"/>
        </w:rPr>
        <w:t>”</w:t>
      </w:r>
      <w:r>
        <w:rPr>
          <w:rFonts w:cs="宋体" w:hint="eastAsia"/>
          <w:color w:val="333333"/>
          <w:sz w:val="22"/>
          <w:szCs w:val="22"/>
        </w:rPr>
        <w:t>，收款国库栏填写当地实际收纳款项的国库名称；填写预算科目时，</w:t>
      </w:r>
      <w:r>
        <w:rPr>
          <w:color w:val="333333"/>
          <w:sz w:val="22"/>
          <w:szCs w:val="22"/>
        </w:rPr>
        <w:t>30%</w:t>
      </w:r>
      <w:r>
        <w:rPr>
          <w:rFonts w:cs="宋体" w:hint="eastAsia"/>
          <w:color w:val="333333"/>
          <w:sz w:val="22"/>
          <w:szCs w:val="22"/>
        </w:rPr>
        <w:t>填列政府收支分类科目</w:t>
      </w:r>
      <w:r>
        <w:rPr>
          <w:color w:val="333333"/>
          <w:sz w:val="22"/>
          <w:szCs w:val="22"/>
        </w:rPr>
        <w:t>103013301</w:t>
      </w:r>
      <w:r>
        <w:rPr>
          <w:rFonts w:cs="宋体" w:hint="eastAsia"/>
          <w:color w:val="333333"/>
          <w:sz w:val="22"/>
          <w:szCs w:val="22"/>
        </w:rPr>
        <w:t>目</w:t>
      </w:r>
      <w:r>
        <w:rPr>
          <w:color w:val="333333"/>
          <w:sz w:val="22"/>
          <w:szCs w:val="22"/>
        </w:rPr>
        <w:t>“</w:t>
      </w:r>
      <w:r>
        <w:rPr>
          <w:rFonts w:cs="宋体" w:hint="eastAsia"/>
          <w:color w:val="333333"/>
          <w:sz w:val="22"/>
          <w:szCs w:val="22"/>
        </w:rPr>
        <w:t>中央新增建设用地土地有偿使用费收入</w:t>
      </w:r>
      <w:r>
        <w:rPr>
          <w:color w:val="333333"/>
          <w:sz w:val="22"/>
          <w:szCs w:val="22"/>
        </w:rPr>
        <w:t>”</w:t>
      </w:r>
      <w:r>
        <w:rPr>
          <w:rFonts w:cs="宋体" w:hint="eastAsia"/>
          <w:color w:val="333333"/>
          <w:sz w:val="22"/>
          <w:szCs w:val="22"/>
        </w:rPr>
        <w:t>科目，</w:t>
      </w:r>
      <w:r>
        <w:rPr>
          <w:color w:val="333333"/>
          <w:sz w:val="22"/>
          <w:szCs w:val="22"/>
        </w:rPr>
        <w:t>70%</w:t>
      </w:r>
      <w:r>
        <w:rPr>
          <w:rFonts w:cs="宋体" w:hint="eastAsia"/>
          <w:color w:val="333333"/>
          <w:sz w:val="22"/>
          <w:szCs w:val="22"/>
        </w:rPr>
        <w:t>填列政府收支分类科目</w:t>
      </w:r>
      <w:r>
        <w:rPr>
          <w:color w:val="333333"/>
          <w:sz w:val="22"/>
          <w:szCs w:val="22"/>
        </w:rPr>
        <w:t>103013302</w:t>
      </w:r>
      <w:r>
        <w:rPr>
          <w:rFonts w:cs="宋体" w:hint="eastAsia"/>
          <w:color w:val="333333"/>
          <w:sz w:val="22"/>
          <w:szCs w:val="22"/>
        </w:rPr>
        <w:t>目</w:t>
      </w:r>
      <w:r>
        <w:rPr>
          <w:color w:val="333333"/>
          <w:sz w:val="22"/>
          <w:szCs w:val="22"/>
        </w:rPr>
        <w:t>“</w:t>
      </w:r>
      <w:r>
        <w:rPr>
          <w:rFonts w:cs="宋体" w:hint="eastAsia"/>
          <w:color w:val="333333"/>
          <w:sz w:val="22"/>
          <w:szCs w:val="22"/>
        </w:rPr>
        <w:t>地方新增建设用地土地有偿使用费收入</w:t>
      </w:r>
      <w:r>
        <w:rPr>
          <w:color w:val="333333"/>
          <w:sz w:val="22"/>
          <w:szCs w:val="22"/>
        </w:rPr>
        <w:t>”</w:t>
      </w:r>
      <w:r>
        <w:rPr>
          <w:rFonts w:cs="宋体" w:hint="eastAsia"/>
          <w:color w:val="333333"/>
          <w:sz w:val="22"/>
          <w:szCs w:val="22"/>
        </w:rPr>
        <w:t>科目。国库部门办理缴库手续后，将加盖国库印章的</w:t>
      </w:r>
      <w:r>
        <w:rPr>
          <w:color w:val="333333"/>
          <w:sz w:val="22"/>
          <w:szCs w:val="22"/>
        </w:rPr>
        <w:t>“</w:t>
      </w:r>
      <w:r>
        <w:rPr>
          <w:rFonts w:cs="宋体" w:hint="eastAsia"/>
          <w:color w:val="333333"/>
          <w:sz w:val="22"/>
          <w:szCs w:val="22"/>
        </w:rPr>
        <w:t>一般缴款书</w:t>
      </w:r>
      <w:r>
        <w:rPr>
          <w:color w:val="333333"/>
          <w:sz w:val="22"/>
          <w:szCs w:val="22"/>
        </w:rPr>
        <w:t>”</w:t>
      </w:r>
      <w:r>
        <w:rPr>
          <w:rFonts w:cs="宋体" w:hint="eastAsia"/>
          <w:color w:val="333333"/>
          <w:sz w:val="22"/>
          <w:szCs w:val="22"/>
        </w:rPr>
        <w:t>第四、五联退市、县财政部门。市、县财政部门将收到的</w:t>
      </w:r>
      <w:r>
        <w:rPr>
          <w:color w:val="333333"/>
          <w:sz w:val="22"/>
          <w:szCs w:val="22"/>
        </w:rPr>
        <w:t>“</w:t>
      </w:r>
      <w:r>
        <w:rPr>
          <w:rFonts w:cs="宋体" w:hint="eastAsia"/>
          <w:color w:val="333333"/>
          <w:sz w:val="22"/>
          <w:szCs w:val="22"/>
        </w:rPr>
        <w:t>一般缴款书</w:t>
      </w:r>
      <w:r>
        <w:rPr>
          <w:color w:val="333333"/>
          <w:sz w:val="22"/>
          <w:szCs w:val="22"/>
        </w:rPr>
        <w:t>”</w:t>
      </w:r>
      <w:r>
        <w:rPr>
          <w:rFonts w:cs="宋体" w:hint="eastAsia"/>
          <w:color w:val="333333"/>
          <w:sz w:val="22"/>
          <w:szCs w:val="22"/>
        </w:rPr>
        <w:t>第四、五联分别报送省级财政部门和财政部驻当地财政监察专员办事处备查。已经实施非税收入收缴管理制度改革的地方，新增建设用地土地有偿使用费的缴库方式，按照非税收入收缴管理制度改革的有关规定执行。市、县财政部门缴纳新增建设用地土地有偿使用费，可以从国有土地使用权出让收入等财政性资金中列支，并填列政府收支分类科目</w:t>
      </w:r>
      <w:r>
        <w:rPr>
          <w:color w:val="333333"/>
          <w:sz w:val="22"/>
          <w:szCs w:val="22"/>
        </w:rPr>
        <w:t>2120899</w:t>
      </w:r>
      <w:r>
        <w:rPr>
          <w:rFonts w:cs="宋体" w:hint="eastAsia"/>
          <w:color w:val="333333"/>
          <w:sz w:val="22"/>
          <w:szCs w:val="22"/>
        </w:rPr>
        <w:t>项</w:t>
      </w:r>
      <w:r>
        <w:rPr>
          <w:color w:val="333333"/>
          <w:sz w:val="22"/>
          <w:szCs w:val="22"/>
        </w:rPr>
        <w:t>“</w:t>
      </w:r>
      <w:r>
        <w:rPr>
          <w:rFonts w:cs="宋体" w:hint="eastAsia"/>
          <w:color w:val="333333"/>
          <w:sz w:val="22"/>
          <w:szCs w:val="22"/>
        </w:rPr>
        <w:t>其他土地使用权出让金支出</w:t>
      </w:r>
      <w:r>
        <w:rPr>
          <w:color w:val="333333"/>
          <w:sz w:val="22"/>
          <w:szCs w:val="22"/>
        </w:rPr>
        <w:t>”</w:t>
      </w:r>
      <w:r>
        <w:rPr>
          <w:rFonts w:cs="宋体" w:hint="eastAsia"/>
          <w:color w:val="333333"/>
          <w:sz w:val="22"/>
          <w:szCs w:val="22"/>
        </w:rPr>
        <w:t>等相应科目。</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国土资源部和各省、自治区、直辖市国土资源管理部门应当在收到市、县人民政府已足额缴纳新增建设用地土地有偿使用费的有效凭证后，再依法办理用地批准文件，并抄送财政部、财政部驻各地财政监察专员办事处以及省级财政部门。财政部驻各地财政监察专员办事处以及省级财政部门，要按照国土资源管理部门开具的新增建设用地土地有偿使用费缴款通知书、缴款凭证、用地批准文件等，抽查核实市、县人民政府是否及时足额缴纳新增建设用地土地有偿使用费，并按月做好与国库以及国土资源管理部门的对账工作，确保有关数据准确无误。</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严禁市、县人民政府和有关部门将新增建设用地土地有偿使用费转嫁由用地单位缴纳。严禁在审批新增建设用地时采取</w:t>
      </w:r>
      <w:r>
        <w:rPr>
          <w:color w:val="333333"/>
          <w:sz w:val="22"/>
          <w:szCs w:val="22"/>
        </w:rPr>
        <w:t>“</w:t>
      </w:r>
      <w:r>
        <w:rPr>
          <w:rFonts w:cs="宋体" w:hint="eastAsia"/>
          <w:color w:val="333333"/>
          <w:sz w:val="22"/>
          <w:szCs w:val="22"/>
        </w:rPr>
        <w:t>以租代征</w:t>
      </w:r>
      <w:r>
        <w:rPr>
          <w:color w:val="333333"/>
          <w:sz w:val="22"/>
          <w:szCs w:val="22"/>
        </w:rPr>
        <w:t>”</w:t>
      </w:r>
      <w:r>
        <w:rPr>
          <w:rFonts w:cs="宋体" w:hint="eastAsia"/>
          <w:color w:val="333333"/>
          <w:sz w:val="22"/>
          <w:szCs w:val="22"/>
        </w:rPr>
        <w:t>等方式，逃避缴纳新增建设用地土地有偿使用费。市、县人民政府凡不按国家规定的等别和征收标准及时足额缴纳新增建设用地土地有偿使用费的，国土资源部和各省、自治区、直辖市国土资源管理部门一律不得办理用地审批手续和批准文件。任何地区、部门、单位和个人，均不得减免、缓缴、挤占、截留和挪用新增建设用地土地有偿使用费。</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五、认真做好新增建设用地土地有偿使用费清欠工作</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国土资源管理部门和财政部门要加强新增建设用地土地有偿使用费征收工作，对于地方违反规定减免和欠缴新增建设用地土地有偿使用费的，要进行逐项清理，并限期追缴。其中：对于</w:t>
      </w:r>
      <w:r>
        <w:rPr>
          <w:color w:val="333333"/>
          <w:sz w:val="22"/>
          <w:szCs w:val="22"/>
        </w:rPr>
        <w:t>2004</w:t>
      </w:r>
      <w:r>
        <w:rPr>
          <w:rFonts w:cs="宋体" w:hint="eastAsia"/>
          <w:color w:val="333333"/>
          <w:sz w:val="22"/>
          <w:szCs w:val="22"/>
        </w:rPr>
        <w:t>年《国务院关于深化改革严格土地管理的决定》</w:t>
      </w:r>
      <w:r>
        <w:rPr>
          <w:color w:val="333333"/>
          <w:sz w:val="22"/>
          <w:szCs w:val="22"/>
        </w:rPr>
        <w:t>(</w:t>
      </w:r>
      <w:r>
        <w:rPr>
          <w:rFonts w:cs="宋体" w:hint="eastAsia"/>
          <w:color w:val="333333"/>
          <w:sz w:val="22"/>
          <w:szCs w:val="22"/>
        </w:rPr>
        <w:t>国发〔</w:t>
      </w:r>
      <w:r>
        <w:rPr>
          <w:color w:val="333333"/>
          <w:sz w:val="22"/>
          <w:szCs w:val="22"/>
        </w:rPr>
        <w:t>2004</w:t>
      </w:r>
      <w:r>
        <w:rPr>
          <w:rFonts w:cs="宋体" w:hint="eastAsia"/>
          <w:color w:val="333333"/>
          <w:sz w:val="22"/>
          <w:szCs w:val="22"/>
        </w:rPr>
        <w:t>〕</w:t>
      </w:r>
      <w:r>
        <w:rPr>
          <w:color w:val="333333"/>
          <w:sz w:val="22"/>
          <w:szCs w:val="22"/>
        </w:rPr>
        <w:t>28</w:t>
      </w:r>
      <w:r>
        <w:rPr>
          <w:rFonts w:cs="宋体" w:hint="eastAsia"/>
          <w:color w:val="333333"/>
          <w:sz w:val="22"/>
          <w:szCs w:val="22"/>
        </w:rPr>
        <w:t>号</w:t>
      </w:r>
      <w:r>
        <w:rPr>
          <w:color w:val="333333"/>
          <w:sz w:val="22"/>
          <w:szCs w:val="22"/>
        </w:rPr>
        <w:t>)</w:t>
      </w:r>
      <w:r>
        <w:rPr>
          <w:rFonts w:cs="宋体" w:hint="eastAsia"/>
          <w:color w:val="333333"/>
          <w:sz w:val="22"/>
          <w:szCs w:val="22"/>
        </w:rPr>
        <w:t>发布后，各地违反规定减免和欠缴的，要在</w:t>
      </w:r>
      <w:r>
        <w:rPr>
          <w:color w:val="333333"/>
          <w:sz w:val="22"/>
          <w:szCs w:val="22"/>
        </w:rPr>
        <w:t>2006</w:t>
      </w:r>
      <w:r>
        <w:rPr>
          <w:rFonts w:cs="宋体" w:hint="eastAsia"/>
          <w:color w:val="333333"/>
          <w:sz w:val="22"/>
          <w:szCs w:val="22"/>
        </w:rPr>
        <w:t>年</w:t>
      </w:r>
      <w:r>
        <w:rPr>
          <w:color w:val="333333"/>
          <w:sz w:val="22"/>
          <w:szCs w:val="22"/>
        </w:rPr>
        <w:t>12</w:t>
      </w:r>
      <w:r>
        <w:rPr>
          <w:rFonts w:cs="宋体" w:hint="eastAsia"/>
          <w:color w:val="333333"/>
          <w:sz w:val="22"/>
          <w:szCs w:val="22"/>
        </w:rPr>
        <w:t>月</w:t>
      </w:r>
      <w:r>
        <w:rPr>
          <w:color w:val="333333"/>
          <w:sz w:val="22"/>
          <w:szCs w:val="22"/>
        </w:rPr>
        <w:t>31</w:t>
      </w:r>
      <w:r>
        <w:rPr>
          <w:rFonts w:cs="宋体" w:hint="eastAsia"/>
          <w:color w:val="333333"/>
          <w:sz w:val="22"/>
          <w:szCs w:val="22"/>
        </w:rPr>
        <w:t>日前全部清缴完毕。</w:t>
      </w:r>
      <w:r>
        <w:rPr>
          <w:color w:val="333333"/>
          <w:sz w:val="22"/>
          <w:szCs w:val="22"/>
        </w:rPr>
        <w:t>2006</w:t>
      </w:r>
      <w:r>
        <w:rPr>
          <w:rFonts w:cs="宋体" w:hint="eastAsia"/>
          <w:color w:val="333333"/>
          <w:sz w:val="22"/>
          <w:szCs w:val="22"/>
        </w:rPr>
        <w:t>年</w:t>
      </w:r>
      <w:r>
        <w:rPr>
          <w:color w:val="333333"/>
          <w:sz w:val="22"/>
          <w:szCs w:val="22"/>
        </w:rPr>
        <w:t>12</w:t>
      </w:r>
      <w:r>
        <w:rPr>
          <w:rFonts w:cs="宋体" w:hint="eastAsia"/>
          <w:color w:val="333333"/>
          <w:sz w:val="22"/>
          <w:szCs w:val="22"/>
        </w:rPr>
        <w:t>月</w:t>
      </w:r>
      <w:r>
        <w:rPr>
          <w:color w:val="333333"/>
          <w:sz w:val="22"/>
          <w:szCs w:val="22"/>
        </w:rPr>
        <w:t>31</w:t>
      </w:r>
      <w:r>
        <w:rPr>
          <w:rFonts w:cs="宋体" w:hint="eastAsia"/>
          <w:color w:val="333333"/>
          <w:sz w:val="22"/>
          <w:szCs w:val="22"/>
        </w:rPr>
        <w:t>日前清缴的新增建设用地土地有偿使用费，按照原有规定解缴入库；</w:t>
      </w:r>
      <w:r>
        <w:rPr>
          <w:color w:val="333333"/>
          <w:sz w:val="22"/>
          <w:szCs w:val="22"/>
        </w:rPr>
        <w:t>2006</w:t>
      </w:r>
      <w:r>
        <w:rPr>
          <w:rFonts w:cs="宋体" w:hint="eastAsia"/>
          <w:color w:val="333333"/>
          <w:sz w:val="22"/>
          <w:szCs w:val="22"/>
        </w:rPr>
        <w:t>年</w:t>
      </w:r>
      <w:r>
        <w:rPr>
          <w:color w:val="333333"/>
          <w:sz w:val="22"/>
          <w:szCs w:val="22"/>
        </w:rPr>
        <w:t>12</w:t>
      </w:r>
      <w:r>
        <w:rPr>
          <w:rFonts w:cs="宋体" w:hint="eastAsia"/>
          <w:color w:val="333333"/>
          <w:sz w:val="22"/>
          <w:szCs w:val="22"/>
        </w:rPr>
        <w:t>月</w:t>
      </w:r>
      <w:r>
        <w:rPr>
          <w:color w:val="333333"/>
          <w:sz w:val="22"/>
          <w:szCs w:val="22"/>
        </w:rPr>
        <w:t>31</w:t>
      </w:r>
      <w:r>
        <w:rPr>
          <w:rFonts w:cs="宋体" w:hint="eastAsia"/>
          <w:color w:val="333333"/>
          <w:sz w:val="22"/>
          <w:szCs w:val="22"/>
        </w:rPr>
        <w:t>日以后清缴的新增建设用地土地有偿使用费，一律按照本通知第四条规定解缴入库。逾期未缴的，一律暂停审批该市、县下一年度新增建设用地指标，并按其滞纳金额及日期按日加收</w:t>
      </w:r>
      <w:r>
        <w:rPr>
          <w:color w:val="333333"/>
          <w:sz w:val="22"/>
          <w:szCs w:val="22"/>
        </w:rPr>
        <w:t>1‰</w:t>
      </w:r>
      <w:r>
        <w:rPr>
          <w:rFonts w:cs="宋体" w:hint="eastAsia"/>
          <w:color w:val="333333"/>
          <w:sz w:val="22"/>
          <w:szCs w:val="22"/>
        </w:rPr>
        <w:t>的滞纳金。滞纳金随同清缴的新增建设用地土地有偿使用费一并按规定比例分别缴入中央和省级国库。拒不缴纳的，除了由国土资源部和各省、自治区、直辖市国土资源管理部门会同同级财政部门进行公示、暂停办理新的新增建设用地审批手续和下达该市、县下一年度新增建设用地指标、加收滞纳金以外，还应由财政部和省级财政部门在办理年终结算时予以相应抵扣。</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六、改进和完善新增建设用地土地有偿使用费使用管理</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为提高新增建设用地土地有偿使用费使用效率，进一步改进和完善新增建设用地土地有偿使用费使用管理。从</w:t>
      </w:r>
      <w:r>
        <w:rPr>
          <w:color w:val="333333"/>
          <w:sz w:val="22"/>
          <w:szCs w:val="22"/>
        </w:rPr>
        <w:t>2007</w:t>
      </w:r>
      <w:r>
        <w:rPr>
          <w:rFonts w:cs="宋体" w:hint="eastAsia"/>
          <w:color w:val="333333"/>
          <w:sz w:val="22"/>
          <w:szCs w:val="22"/>
        </w:rPr>
        <w:t>年</w:t>
      </w:r>
      <w:r>
        <w:rPr>
          <w:color w:val="333333"/>
          <w:sz w:val="22"/>
          <w:szCs w:val="22"/>
        </w:rPr>
        <w:t>1</w:t>
      </w:r>
      <w:r>
        <w:rPr>
          <w:rFonts w:cs="宋体" w:hint="eastAsia"/>
          <w:color w:val="333333"/>
          <w:sz w:val="22"/>
          <w:szCs w:val="22"/>
        </w:rPr>
        <w:t>月</w:t>
      </w:r>
      <w:r>
        <w:rPr>
          <w:color w:val="333333"/>
          <w:sz w:val="22"/>
          <w:szCs w:val="22"/>
        </w:rPr>
        <w:t>1</w:t>
      </w:r>
      <w:r>
        <w:rPr>
          <w:rFonts w:cs="宋体" w:hint="eastAsia"/>
          <w:color w:val="333333"/>
          <w:sz w:val="22"/>
          <w:szCs w:val="22"/>
        </w:rPr>
        <w:t>日起，中央分成的新增建设用地土地有偿使用费，由财政部会同国土资源部主要参照各地国土资源管理部门核实的截至上一年底基本农田面积和国家确定的土地开发整理重点任务分配给各省、自治区、直辖市、计划单列市，并向中西部地区和粮食主产区倾斜，专项用于基本农田建设和保护、土地整理、耕地开发等开支。各省、自治区、直辖市、计划单列市分成的部分，加上中央财政专项分配的新增建设用地土地有偿使用费，统一由省级财政部门会同国土资源管理部门，主要参照各地国土资源管理部门核实的截至上一年底基本农田面积、国家和省级确定的土地开发整理重点任务分配给市、县，专项用于基本农田建设和保护、土地整理、耕地开发等开支。</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将政府收支分类科目</w:t>
      </w:r>
      <w:r>
        <w:rPr>
          <w:color w:val="333333"/>
          <w:sz w:val="22"/>
          <w:szCs w:val="22"/>
        </w:rPr>
        <w:t>212</w:t>
      </w:r>
      <w:r>
        <w:rPr>
          <w:rFonts w:cs="宋体" w:hint="eastAsia"/>
          <w:color w:val="333333"/>
          <w:sz w:val="22"/>
          <w:szCs w:val="22"/>
        </w:rPr>
        <w:t>类</w:t>
      </w:r>
      <w:r>
        <w:rPr>
          <w:color w:val="333333"/>
          <w:sz w:val="22"/>
          <w:szCs w:val="22"/>
        </w:rPr>
        <w:t>“</w:t>
      </w:r>
      <w:r>
        <w:rPr>
          <w:rFonts w:cs="宋体" w:hint="eastAsia"/>
          <w:color w:val="333333"/>
          <w:sz w:val="22"/>
          <w:szCs w:val="22"/>
        </w:rPr>
        <w:t>城乡社区事务</w:t>
      </w:r>
      <w:r>
        <w:rPr>
          <w:color w:val="333333"/>
          <w:sz w:val="22"/>
          <w:szCs w:val="22"/>
        </w:rPr>
        <w:t>”08</w:t>
      </w:r>
      <w:r>
        <w:rPr>
          <w:rFonts w:cs="宋体" w:hint="eastAsia"/>
          <w:color w:val="333333"/>
          <w:sz w:val="22"/>
          <w:szCs w:val="22"/>
        </w:rPr>
        <w:t>款</w:t>
      </w:r>
      <w:r>
        <w:rPr>
          <w:color w:val="333333"/>
          <w:sz w:val="22"/>
          <w:szCs w:val="22"/>
        </w:rPr>
        <w:t>“</w:t>
      </w:r>
      <w:r>
        <w:rPr>
          <w:rFonts w:cs="宋体" w:hint="eastAsia"/>
          <w:color w:val="333333"/>
          <w:sz w:val="22"/>
          <w:szCs w:val="22"/>
        </w:rPr>
        <w:t>国有土地使用权出让金支出</w:t>
      </w:r>
      <w:r>
        <w:rPr>
          <w:color w:val="333333"/>
          <w:sz w:val="22"/>
          <w:szCs w:val="22"/>
        </w:rPr>
        <w:t>”</w:t>
      </w:r>
      <w:r>
        <w:rPr>
          <w:rFonts w:cs="宋体" w:hint="eastAsia"/>
          <w:color w:val="333333"/>
          <w:sz w:val="22"/>
          <w:szCs w:val="22"/>
        </w:rPr>
        <w:t>中的</w:t>
      </w:r>
      <w:r>
        <w:rPr>
          <w:color w:val="333333"/>
          <w:sz w:val="22"/>
          <w:szCs w:val="22"/>
        </w:rPr>
        <w:t>06</w:t>
      </w:r>
      <w:r>
        <w:rPr>
          <w:rFonts w:cs="宋体" w:hint="eastAsia"/>
          <w:color w:val="333333"/>
          <w:sz w:val="22"/>
          <w:szCs w:val="22"/>
        </w:rPr>
        <w:t>项</w:t>
      </w:r>
      <w:r>
        <w:rPr>
          <w:color w:val="333333"/>
          <w:sz w:val="22"/>
          <w:szCs w:val="22"/>
        </w:rPr>
        <w:t>“</w:t>
      </w:r>
      <w:r>
        <w:rPr>
          <w:rFonts w:cs="宋体" w:hint="eastAsia"/>
          <w:color w:val="333333"/>
          <w:sz w:val="22"/>
          <w:szCs w:val="22"/>
        </w:rPr>
        <w:t>耕地开发专项支出</w:t>
      </w:r>
      <w:r>
        <w:rPr>
          <w:color w:val="333333"/>
          <w:sz w:val="22"/>
          <w:szCs w:val="22"/>
        </w:rPr>
        <w:t>”</w:t>
      </w:r>
      <w:r>
        <w:rPr>
          <w:rFonts w:cs="宋体" w:hint="eastAsia"/>
          <w:color w:val="333333"/>
          <w:sz w:val="22"/>
          <w:szCs w:val="22"/>
        </w:rPr>
        <w:t>科目，修改为</w:t>
      </w:r>
      <w:r>
        <w:rPr>
          <w:color w:val="333333"/>
          <w:sz w:val="22"/>
          <w:szCs w:val="22"/>
        </w:rPr>
        <w:t>12</w:t>
      </w:r>
      <w:r>
        <w:rPr>
          <w:rFonts w:cs="宋体" w:hint="eastAsia"/>
          <w:color w:val="333333"/>
          <w:sz w:val="22"/>
          <w:szCs w:val="22"/>
        </w:rPr>
        <w:t>项</w:t>
      </w:r>
      <w:r>
        <w:rPr>
          <w:color w:val="333333"/>
          <w:sz w:val="22"/>
          <w:szCs w:val="22"/>
        </w:rPr>
        <w:t>“</w:t>
      </w:r>
      <w:r>
        <w:rPr>
          <w:rFonts w:cs="宋体" w:hint="eastAsia"/>
          <w:color w:val="333333"/>
          <w:sz w:val="22"/>
          <w:szCs w:val="22"/>
        </w:rPr>
        <w:t>耕地开发专项支出</w:t>
      </w:r>
      <w:r>
        <w:rPr>
          <w:color w:val="333333"/>
          <w:sz w:val="22"/>
          <w:szCs w:val="22"/>
        </w:rPr>
        <w:t>”</w:t>
      </w:r>
      <w:r>
        <w:rPr>
          <w:rFonts w:cs="宋体" w:hint="eastAsia"/>
          <w:color w:val="333333"/>
          <w:sz w:val="22"/>
          <w:szCs w:val="22"/>
        </w:rPr>
        <w:t>科目，增设</w:t>
      </w:r>
      <w:r>
        <w:rPr>
          <w:color w:val="333333"/>
          <w:sz w:val="22"/>
          <w:szCs w:val="22"/>
        </w:rPr>
        <w:t>13</w:t>
      </w:r>
      <w:r>
        <w:rPr>
          <w:rFonts w:cs="宋体" w:hint="eastAsia"/>
          <w:color w:val="333333"/>
          <w:sz w:val="22"/>
          <w:szCs w:val="22"/>
        </w:rPr>
        <w:t>项</w:t>
      </w:r>
      <w:r>
        <w:rPr>
          <w:color w:val="333333"/>
          <w:sz w:val="22"/>
          <w:szCs w:val="22"/>
        </w:rPr>
        <w:t>“</w:t>
      </w:r>
      <w:r>
        <w:rPr>
          <w:rFonts w:cs="宋体" w:hint="eastAsia"/>
          <w:color w:val="333333"/>
          <w:sz w:val="22"/>
          <w:szCs w:val="22"/>
        </w:rPr>
        <w:t>基本农田建设和保护支出</w:t>
      </w:r>
      <w:r>
        <w:rPr>
          <w:color w:val="333333"/>
          <w:sz w:val="22"/>
          <w:szCs w:val="22"/>
        </w:rPr>
        <w:t>”</w:t>
      </w:r>
      <w:r>
        <w:rPr>
          <w:rFonts w:cs="宋体" w:hint="eastAsia"/>
          <w:color w:val="333333"/>
          <w:sz w:val="22"/>
          <w:szCs w:val="22"/>
        </w:rPr>
        <w:t>、</w:t>
      </w:r>
      <w:r>
        <w:rPr>
          <w:color w:val="333333"/>
          <w:sz w:val="22"/>
          <w:szCs w:val="22"/>
        </w:rPr>
        <w:t>14</w:t>
      </w:r>
      <w:r>
        <w:rPr>
          <w:rFonts w:cs="宋体" w:hint="eastAsia"/>
          <w:color w:val="333333"/>
          <w:sz w:val="22"/>
          <w:szCs w:val="22"/>
        </w:rPr>
        <w:t>项</w:t>
      </w:r>
      <w:r>
        <w:rPr>
          <w:color w:val="333333"/>
          <w:sz w:val="22"/>
          <w:szCs w:val="22"/>
        </w:rPr>
        <w:t>“</w:t>
      </w:r>
      <w:r>
        <w:rPr>
          <w:rFonts w:cs="宋体" w:hint="eastAsia"/>
          <w:color w:val="333333"/>
          <w:sz w:val="22"/>
          <w:szCs w:val="22"/>
        </w:rPr>
        <w:t>土地整理支出</w:t>
      </w:r>
      <w:r>
        <w:rPr>
          <w:color w:val="333333"/>
          <w:sz w:val="22"/>
          <w:szCs w:val="22"/>
        </w:rPr>
        <w:t>”</w:t>
      </w:r>
      <w:r>
        <w:rPr>
          <w:rFonts w:cs="宋体" w:hint="eastAsia"/>
          <w:color w:val="333333"/>
          <w:sz w:val="22"/>
          <w:szCs w:val="22"/>
        </w:rPr>
        <w:t>科目，分别反映新增建设用地土地有偿使用费用于上述各项支出情况。</w:t>
      </w:r>
    </w:p>
    <w:p w:rsidR="00A32067" w:rsidRDefault="00A32067" w:rsidP="005431C7">
      <w:pPr>
        <w:widowControl/>
        <w:shd w:val="clear" w:color="auto" w:fill="FFFFFF"/>
        <w:spacing w:line="360" w:lineRule="auto"/>
        <w:ind w:firstLineChars="196" w:firstLine="31680"/>
        <w:jc w:val="left"/>
        <w:rPr>
          <w:color w:val="333333"/>
          <w:sz w:val="22"/>
          <w:szCs w:val="22"/>
        </w:rPr>
      </w:pPr>
      <w:r>
        <w:rPr>
          <w:rFonts w:cs="宋体" w:hint="eastAsia"/>
          <w:color w:val="333333"/>
          <w:sz w:val="22"/>
          <w:szCs w:val="22"/>
        </w:rPr>
        <w:t>七、强化新增建设用地土地有偿使用费收支管理监督检查</w:t>
      </w:r>
    </w:p>
    <w:p w:rsidR="00A32067" w:rsidRDefault="00A32067">
      <w:pPr>
        <w:widowControl/>
        <w:shd w:val="clear" w:color="auto" w:fill="FFFFFF"/>
        <w:spacing w:line="360" w:lineRule="auto"/>
        <w:jc w:val="left"/>
        <w:rPr>
          <w:color w:val="333333"/>
          <w:sz w:val="22"/>
          <w:szCs w:val="22"/>
        </w:rPr>
      </w:pPr>
      <w:r>
        <w:rPr>
          <w:rFonts w:cs="宋体" w:hint="eastAsia"/>
          <w:color w:val="333333"/>
          <w:sz w:val="22"/>
          <w:szCs w:val="22"/>
        </w:rPr>
        <w:t xml:space="preserve">　　省级财政部门以及财政部驻各地财政监察专员办事处要加强对新增建设用地土地有偿使用费管理的监督检查，建立定期检查制度。国土资源管理部门要建立新增建设用地和基本农田保有量监督检查制度，充分运用航空、遥感等技术方法和手段，核实当年新增建设用地面积和耕地面积，强化新增建设用地土地有偿使用费征收管理与监督。对未依法办理农用地审批、未利用地转用审批、</w:t>
      </w:r>
      <w:r>
        <w:rPr>
          <w:color w:val="333333"/>
          <w:sz w:val="22"/>
          <w:szCs w:val="22"/>
        </w:rPr>
        <w:t>“</w:t>
      </w:r>
      <w:r>
        <w:rPr>
          <w:rFonts w:cs="宋体" w:hint="eastAsia"/>
          <w:color w:val="333333"/>
          <w:sz w:val="22"/>
          <w:szCs w:val="22"/>
        </w:rPr>
        <w:t>以租代征</w:t>
      </w:r>
      <w:r>
        <w:rPr>
          <w:color w:val="333333"/>
          <w:sz w:val="22"/>
          <w:szCs w:val="22"/>
        </w:rPr>
        <w:t>”</w:t>
      </w:r>
      <w:r>
        <w:rPr>
          <w:rFonts w:cs="宋体" w:hint="eastAsia"/>
          <w:color w:val="333333"/>
          <w:sz w:val="22"/>
          <w:szCs w:val="22"/>
        </w:rPr>
        <w:t>和未批先用等违法批地、用地行为占用土地的，不按规定及时足额解缴新增建设用地土地有偿使用费的，以及擅自减免、缓缴、截留、挤占、挪用新增建设用地土地有偿使用费的，要严格按照《土地管理法》以及《财政违法行为处罚处分条例》</w:t>
      </w:r>
      <w:r>
        <w:rPr>
          <w:color w:val="333333"/>
          <w:sz w:val="22"/>
          <w:szCs w:val="22"/>
        </w:rPr>
        <w:t>(</w:t>
      </w:r>
      <w:r>
        <w:rPr>
          <w:rFonts w:cs="宋体" w:hint="eastAsia"/>
          <w:color w:val="333333"/>
          <w:sz w:val="22"/>
          <w:szCs w:val="22"/>
        </w:rPr>
        <w:t>国务院令第</w:t>
      </w:r>
      <w:r>
        <w:rPr>
          <w:color w:val="333333"/>
          <w:sz w:val="22"/>
          <w:szCs w:val="22"/>
        </w:rPr>
        <w:t>427</w:t>
      </w:r>
      <w:r>
        <w:rPr>
          <w:rFonts w:cs="宋体" w:hint="eastAsia"/>
          <w:color w:val="333333"/>
          <w:sz w:val="22"/>
          <w:szCs w:val="22"/>
        </w:rPr>
        <w:t>号</w:t>
      </w:r>
      <w:r>
        <w:rPr>
          <w:color w:val="333333"/>
          <w:sz w:val="22"/>
          <w:szCs w:val="22"/>
        </w:rPr>
        <w:t>)</w:t>
      </w:r>
      <w:r>
        <w:rPr>
          <w:rFonts w:cs="宋体" w:hint="eastAsia"/>
          <w:color w:val="333333"/>
          <w:sz w:val="22"/>
          <w:szCs w:val="22"/>
        </w:rPr>
        <w:t>等有关法律法规规定进行处理，按日加收滞纳金，并依法追究有关责任人的责任。</w:t>
      </w:r>
    </w:p>
    <w:p w:rsidR="00A32067" w:rsidRDefault="00A32067">
      <w:pPr>
        <w:widowControl/>
        <w:shd w:val="clear" w:color="auto" w:fill="FFFFFF"/>
        <w:spacing w:line="360" w:lineRule="auto"/>
        <w:ind w:firstLine="435"/>
        <w:jc w:val="left"/>
        <w:rPr>
          <w:color w:val="333333"/>
          <w:sz w:val="22"/>
          <w:szCs w:val="22"/>
        </w:rPr>
      </w:pPr>
      <w:r>
        <w:rPr>
          <w:rFonts w:cs="宋体" w:hint="eastAsia"/>
          <w:color w:val="333333"/>
          <w:sz w:val="22"/>
          <w:szCs w:val="22"/>
        </w:rPr>
        <w:t>各地收到本通知后，要严格按照本通知规定，抓紧做好相关工作。此前有关规定凡与本通知规定不一致的，一律以本通知规定为准。</w:t>
      </w:r>
    </w:p>
    <w:p w:rsidR="00A32067" w:rsidRDefault="00A32067">
      <w:pPr>
        <w:widowControl/>
        <w:shd w:val="clear" w:color="auto" w:fill="FFFFFF"/>
        <w:spacing w:line="360" w:lineRule="auto"/>
        <w:ind w:firstLine="435"/>
        <w:jc w:val="left"/>
        <w:rPr>
          <w:color w:val="333333"/>
          <w:sz w:val="22"/>
          <w:szCs w:val="22"/>
        </w:rPr>
      </w:pPr>
    </w:p>
    <w:p w:rsidR="00A32067" w:rsidRDefault="00A32067">
      <w:pPr>
        <w:widowControl/>
        <w:shd w:val="clear" w:color="auto" w:fill="FFFFFF"/>
        <w:spacing w:line="360" w:lineRule="auto"/>
        <w:ind w:firstLine="435"/>
        <w:jc w:val="left"/>
        <w:rPr>
          <w:color w:val="333333"/>
          <w:sz w:val="22"/>
          <w:szCs w:val="22"/>
        </w:rPr>
      </w:pPr>
    </w:p>
    <w:p w:rsidR="00A32067" w:rsidRDefault="00A32067">
      <w:pPr>
        <w:widowControl/>
        <w:shd w:val="clear" w:color="auto" w:fill="FFFFFF"/>
        <w:spacing w:line="360" w:lineRule="auto"/>
        <w:ind w:firstLine="435"/>
        <w:jc w:val="left"/>
        <w:rPr>
          <w:color w:val="333333"/>
          <w:sz w:val="22"/>
          <w:szCs w:val="22"/>
        </w:rPr>
      </w:pPr>
    </w:p>
    <w:p w:rsidR="00A32067" w:rsidRDefault="00A32067">
      <w:pPr>
        <w:widowControl/>
        <w:shd w:val="clear" w:color="auto" w:fill="FFFFFF"/>
        <w:spacing w:line="360" w:lineRule="auto"/>
        <w:ind w:firstLine="435"/>
        <w:jc w:val="left"/>
        <w:rPr>
          <w:color w:val="333333"/>
          <w:sz w:val="22"/>
          <w:szCs w:val="22"/>
        </w:rPr>
      </w:pPr>
    </w:p>
    <w:p w:rsidR="00A32067" w:rsidRDefault="00A32067" w:rsidP="005431C7">
      <w:pPr>
        <w:widowControl/>
        <w:shd w:val="clear" w:color="auto" w:fill="FFFFFF"/>
        <w:ind w:left="31680" w:hangingChars="3150" w:firstLine="31680"/>
        <w:jc w:val="left"/>
        <w:rPr>
          <w:rFonts w:eastAsia="仿宋"/>
          <w:kern w:val="0"/>
          <w:sz w:val="28"/>
          <w:szCs w:val="28"/>
        </w:rPr>
      </w:pPr>
      <w:r>
        <w:rPr>
          <w:rFonts w:cs="宋体" w:hint="eastAsia"/>
          <w:b/>
          <w:bCs/>
          <w:kern w:val="0"/>
          <w:sz w:val="24"/>
          <w:szCs w:val="24"/>
        </w:rPr>
        <w:t>附件</w:t>
      </w:r>
      <w:r>
        <w:rPr>
          <w:b/>
          <w:bCs/>
          <w:kern w:val="0"/>
          <w:sz w:val="24"/>
          <w:szCs w:val="24"/>
        </w:rPr>
        <w:t>1</w:t>
      </w:r>
      <w:r>
        <w:rPr>
          <w:rFonts w:cs="宋体" w:hint="eastAsia"/>
          <w:b/>
          <w:bCs/>
          <w:kern w:val="0"/>
          <w:sz w:val="24"/>
          <w:szCs w:val="24"/>
        </w:rPr>
        <w:t>：新增建设用地土地有偿使用费征收标准</w:t>
      </w:r>
      <w:r>
        <w:rPr>
          <w:rFonts w:eastAsia="微软雅黑" w:cs="微软雅黑" w:hint="eastAsia"/>
          <w:kern w:val="0"/>
          <w:sz w:val="24"/>
          <w:szCs w:val="24"/>
        </w:rPr>
        <w:t>单位：元／平方米</w:t>
      </w:r>
    </w:p>
    <w:tbl>
      <w:tblPr>
        <w:tblW w:w="9923" w:type="dxa"/>
        <w:tblInd w:w="2" w:type="dxa"/>
        <w:tblBorders>
          <w:top w:val="single" w:sz="12" w:space="0" w:color="auto"/>
          <w:bottom w:val="single" w:sz="12" w:space="0" w:color="auto"/>
          <w:insideH w:val="single" w:sz="4" w:space="0" w:color="auto"/>
        </w:tblBorders>
        <w:tblLayout w:type="fixed"/>
        <w:tblLook w:val="00A0"/>
      </w:tblPr>
      <w:tblGrid>
        <w:gridCol w:w="709"/>
        <w:gridCol w:w="709"/>
        <w:gridCol w:w="709"/>
        <w:gridCol w:w="708"/>
        <w:gridCol w:w="567"/>
        <w:gridCol w:w="567"/>
        <w:gridCol w:w="567"/>
        <w:gridCol w:w="567"/>
        <w:gridCol w:w="478"/>
        <w:gridCol w:w="567"/>
        <w:gridCol w:w="709"/>
        <w:gridCol w:w="709"/>
        <w:gridCol w:w="567"/>
        <w:gridCol w:w="708"/>
        <w:gridCol w:w="567"/>
        <w:gridCol w:w="515"/>
      </w:tblGrid>
      <w:tr w:rsidR="00A32067">
        <w:trPr>
          <w:trHeight w:val="455"/>
        </w:trPr>
        <w:tc>
          <w:tcPr>
            <w:tcW w:w="709" w:type="dxa"/>
            <w:tcBorders>
              <w:top w:val="single" w:sz="12" w:space="0" w:color="auto"/>
            </w:tcBorders>
          </w:tcPr>
          <w:p w:rsidR="00A32067" w:rsidRDefault="00A32067">
            <w:pPr>
              <w:widowControl/>
              <w:jc w:val="center"/>
              <w:rPr>
                <w:rFonts w:eastAsia="仿宋"/>
                <w:kern w:val="0"/>
                <w:sz w:val="24"/>
                <w:szCs w:val="24"/>
              </w:rPr>
            </w:pPr>
            <w:r>
              <w:rPr>
                <w:rFonts w:eastAsia="仿宋" w:cs="仿宋" w:hint="eastAsia"/>
                <w:kern w:val="0"/>
                <w:sz w:val="24"/>
                <w:szCs w:val="24"/>
              </w:rPr>
              <w:t>等别</w:t>
            </w:r>
          </w:p>
        </w:tc>
        <w:tc>
          <w:tcPr>
            <w:tcW w:w="709"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w:t>
            </w:r>
          </w:p>
        </w:tc>
        <w:tc>
          <w:tcPr>
            <w:tcW w:w="709"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2</w:t>
            </w:r>
          </w:p>
        </w:tc>
        <w:tc>
          <w:tcPr>
            <w:tcW w:w="708"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3</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4</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5</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6</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7</w:t>
            </w:r>
          </w:p>
        </w:tc>
        <w:tc>
          <w:tcPr>
            <w:tcW w:w="478"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8</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9</w:t>
            </w:r>
          </w:p>
        </w:tc>
        <w:tc>
          <w:tcPr>
            <w:tcW w:w="709"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10</w:t>
            </w:r>
          </w:p>
        </w:tc>
        <w:tc>
          <w:tcPr>
            <w:tcW w:w="709"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11</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12</w:t>
            </w:r>
          </w:p>
        </w:tc>
        <w:tc>
          <w:tcPr>
            <w:tcW w:w="708"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13</w:t>
            </w:r>
          </w:p>
        </w:tc>
        <w:tc>
          <w:tcPr>
            <w:tcW w:w="567"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14</w:t>
            </w:r>
          </w:p>
        </w:tc>
        <w:tc>
          <w:tcPr>
            <w:tcW w:w="515" w:type="dxa"/>
            <w:tcBorders>
              <w:top w:val="single" w:sz="12" w:space="0" w:color="auto"/>
            </w:tcBorders>
          </w:tcPr>
          <w:p w:rsidR="00A32067" w:rsidRDefault="00A32067">
            <w:pPr>
              <w:widowControl/>
              <w:jc w:val="center"/>
              <w:rPr>
                <w:rFonts w:eastAsia="仿宋"/>
                <w:kern w:val="0"/>
                <w:sz w:val="24"/>
                <w:szCs w:val="24"/>
              </w:rPr>
            </w:pPr>
            <w:r>
              <w:rPr>
                <w:rFonts w:eastAsia="仿宋"/>
                <w:kern w:val="0"/>
                <w:sz w:val="24"/>
                <w:szCs w:val="24"/>
              </w:rPr>
              <w:t>15</w:t>
            </w:r>
          </w:p>
        </w:tc>
      </w:tr>
      <w:tr w:rsidR="00A32067">
        <w:trPr>
          <w:trHeight w:val="447"/>
        </w:trPr>
        <w:tc>
          <w:tcPr>
            <w:tcW w:w="709" w:type="dxa"/>
            <w:tcBorders>
              <w:bottom w:val="single" w:sz="12" w:space="0" w:color="auto"/>
            </w:tcBorders>
          </w:tcPr>
          <w:p w:rsidR="00A32067" w:rsidRDefault="00A32067">
            <w:pPr>
              <w:widowControl/>
              <w:jc w:val="center"/>
              <w:rPr>
                <w:rFonts w:eastAsia="仿宋"/>
                <w:kern w:val="0"/>
                <w:sz w:val="24"/>
                <w:szCs w:val="24"/>
              </w:rPr>
            </w:pPr>
            <w:r>
              <w:rPr>
                <w:rFonts w:eastAsia="仿宋" w:cs="仿宋" w:hint="eastAsia"/>
                <w:kern w:val="0"/>
                <w:sz w:val="24"/>
                <w:szCs w:val="24"/>
              </w:rPr>
              <w:t>标准</w:t>
            </w:r>
          </w:p>
        </w:tc>
        <w:tc>
          <w:tcPr>
            <w:tcW w:w="709"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140</w:t>
            </w:r>
          </w:p>
        </w:tc>
        <w:tc>
          <w:tcPr>
            <w:tcW w:w="709"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120</w:t>
            </w:r>
          </w:p>
        </w:tc>
        <w:tc>
          <w:tcPr>
            <w:tcW w:w="708"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100</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80</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64</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56</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48</w:t>
            </w:r>
          </w:p>
        </w:tc>
        <w:tc>
          <w:tcPr>
            <w:tcW w:w="478"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42</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34</w:t>
            </w:r>
          </w:p>
        </w:tc>
        <w:tc>
          <w:tcPr>
            <w:tcW w:w="709"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28</w:t>
            </w:r>
          </w:p>
        </w:tc>
        <w:tc>
          <w:tcPr>
            <w:tcW w:w="709"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24</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20</w:t>
            </w:r>
          </w:p>
        </w:tc>
        <w:tc>
          <w:tcPr>
            <w:tcW w:w="708"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16</w:t>
            </w:r>
          </w:p>
        </w:tc>
        <w:tc>
          <w:tcPr>
            <w:tcW w:w="567"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14</w:t>
            </w:r>
          </w:p>
        </w:tc>
        <w:tc>
          <w:tcPr>
            <w:tcW w:w="515" w:type="dxa"/>
            <w:tcBorders>
              <w:bottom w:val="single" w:sz="12" w:space="0" w:color="auto"/>
            </w:tcBorders>
          </w:tcPr>
          <w:p w:rsidR="00A32067" w:rsidRDefault="00A32067">
            <w:pPr>
              <w:widowControl/>
              <w:jc w:val="center"/>
              <w:rPr>
                <w:rFonts w:eastAsia="仿宋"/>
                <w:kern w:val="0"/>
                <w:sz w:val="24"/>
                <w:szCs w:val="24"/>
              </w:rPr>
            </w:pPr>
            <w:r>
              <w:rPr>
                <w:rFonts w:eastAsia="仿宋"/>
                <w:kern w:val="0"/>
                <w:sz w:val="24"/>
                <w:szCs w:val="24"/>
              </w:rPr>
              <w:t>10</w:t>
            </w:r>
          </w:p>
        </w:tc>
      </w:tr>
    </w:tbl>
    <w:p w:rsidR="00A32067" w:rsidRDefault="00A32067">
      <w:pPr>
        <w:widowControl/>
        <w:shd w:val="clear" w:color="auto" w:fill="FFFFFF"/>
        <w:adjustRightInd w:val="0"/>
        <w:snapToGrid w:val="0"/>
        <w:jc w:val="left"/>
        <w:rPr>
          <w:rFonts w:eastAsia="仿宋"/>
          <w:b/>
          <w:bCs/>
          <w:kern w:val="0"/>
          <w:sz w:val="24"/>
          <w:szCs w:val="24"/>
        </w:rPr>
      </w:pPr>
    </w:p>
    <w:p w:rsidR="00A32067" w:rsidRDefault="00A32067">
      <w:pPr>
        <w:widowControl/>
        <w:shd w:val="clear" w:color="auto" w:fill="FFFFFF"/>
        <w:adjustRightInd w:val="0"/>
        <w:snapToGrid w:val="0"/>
        <w:jc w:val="left"/>
        <w:rPr>
          <w:rFonts w:eastAsia="仿宋"/>
          <w:b/>
          <w:bCs/>
          <w:kern w:val="0"/>
          <w:sz w:val="28"/>
          <w:szCs w:val="28"/>
        </w:rPr>
      </w:pPr>
    </w:p>
    <w:p w:rsidR="00A32067" w:rsidRDefault="00A32067">
      <w:pPr>
        <w:widowControl/>
        <w:shd w:val="clear" w:color="auto" w:fill="FFFFFF"/>
        <w:adjustRightInd w:val="0"/>
        <w:snapToGrid w:val="0"/>
        <w:jc w:val="left"/>
        <w:rPr>
          <w:rFonts w:eastAsia="仿宋"/>
          <w:b/>
          <w:bCs/>
          <w:kern w:val="0"/>
          <w:sz w:val="28"/>
          <w:szCs w:val="28"/>
        </w:rPr>
      </w:pPr>
    </w:p>
    <w:p w:rsidR="00A32067" w:rsidRDefault="00A32067">
      <w:pPr>
        <w:widowControl/>
        <w:shd w:val="clear" w:color="auto" w:fill="FFFFFF"/>
        <w:adjustRightInd w:val="0"/>
        <w:snapToGrid w:val="0"/>
        <w:jc w:val="left"/>
        <w:rPr>
          <w:b/>
          <w:bCs/>
          <w:kern w:val="0"/>
          <w:sz w:val="24"/>
          <w:szCs w:val="24"/>
        </w:rPr>
      </w:pPr>
      <w:r>
        <w:rPr>
          <w:rFonts w:cs="宋体" w:hint="eastAsia"/>
          <w:b/>
          <w:bCs/>
          <w:kern w:val="0"/>
          <w:sz w:val="24"/>
          <w:szCs w:val="24"/>
        </w:rPr>
        <w:t>附件</w:t>
      </w:r>
      <w:r>
        <w:rPr>
          <w:b/>
          <w:bCs/>
          <w:kern w:val="0"/>
          <w:sz w:val="24"/>
          <w:szCs w:val="24"/>
        </w:rPr>
        <w:t>2</w:t>
      </w:r>
      <w:r>
        <w:rPr>
          <w:rFonts w:cs="宋体" w:hint="eastAsia"/>
          <w:b/>
          <w:bCs/>
          <w:kern w:val="0"/>
          <w:sz w:val="24"/>
          <w:szCs w:val="24"/>
        </w:rPr>
        <w:t>：</w:t>
      </w:r>
    </w:p>
    <w:p w:rsidR="00A32067" w:rsidRDefault="00A32067">
      <w:pPr>
        <w:widowControl/>
        <w:shd w:val="clear" w:color="auto" w:fill="FFFFFF"/>
        <w:adjustRightInd w:val="0"/>
        <w:snapToGrid w:val="0"/>
        <w:jc w:val="center"/>
        <w:rPr>
          <w:b/>
          <w:bCs/>
          <w:kern w:val="0"/>
          <w:sz w:val="24"/>
          <w:szCs w:val="24"/>
        </w:rPr>
      </w:pPr>
      <w:r>
        <w:rPr>
          <w:rFonts w:cs="宋体" w:hint="eastAsia"/>
          <w:b/>
          <w:bCs/>
          <w:kern w:val="0"/>
          <w:sz w:val="24"/>
          <w:szCs w:val="24"/>
        </w:rPr>
        <w:t>新增建设用地土地有偿使用费征收等别</w:t>
      </w:r>
    </w:p>
    <w:p w:rsidR="00A32067" w:rsidRDefault="00A32067">
      <w:pPr>
        <w:widowControl/>
        <w:shd w:val="clear" w:color="auto" w:fill="FFFFFF"/>
        <w:adjustRightInd w:val="0"/>
        <w:snapToGrid w:val="0"/>
        <w:jc w:val="center"/>
        <w:rPr>
          <w:rFonts w:eastAsia="仿宋"/>
          <w:b/>
          <w:bCs/>
          <w:kern w:val="0"/>
          <w:sz w:val="28"/>
          <w:szCs w:val="28"/>
        </w:rPr>
      </w:pP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四等：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河北：石家庄市（长安区桥东区桥西区新华区裕华区）</w:t>
      </w:r>
    </w:p>
    <w:p w:rsidR="00A32067" w:rsidRDefault="00A32067">
      <w:pPr>
        <w:widowControl/>
        <w:shd w:val="clear" w:color="auto" w:fill="FFFFFF"/>
        <w:spacing w:line="360" w:lineRule="auto"/>
        <w:jc w:val="left"/>
        <w:rPr>
          <w:color w:val="333333"/>
          <w:kern w:val="0"/>
          <w:sz w:val="22"/>
          <w:szCs w:val="22"/>
        </w:rPr>
      </w:pPr>
      <w:r>
        <w:rPr>
          <w:rFonts w:cs="宋体" w:hint="eastAsia"/>
          <w:color w:val="333333"/>
          <w:kern w:val="0"/>
          <w:sz w:val="22"/>
          <w:szCs w:val="22"/>
        </w:rPr>
        <w:t>五等：</w:t>
      </w:r>
    </w:p>
    <w:p w:rsidR="00A32067" w:rsidRDefault="00A32067">
      <w:pPr>
        <w:widowControl/>
        <w:shd w:val="clear" w:color="auto" w:fill="FFFFFF"/>
        <w:spacing w:line="360" w:lineRule="auto"/>
        <w:ind w:firstLine="480"/>
        <w:jc w:val="left"/>
        <w:rPr>
          <w:color w:val="333333"/>
          <w:kern w:val="0"/>
          <w:sz w:val="22"/>
          <w:szCs w:val="22"/>
        </w:rPr>
      </w:pPr>
      <w:r>
        <w:rPr>
          <w:rFonts w:cs="宋体" w:hint="eastAsia"/>
          <w:color w:val="333333"/>
          <w:kern w:val="0"/>
          <w:sz w:val="22"/>
          <w:szCs w:val="22"/>
        </w:rPr>
        <w:t>河北：唐山市（路北区路南区开平区）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六等：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河北：保定市（北市区南市区新市区）邯郸市（丛台区邯山区复兴区）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七等：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河北：秦皇岛市（海港区山海关区北戴河区）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八等：</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河北：沧州市</w:t>
      </w:r>
      <w:r>
        <w:rPr>
          <w:color w:val="333333"/>
          <w:kern w:val="0"/>
          <w:sz w:val="22"/>
          <w:szCs w:val="22"/>
        </w:rPr>
        <w:t>(</w:t>
      </w:r>
      <w:r>
        <w:rPr>
          <w:rFonts w:cs="宋体" w:hint="eastAsia"/>
          <w:color w:val="333333"/>
          <w:kern w:val="0"/>
          <w:sz w:val="22"/>
          <w:szCs w:val="22"/>
        </w:rPr>
        <w:t>新华区运河区</w:t>
      </w:r>
      <w:r>
        <w:rPr>
          <w:color w:val="333333"/>
          <w:kern w:val="0"/>
          <w:sz w:val="22"/>
          <w:szCs w:val="22"/>
        </w:rPr>
        <w:t xml:space="preserve">) </w:t>
      </w:r>
      <w:r>
        <w:rPr>
          <w:rFonts w:cs="宋体" w:hint="eastAsia"/>
          <w:color w:val="333333"/>
          <w:kern w:val="0"/>
          <w:sz w:val="22"/>
          <w:szCs w:val="22"/>
        </w:rPr>
        <w:t>承德市</w:t>
      </w:r>
      <w:r>
        <w:rPr>
          <w:color w:val="333333"/>
          <w:kern w:val="0"/>
          <w:sz w:val="22"/>
          <w:szCs w:val="22"/>
        </w:rPr>
        <w:t>(</w:t>
      </w:r>
      <w:r>
        <w:rPr>
          <w:rFonts w:cs="宋体" w:hint="eastAsia"/>
          <w:color w:val="333333"/>
          <w:kern w:val="0"/>
          <w:sz w:val="22"/>
          <w:szCs w:val="22"/>
        </w:rPr>
        <w:t>双桥区双滦区</w:t>
      </w:r>
      <w:r>
        <w:rPr>
          <w:color w:val="333333"/>
          <w:kern w:val="0"/>
          <w:sz w:val="22"/>
          <w:szCs w:val="22"/>
        </w:rPr>
        <w:t xml:space="preserve">) </w:t>
      </w:r>
      <w:r>
        <w:rPr>
          <w:rFonts w:cs="宋体" w:hint="eastAsia"/>
          <w:color w:val="333333"/>
          <w:kern w:val="0"/>
          <w:sz w:val="22"/>
          <w:szCs w:val="22"/>
        </w:rPr>
        <w:t>衡水市桃城区廊坊市</w:t>
      </w:r>
      <w:r>
        <w:rPr>
          <w:color w:val="333333"/>
          <w:kern w:val="0"/>
          <w:sz w:val="22"/>
          <w:szCs w:val="22"/>
        </w:rPr>
        <w:t>(</w:t>
      </w:r>
      <w:r>
        <w:rPr>
          <w:rFonts w:cs="宋体" w:hint="eastAsia"/>
          <w:color w:val="333333"/>
          <w:kern w:val="0"/>
          <w:sz w:val="22"/>
          <w:szCs w:val="22"/>
        </w:rPr>
        <w:t>安次区广阳区</w:t>
      </w:r>
      <w:r>
        <w:rPr>
          <w:color w:val="333333"/>
          <w:kern w:val="0"/>
          <w:sz w:val="22"/>
          <w:szCs w:val="22"/>
        </w:rPr>
        <w:t xml:space="preserve">) </w:t>
      </w:r>
      <w:r>
        <w:rPr>
          <w:rFonts w:cs="宋体" w:hint="eastAsia"/>
          <w:color w:val="333333"/>
          <w:kern w:val="0"/>
          <w:sz w:val="22"/>
          <w:szCs w:val="22"/>
        </w:rPr>
        <w:t>邢台市</w:t>
      </w:r>
      <w:r>
        <w:rPr>
          <w:color w:val="333333"/>
          <w:kern w:val="0"/>
          <w:sz w:val="22"/>
          <w:szCs w:val="22"/>
        </w:rPr>
        <w:t>(</w:t>
      </w:r>
      <w:r>
        <w:rPr>
          <w:rFonts w:cs="宋体" w:hint="eastAsia"/>
          <w:color w:val="333333"/>
          <w:kern w:val="0"/>
          <w:sz w:val="22"/>
          <w:szCs w:val="22"/>
        </w:rPr>
        <w:t>桥东区桥西区</w:t>
      </w:r>
      <w:r>
        <w:rPr>
          <w:color w:val="333333"/>
          <w:kern w:val="0"/>
          <w:sz w:val="22"/>
          <w:szCs w:val="22"/>
        </w:rPr>
        <w:t xml:space="preserve">) </w:t>
      </w:r>
      <w:r>
        <w:rPr>
          <w:rFonts w:cs="宋体" w:hint="eastAsia"/>
          <w:color w:val="333333"/>
          <w:kern w:val="0"/>
          <w:sz w:val="22"/>
          <w:szCs w:val="22"/>
        </w:rPr>
        <w:t>张家口市</w:t>
      </w:r>
      <w:r>
        <w:rPr>
          <w:color w:val="333333"/>
          <w:kern w:val="0"/>
          <w:sz w:val="22"/>
          <w:szCs w:val="22"/>
        </w:rPr>
        <w:t>(</w:t>
      </w:r>
      <w:r>
        <w:rPr>
          <w:rFonts w:cs="宋体" w:hint="eastAsia"/>
          <w:color w:val="333333"/>
          <w:kern w:val="0"/>
          <w:sz w:val="22"/>
          <w:szCs w:val="22"/>
        </w:rPr>
        <w:t>桥东区桥西区</w:t>
      </w:r>
      <w:r>
        <w:rPr>
          <w:color w:val="333333"/>
          <w:kern w:val="0"/>
          <w:sz w:val="22"/>
          <w:szCs w:val="22"/>
        </w:rPr>
        <w:t xml:space="preserve">) </w:t>
      </w:r>
      <w:r>
        <w:rPr>
          <w:rFonts w:cs="宋体" w:hint="eastAsia"/>
          <w:color w:val="333333"/>
          <w:kern w:val="0"/>
          <w:sz w:val="22"/>
          <w:szCs w:val="22"/>
        </w:rPr>
        <w:t>唐山市丰润区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九等：</w:t>
      </w:r>
    </w:p>
    <w:p w:rsidR="00A32067" w:rsidRDefault="00A32067" w:rsidP="005431C7">
      <w:pPr>
        <w:widowControl/>
        <w:shd w:val="clear" w:color="auto" w:fill="FFFFFF"/>
        <w:adjustRightInd w:val="0"/>
        <w:snapToGrid w:val="0"/>
        <w:spacing w:line="360" w:lineRule="auto"/>
        <w:ind w:firstLineChars="150" w:firstLine="31680"/>
        <w:jc w:val="left"/>
        <w:rPr>
          <w:color w:val="333333"/>
          <w:kern w:val="0"/>
          <w:sz w:val="22"/>
          <w:szCs w:val="22"/>
        </w:rPr>
      </w:pPr>
      <w:r>
        <w:rPr>
          <w:rFonts w:cs="宋体" w:hint="eastAsia"/>
          <w:color w:val="333333"/>
          <w:kern w:val="0"/>
          <w:sz w:val="22"/>
          <w:szCs w:val="22"/>
        </w:rPr>
        <w:t>河北：鹿泉市唐山市</w:t>
      </w:r>
      <w:r>
        <w:rPr>
          <w:color w:val="333333"/>
          <w:kern w:val="0"/>
          <w:sz w:val="22"/>
          <w:szCs w:val="22"/>
        </w:rPr>
        <w:t>(</w:t>
      </w:r>
      <w:r>
        <w:rPr>
          <w:rFonts w:cs="宋体" w:hint="eastAsia"/>
          <w:color w:val="333333"/>
          <w:kern w:val="0"/>
          <w:sz w:val="22"/>
          <w:szCs w:val="22"/>
        </w:rPr>
        <w:t>古冶区丰南区</w:t>
      </w:r>
      <w:r>
        <w:rPr>
          <w:color w:val="333333"/>
          <w:kern w:val="0"/>
          <w:sz w:val="22"/>
          <w:szCs w:val="22"/>
        </w:rPr>
        <w:t xml:space="preserve">) </w:t>
      </w:r>
      <w:r>
        <w:rPr>
          <w:rFonts w:cs="宋体" w:hint="eastAsia"/>
          <w:color w:val="333333"/>
          <w:kern w:val="0"/>
          <w:sz w:val="22"/>
          <w:szCs w:val="22"/>
        </w:rPr>
        <w:t>张家口市宣化区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十等：</w:t>
      </w:r>
    </w:p>
    <w:p w:rsidR="00A32067" w:rsidRDefault="00A32067">
      <w:pPr>
        <w:widowControl/>
        <w:shd w:val="clear" w:color="auto" w:fill="FFFFFF"/>
        <w:spacing w:line="360" w:lineRule="auto"/>
        <w:ind w:firstLine="480"/>
        <w:jc w:val="left"/>
        <w:rPr>
          <w:color w:val="333333"/>
          <w:kern w:val="0"/>
          <w:sz w:val="22"/>
          <w:szCs w:val="22"/>
        </w:rPr>
      </w:pPr>
      <w:r>
        <w:rPr>
          <w:rFonts w:cs="宋体" w:hint="eastAsia"/>
          <w:color w:val="333333"/>
          <w:kern w:val="0"/>
          <w:sz w:val="22"/>
          <w:szCs w:val="22"/>
        </w:rPr>
        <w:t>河北：藁城市迁安市三河市辛集市正定县涿州市石家庄市井陉矿区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十一等：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河北：霸州市定州市高碑店市邯郸县黄骅市任丘市武安市新乐市遵化市邯郸市峰峰矿区张家口市下花园区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十二等：</w:t>
      </w:r>
    </w:p>
    <w:p w:rsidR="00A32067" w:rsidRDefault="00A32067">
      <w:pPr>
        <w:widowControl/>
        <w:shd w:val="clear" w:color="auto" w:fill="FFFFFF"/>
        <w:spacing w:line="360" w:lineRule="auto"/>
        <w:ind w:firstLine="480"/>
        <w:jc w:val="left"/>
        <w:rPr>
          <w:color w:val="333333"/>
          <w:kern w:val="0"/>
          <w:sz w:val="22"/>
          <w:szCs w:val="22"/>
        </w:rPr>
      </w:pPr>
      <w:r>
        <w:rPr>
          <w:rFonts w:cs="宋体" w:hint="eastAsia"/>
          <w:color w:val="333333"/>
          <w:kern w:val="0"/>
          <w:sz w:val="22"/>
          <w:szCs w:val="22"/>
        </w:rPr>
        <w:t>河北：安国市泊头市沧县大厂回族自治县抚宁县高邑县河间市冀州市定兴县晋州市井陉县乐亭县蠡县卢龙县栾城县滦南县滦县迁西县青县清河县沙河市深州市唐海县香河县徐水县永年县玉田县承德市鹰手营子矿区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十三等：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安平县柏乡县昌黎县磁县大城县东光县高阳县固安县故城县怀来县景县临城县灵寿县满城县南宫市宁晋县清苑县容城县深泽县肃宁县唐县望都县文安县吴桥县献县兴隆县邢台县雄县宣化县阳原县易县元氏县枣强县赵县</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十四等：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安新县博野县成安县承德县赤城县大名县肥乡县丰宁满族自治县阜城县阜平县馆陶县广平县广宗县海兴县怀安县鸡泽县巨鹿县宽城满族自治县涞水县涞源县临西县临漳县隆化县隆尧县滦平县孟村回族自治县内丘县南和县南皮县平泉县平山县平乡县青龙满族自治县邱县曲阳县曲周县饶阳县任县涉县顺平县万全县威县围场满族蒙古族自治县蔚县魏县无极县武强县武邑县新河县行唐县盐山县永清县赞皇县涿鹿县</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十五等：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河北：崇礼县沽源县康保县尚义县张北县</w:t>
      </w:r>
    </w:p>
    <w:p w:rsidR="00A32067" w:rsidRDefault="00A32067">
      <w:pPr>
        <w:widowControl/>
        <w:shd w:val="clear" w:color="auto" w:fill="FFFFFF"/>
        <w:spacing w:line="360" w:lineRule="auto"/>
        <w:ind w:firstLine="480"/>
        <w:jc w:val="left"/>
        <w:rPr>
          <w:rFonts w:eastAsia="微软雅黑"/>
          <w:color w:val="333333"/>
          <w:kern w:val="0"/>
          <w:sz w:val="24"/>
          <w:szCs w:val="24"/>
        </w:rPr>
      </w:pPr>
    </w:p>
    <w:p w:rsidR="00A32067" w:rsidRDefault="00A32067">
      <w:pPr>
        <w:widowControl/>
        <w:shd w:val="clear" w:color="auto" w:fill="FFFFFF"/>
        <w:spacing w:line="360" w:lineRule="auto"/>
        <w:ind w:firstLine="480"/>
        <w:jc w:val="left"/>
        <w:rPr>
          <w:rFonts w:eastAsia="微软雅黑"/>
          <w:color w:val="333333"/>
          <w:kern w:val="0"/>
          <w:sz w:val="24"/>
          <w:szCs w:val="24"/>
        </w:rPr>
      </w:pPr>
    </w:p>
    <w:p w:rsidR="00A32067" w:rsidRDefault="00A32067">
      <w:pPr>
        <w:widowControl/>
        <w:shd w:val="clear" w:color="auto" w:fill="FFFFFF"/>
        <w:spacing w:line="360" w:lineRule="auto"/>
        <w:ind w:firstLine="480"/>
        <w:jc w:val="left"/>
        <w:rPr>
          <w:rFonts w:eastAsia="微软雅黑"/>
          <w:color w:val="333333"/>
          <w:kern w:val="0"/>
          <w:sz w:val="24"/>
          <w:szCs w:val="2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pPr>
        <w:jc w:val="center"/>
        <w:rPr>
          <w:b/>
          <w:bCs/>
          <w:sz w:val="44"/>
          <w:szCs w:val="44"/>
        </w:rPr>
      </w:pPr>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pPr>
      <w:bookmarkStart w:id="30" w:name="_Toc519872273"/>
      <w:r>
        <w:rPr>
          <w:rFonts w:ascii="Times New Roman" w:hAnsi="Times New Roman" w:hint="eastAsia"/>
          <w:b/>
          <w:bCs/>
          <w:color w:val="333333"/>
          <w:sz w:val="44"/>
          <w:szCs w:val="44"/>
        </w:rPr>
        <w:t>关于发布实施</w:t>
      </w:r>
      <w:r>
        <w:rPr>
          <w:rFonts w:ascii="Times New Roman" w:hAnsi="Times New Roman" w:cs="Times New Roman"/>
          <w:b/>
          <w:bCs/>
          <w:color w:val="333333"/>
          <w:sz w:val="44"/>
          <w:szCs w:val="44"/>
        </w:rPr>
        <w:br/>
      </w:r>
      <w:r>
        <w:rPr>
          <w:rFonts w:ascii="Times New Roman" w:hAnsi="Times New Roman" w:hint="eastAsia"/>
          <w:b/>
          <w:bCs/>
          <w:color w:val="333333"/>
          <w:sz w:val="44"/>
          <w:szCs w:val="44"/>
        </w:rPr>
        <w:t>《全国工业用地出让最低价标准》的通知</w:t>
      </w:r>
      <w:r>
        <w:rPr>
          <w:rFonts w:ascii="Times New Roman" w:hAnsi="Times New Roman" w:cs="Times New Roman"/>
          <w:b/>
          <w:bCs/>
          <w:color w:val="333333"/>
          <w:sz w:val="44"/>
          <w:szCs w:val="44"/>
        </w:rPr>
        <w:br/>
      </w:r>
      <w:r>
        <w:rPr>
          <w:rFonts w:ascii="Times New Roman" w:hAnsi="Times New Roman" w:hint="eastAsia"/>
          <w:sz w:val="22"/>
          <w:szCs w:val="22"/>
        </w:rPr>
        <w:t>国土资发〔</w:t>
      </w:r>
      <w:r>
        <w:rPr>
          <w:rFonts w:ascii="Times New Roman" w:hAnsi="Times New Roman" w:cs="Times New Roman"/>
          <w:sz w:val="22"/>
          <w:szCs w:val="22"/>
        </w:rPr>
        <w:t>2006</w:t>
      </w:r>
      <w:r>
        <w:rPr>
          <w:rFonts w:ascii="Times New Roman" w:hAnsi="Times New Roman" w:hint="eastAsia"/>
          <w:sz w:val="22"/>
          <w:szCs w:val="22"/>
        </w:rPr>
        <w:t>〕</w:t>
      </w:r>
      <w:r>
        <w:rPr>
          <w:rFonts w:ascii="Times New Roman" w:hAnsi="Times New Roman" w:cs="Times New Roman"/>
          <w:sz w:val="22"/>
          <w:szCs w:val="22"/>
        </w:rPr>
        <w:t>307</w:t>
      </w:r>
      <w:r>
        <w:rPr>
          <w:rFonts w:ascii="Times New Roman" w:hAnsi="Times New Roman" w:hint="eastAsia"/>
          <w:sz w:val="22"/>
          <w:szCs w:val="22"/>
        </w:rPr>
        <w:t>号</w:t>
      </w:r>
      <w:bookmarkEnd w:id="30"/>
    </w:p>
    <w:p w:rsidR="00A32067" w:rsidRDefault="00A32067">
      <w:pPr>
        <w:spacing w:line="360" w:lineRule="auto"/>
        <w:rPr>
          <w:rFonts w:eastAsia="微软雅黑"/>
          <w:color w:val="333333"/>
          <w:kern w:val="0"/>
          <w:sz w:val="24"/>
          <w:szCs w:val="24"/>
        </w:rPr>
      </w:pPr>
      <w:r>
        <w:rPr>
          <w:rFonts w:cs="宋体" w:hint="eastAsia"/>
          <w:color w:val="333333"/>
          <w:sz w:val="22"/>
          <w:szCs w:val="22"/>
        </w:rPr>
        <w:t>各省、自治区、直辖市国土资源厅（国土环境资源厅、国土资源局、国土资源和房屋管理局、房屋土地资源管理局），计划单列市国土资源行政主管部门，新疆生产建设兵团国土资源局：</w:t>
      </w:r>
      <w:r>
        <w:rPr>
          <w:color w:val="333333"/>
          <w:sz w:val="22"/>
          <w:szCs w:val="22"/>
        </w:rPr>
        <w:br/>
      </w:r>
      <w:r>
        <w:rPr>
          <w:rFonts w:eastAsia="微软雅黑" w:cs="微软雅黑" w:hint="eastAsia"/>
          <w:color w:val="333333"/>
          <w:kern w:val="0"/>
          <w:sz w:val="24"/>
          <w:szCs w:val="24"/>
        </w:rPr>
        <w:t xml:space="preserve">　　</w:t>
      </w:r>
      <w:r>
        <w:rPr>
          <w:rFonts w:cs="宋体" w:hint="eastAsia"/>
          <w:color w:val="333333"/>
          <w:kern w:val="0"/>
          <w:sz w:val="22"/>
          <w:szCs w:val="22"/>
        </w:rPr>
        <w:t>为贯彻落实《国务院关于加强土地调控有关问题的通知》（国发〔</w:t>
      </w:r>
      <w:r>
        <w:rPr>
          <w:color w:val="333333"/>
          <w:kern w:val="0"/>
          <w:sz w:val="22"/>
          <w:szCs w:val="22"/>
        </w:rPr>
        <w:t>2006</w:t>
      </w:r>
      <w:r>
        <w:rPr>
          <w:rFonts w:cs="宋体" w:hint="eastAsia"/>
          <w:color w:val="333333"/>
          <w:kern w:val="0"/>
          <w:sz w:val="22"/>
          <w:szCs w:val="22"/>
        </w:rPr>
        <w:t>〕</w:t>
      </w:r>
      <w:r>
        <w:rPr>
          <w:color w:val="333333"/>
          <w:kern w:val="0"/>
          <w:sz w:val="22"/>
          <w:szCs w:val="22"/>
        </w:rPr>
        <w:t>31</w:t>
      </w:r>
      <w:r>
        <w:rPr>
          <w:rFonts w:cs="宋体" w:hint="eastAsia"/>
          <w:color w:val="333333"/>
          <w:kern w:val="0"/>
          <w:sz w:val="22"/>
          <w:szCs w:val="22"/>
        </w:rPr>
        <w:t>号）精神，加强对工业用地的调控和管理，促进土地节约集约利用，根据土地等级、区域土地利用政策等，部统一制订了《全国工业用地出让最低价标准》（以下简称《标准》，详见</w:t>
      </w:r>
      <w:hyperlink r:id="rId49" w:tgtFrame="_blank" w:tooltip="http://www.mlr.gov.cn/pub/gtzyb/zytz/P020061227430122521853.doc" w:history="1">
        <w:r>
          <w:rPr>
            <w:rFonts w:cs="宋体" w:hint="eastAsia"/>
            <w:color w:val="333333"/>
            <w:kern w:val="0"/>
            <w:sz w:val="22"/>
            <w:szCs w:val="22"/>
          </w:rPr>
          <w:t>附件</w:t>
        </w:r>
        <w:r>
          <w:rPr>
            <w:color w:val="333333"/>
            <w:kern w:val="0"/>
            <w:sz w:val="22"/>
            <w:szCs w:val="22"/>
          </w:rPr>
          <w:t>1</w:t>
        </w:r>
      </w:hyperlink>
      <w:r>
        <w:rPr>
          <w:rFonts w:cs="宋体" w:hint="eastAsia"/>
          <w:color w:val="333333"/>
          <w:kern w:val="0"/>
          <w:sz w:val="22"/>
          <w:szCs w:val="22"/>
        </w:rPr>
        <w:t>），现予以发布。</w:t>
      </w:r>
      <w:r>
        <w:rPr>
          <w:color w:val="333333"/>
          <w:kern w:val="0"/>
          <w:sz w:val="22"/>
          <w:szCs w:val="22"/>
        </w:rPr>
        <w:br/>
      </w:r>
      <w:r>
        <w:rPr>
          <w:rFonts w:cs="宋体" w:hint="eastAsia"/>
          <w:color w:val="333333"/>
          <w:kern w:val="0"/>
          <w:sz w:val="22"/>
          <w:szCs w:val="22"/>
        </w:rPr>
        <w:t xml:space="preserve">　　一、本《标准》是市、县人民政府出让工业用地，确定土地使用权出让价格时必须执行的最低控制标准。</w:t>
      </w:r>
      <w:r>
        <w:rPr>
          <w:color w:val="333333"/>
          <w:kern w:val="0"/>
          <w:sz w:val="22"/>
          <w:szCs w:val="22"/>
        </w:rPr>
        <w:br/>
      </w:r>
      <w:r>
        <w:rPr>
          <w:rFonts w:cs="宋体" w:hint="eastAsia"/>
          <w:color w:val="333333"/>
          <w:kern w:val="0"/>
          <w:sz w:val="22"/>
          <w:szCs w:val="22"/>
        </w:rPr>
        <w:t xml:space="preserve">　　二、工业用地必须采用招标拍卖挂牌方式出让，其出让底价和成交价格均不得低于所在地土地等别（详见</w:t>
      </w:r>
      <w:hyperlink r:id="rId50" w:tgtFrame="_blank" w:tooltip="http://www.mlr.gov.cn/pub/gtzyb/zytz/P020061227430123149005.doc" w:history="1">
        <w:r>
          <w:rPr>
            <w:rFonts w:cs="宋体" w:hint="eastAsia"/>
            <w:color w:val="333333"/>
            <w:kern w:val="0"/>
            <w:sz w:val="22"/>
            <w:szCs w:val="22"/>
          </w:rPr>
          <w:t>附件</w:t>
        </w:r>
        <w:r>
          <w:rPr>
            <w:color w:val="333333"/>
            <w:kern w:val="0"/>
            <w:sz w:val="22"/>
            <w:szCs w:val="22"/>
          </w:rPr>
          <w:t>2</w:t>
        </w:r>
      </w:hyperlink>
      <w:r>
        <w:rPr>
          <w:rFonts w:cs="宋体" w:hint="eastAsia"/>
          <w:color w:val="333333"/>
          <w:kern w:val="0"/>
          <w:sz w:val="22"/>
          <w:szCs w:val="22"/>
        </w:rPr>
        <w:t>）相对应的最低价标准。各地国土资源管理部门在办理土地出让手续时必须严格执行本《标准》，不得以土地取得来源不同、土地开发程度不同等各种理由对规定的最低价标准进行减价修正。</w:t>
      </w:r>
      <w:r>
        <w:rPr>
          <w:color w:val="333333"/>
          <w:kern w:val="0"/>
          <w:sz w:val="22"/>
          <w:szCs w:val="22"/>
        </w:rPr>
        <w:br/>
      </w:r>
      <w:r>
        <w:rPr>
          <w:rFonts w:cs="宋体" w:hint="eastAsia"/>
          <w:color w:val="333333"/>
          <w:kern w:val="0"/>
          <w:sz w:val="22"/>
          <w:szCs w:val="22"/>
        </w:rPr>
        <w:t xml:space="preserve">　　三、工业项目必须依法申请使用土地利用总体规划确定的城市建设用地范围内的国有建设用地。对少数地区确需使用土地利用总体规划确定的城市建设用地范围外的土地，且土地前期开发由土地使用者自行完成的工业项目用地，在确定土地出让价格时可按不低于所在地土地等别相对应最低价标准的</w:t>
      </w:r>
      <w:r>
        <w:rPr>
          <w:color w:val="333333"/>
          <w:kern w:val="0"/>
          <w:sz w:val="22"/>
          <w:szCs w:val="22"/>
        </w:rPr>
        <w:t>60%</w:t>
      </w:r>
      <w:r>
        <w:rPr>
          <w:rFonts w:cs="宋体" w:hint="eastAsia"/>
          <w:color w:val="333333"/>
          <w:kern w:val="0"/>
          <w:sz w:val="22"/>
          <w:szCs w:val="22"/>
        </w:rPr>
        <w:t>执行。其中，对使用未列入耕地后备资源且尚未确定土地使用权人（或承包经营权人）的国有沙地、裸土地、裸岩石砾地的工业项目用地，在确定土地出让价格时可按不低于所在地土地等别相对应最低价标准的</w:t>
      </w:r>
      <w:r>
        <w:rPr>
          <w:color w:val="333333"/>
          <w:kern w:val="0"/>
          <w:sz w:val="22"/>
          <w:szCs w:val="22"/>
        </w:rPr>
        <w:t>30%</w:t>
      </w:r>
      <w:r>
        <w:rPr>
          <w:rFonts w:cs="宋体" w:hint="eastAsia"/>
          <w:color w:val="333333"/>
          <w:kern w:val="0"/>
          <w:sz w:val="22"/>
          <w:szCs w:val="22"/>
        </w:rPr>
        <w:t>执行。对实行这类地价政策的工业项目用地，由省级国土资源管理部门报部备案。</w:t>
      </w:r>
      <w:r>
        <w:rPr>
          <w:color w:val="333333"/>
          <w:kern w:val="0"/>
          <w:sz w:val="22"/>
          <w:szCs w:val="22"/>
        </w:rPr>
        <w:br/>
      </w:r>
      <w:r>
        <w:rPr>
          <w:rFonts w:cs="宋体" w:hint="eastAsia"/>
          <w:color w:val="333333"/>
          <w:kern w:val="0"/>
          <w:sz w:val="22"/>
          <w:szCs w:val="22"/>
        </w:rPr>
        <w:t xml:space="preserve">　　四、对低于法定最高出让年期（</w:t>
      </w:r>
      <w:r>
        <w:rPr>
          <w:color w:val="333333"/>
          <w:kern w:val="0"/>
          <w:sz w:val="22"/>
          <w:szCs w:val="22"/>
        </w:rPr>
        <w:t>50</w:t>
      </w:r>
      <w:r>
        <w:rPr>
          <w:rFonts w:cs="宋体" w:hint="eastAsia"/>
          <w:color w:val="333333"/>
          <w:kern w:val="0"/>
          <w:sz w:val="22"/>
          <w:szCs w:val="22"/>
        </w:rPr>
        <w:t>年）出让工业用地，或采取租赁方式供应工业用地的，所确定的出让价格和年租金按照一定的还原利率修正到法定最高出让年期的价格，均不得低于本《标准》。年期修正必须符合《城镇土地估价规程》（</w:t>
      </w:r>
      <w:r>
        <w:rPr>
          <w:color w:val="333333"/>
          <w:kern w:val="0"/>
          <w:sz w:val="22"/>
          <w:szCs w:val="22"/>
        </w:rPr>
        <w:t>GB/T18508-2001</w:t>
      </w:r>
      <w:r>
        <w:rPr>
          <w:rFonts w:cs="宋体" w:hint="eastAsia"/>
          <w:color w:val="333333"/>
          <w:kern w:val="0"/>
          <w:sz w:val="22"/>
          <w:szCs w:val="22"/>
        </w:rPr>
        <w:t>）的规定，还原利率不得低于同期中国人民银行公布的人民币五年期存款利率。</w:t>
      </w:r>
      <w:r>
        <w:rPr>
          <w:color w:val="333333"/>
          <w:kern w:val="0"/>
          <w:sz w:val="22"/>
          <w:szCs w:val="22"/>
        </w:rPr>
        <w:br/>
      </w:r>
      <w:r>
        <w:rPr>
          <w:rFonts w:cs="宋体" w:hint="eastAsia"/>
          <w:color w:val="333333"/>
          <w:kern w:val="0"/>
          <w:sz w:val="22"/>
          <w:szCs w:val="22"/>
        </w:rPr>
        <w:t xml:space="preserve">　　五、为切实保障被征地农民的长远生计，省级国土资源管理部门可根据本地征地补偿费用提高的实际，进一步提高本地的工业用地出让最低价标准；亦可根据本地产业发展政策，在不低于本《标准》的前提下，制订并公布不同行业、不同区域的工业用地出让最低价标准，及时报部备案。</w:t>
      </w:r>
      <w:r>
        <w:rPr>
          <w:color w:val="333333"/>
          <w:kern w:val="0"/>
          <w:sz w:val="22"/>
          <w:szCs w:val="22"/>
        </w:rPr>
        <w:br/>
      </w:r>
      <w:r>
        <w:rPr>
          <w:rFonts w:cs="宋体" w:hint="eastAsia"/>
          <w:color w:val="333333"/>
          <w:kern w:val="0"/>
          <w:sz w:val="22"/>
          <w:szCs w:val="22"/>
        </w:rPr>
        <w:t xml:space="preserve">　　六、本《标准》发布实施后，各省（区、市）要依据本《标准》，开展基准地价更新工作，及时调整工业用地基准地价。</w:t>
      </w:r>
      <w:r>
        <w:rPr>
          <w:color w:val="333333"/>
          <w:kern w:val="0"/>
          <w:sz w:val="22"/>
          <w:szCs w:val="22"/>
        </w:rPr>
        <w:br/>
      </w:r>
      <w:r>
        <w:rPr>
          <w:rFonts w:cs="宋体" w:hint="eastAsia"/>
          <w:color w:val="333333"/>
          <w:kern w:val="0"/>
          <w:sz w:val="22"/>
          <w:szCs w:val="22"/>
        </w:rPr>
        <w:t xml:space="preserve">　　七、各地国土资源管理部门要加强对工业用地出让的监督管理。低于最低价标准出让工业用地，或以各种形式给予补贴或返还的，属非法低价出让国有土地使用权的行为，要依法追究有关人员的法律责任。</w:t>
      </w:r>
      <w:r>
        <w:rPr>
          <w:color w:val="333333"/>
          <w:kern w:val="0"/>
          <w:sz w:val="22"/>
          <w:szCs w:val="22"/>
        </w:rPr>
        <w:br/>
      </w:r>
      <w:r>
        <w:rPr>
          <w:rFonts w:cs="宋体" w:hint="eastAsia"/>
          <w:color w:val="333333"/>
          <w:kern w:val="0"/>
          <w:sz w:val="22"/>
          <w:szCs w:val="22"/>
        </w:rPr>
        <w:t xml:space="preserve">　　八、本《标准》自</w:t>
      </w:r>
      <w:r>
        <w:rPr>
          <w:color w:val="333333"/>
          <w:kern w:val="0"/>
          <w:sz w:val="22"/>
          <w:szCs w:val="22"/>
        </w:rPr>
        <w:t>2007</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日起实施。部将根据各地社会经济发展情况、宏观调控的需要以及《标准》的实施情况，适时进行修订。</w:t>
      </w:r>
      <w:r>
        <w:rPr>
          <w:color w:val="333333"/>
          <w:kern w:val="0"/>
          <w:sz w:val="22"/>
          <w:szCs w:val="22"/>
        </w:rPr>
        <w:br/>
      </w:r>
      <w:r>
        <w:rPr>
          <w:rFonts w:cs="宋体" w:hint="eastAsia"/>
          <w:color w:val="333333"/>
          <w:kern w:val="0"/>
          <w:sz w:val="22"/>
          <w:szCs w:val="22"/>
        </w:rPr>
        <w:t xml:space="preserve">　　附件：</w:t>
      </w:r>
      <w:r>
        <w:rPr>
          <w:color w:val="333333"/>
          <w:kern w:val="0"/>
          <w:sz w:val="22"/>
          <w:szCs w:val="22"/>
        </w:rPr>
        <w:t>1.</w:t>
      </w:r>
      <w:hyperlink r:id="rId51" w:tgtFrame="_blank" w:tooltip="http://www.mlr.gov.cn/pub/gtzyb/zytz/P020061227430122521853.doc" w:history="1">
        <w:r>
          <w:rPr>
            <w:rFonts w:cs="宋体" w:hint="eastAsia"/>
            <w:color w:val="333333"/>
            <w:kern w:val="0"/>
            <w:sz w:val="22"/>
            <w:szCs w:val="22"/>
          </w:rPr>
          <w:t>全国工业用地出让最低价标准</w:t>
        </w:r>
      </w:hyperlink>
      <w:r>
        <w:rPr>
          <w:color w:val="333333"/>
          <w:kern w:val="0"/>
          <w:sz w:val="22"/>
          <w:szCs w:val="22"/>
        </w:rPr>
        <w:br/>
      </w:r>
      <w:r>
        <w:rPr>
          <w:rFonts w:cs="宋体" w:hint="eastAsia"/>
          <w:color w:val="333333"/>
          <w:kern w:val="0"/>
          <w:sz w:val="22"/>
          <w:szCs w:val="22"/>
        </w:rPr>
        <w:t xml:space="preserve">　　　　　</w:t>
      </w:r>
      <w:r>
        <w:rPr>
          <w:color w:val="333333"/>
          <w:kern w:val="0"/>
          <w:sz w:val="22"/>
          <w:szCs w:val="22"/>
        </w:rPr>
        <w:t>2.</w:t>
      </w:r>
      <w:hyperlink r:id="rId52" w:tgtFrame="_blank" w:tooltip="http://www.mlr.gov.cn/pub/gtzyb/zytz/P020061227430123149005.doc" w:history="1">
        <w:r>
          <w:rPr>
            <w:rFonts w:cs="宋体" w:hint="eastAsia"/>
            <w:color w:val="333333"/>
            <w:kern w:val="0"/>
            <w:sz w:val="22"/>
            <w:szCs w:val="22"/>
          </w:rPr>
          <w:t>土地等别</w:t>
        </w:r>
      </w:hyperlink>
      <w:r>
        <w:rPr>
          <w:color w:val="333333"/>
          <w:kern w:val="0"/>
          <w:sz w:val="22"/>
          <w:szCs w:val="22"/>
        </w:rPr>
        <w:br/>
      </w:r>
      <w:r>
        <w:rPr>
          <w:rFonts w:eastAsia="微软雅黑" w:cs="微软雅黑" w:hint="eastAsia"/>
          <w:color w:val="333333"/>
          <w:kern w:val="0"/>
          <w:sz w:val="24"/>
          <w:szCs w:val="24"/>
        </w:rPr>
        <w:t xml:space="preserve">　　　　　　　　　　　　　　　　　　　　　　　</w:t>
      </w:r>
    </w:p>
    <w:p w:rsidR="00A32067" w:rsidRDefault="00A32067">
      <w:pPr>
        <w:rPr>
          <w:rFonts w:eastAsia="微软雅黑"/>
          <w:color w:val="333333"/>
          <w:kern w:val="0"/>
          <w:sz w:val="24"/>
          <w:szCs w:val="24"/>
        </w:rPr>
      </w:pPr>
    </w:p>
    <w:p w:rsidR="00A32067" w:rsidRDefault="00A32067" w:rsidP="005431C7">
      <w:pPr>
        <w:ind w:firstLineChars="1250" w:firstLine="31680"/>
        <w:jc w:val="right"/>
        <w:rPr>
          <w:color w:val="333333"/>
          <w:kern w:val="0"/>
          <w:sz w:val="22"/>
          <w:szCs w:val="22"/>
        </w:rPr>
      </w:pPr>
      <w:r>
        <w:rPr>
          <w:rFonts w:eastAsia="微软雅黑" w:cs="微软雅黑" w:hint="eastAsia"/>
          <w:color w:val="333333"/>
          <w:kern w:val="0"/>
          <w:sz w:val="24"/>
          <w:szCs w:val="24"/>
        </w:rPr>
        <w:t xml:space="preserve">　</w:t>
      </w:r>
      <w:r>
        <w:rPr>
          <w:rFonts w:cs="宋体" w:hint="eastAsia"/>
          <w:color w:val="333333"/>
          <w:kern w:val="0"/>
          <w:sz w:val="22"/>
          <w:szCs w:val="22"/>
        </w:rPr>
        <w:t>二〇〇六年十二月二十三日</w:t>
      </w:r>
    </w:p>
    <w:p w:rsidR="00A32067" w:rsidRDefault="00A32067">
      <w:pPr>
        <w:rPr>
          <w:rFonts w:eastAsia="微软雅黑"/>
          <w:sz w:val="24"/>
          <w:szCs w:val="24"/>
        </w:rPr>
      </w:pPr>
    </w:p>
    <w:p w:rsidR="00A32067" w:rsidRDefault="00A32067">
      <w:pPr>
        <w:rPr>
          <w:sz w:val="24"/>
          <w:szCs w:val="24"/>
        </w:rPr>
      </w:pPr>
      <w:r>
        <w:rPr>
          <w:rFonts w:cs="宋体" w:hint="eastAsia"/>
          <w:b/>
          <w:bCs/>
          <w:sz w:val="24"/>
          <w:szCs w:val="24"/>
        </w:rPr>
        <w:t>附件</w:t>
      </w:r>
      <w:r>
        <w:rPr>
          <w:b/>
          <w:bCs/>
          <w:sz w:val="24"/>
          <w:szCs w:val="24"/>
        </w:rPr>
        <w:t>1</w:t>
      </w:r>
      <w:r>
        <w:rPr>
          <w:rFonts w:cs="宋体" w:hint="eastAsia"/>
          <w:b/>
          <w:bCs/>
          <w:sz w:val="24"/>
          <w:szCs w:val="24"/>
        </w:rPr>
        <w:t>：</w:t>
      </w:r>
      <w:r>
        <w:rPr>
          <w:rFonts w:cs="宋体" w:hint="eastAsia"/>
          <w:b/>
          <w:bCs/>
          <w:kern w:val="0"/>
          <w:sz w:val="24"/>
          <w:szCs w:val="24"/>
        </w:rPr>
        <w:t>全国工业用地出让最低价标准</w:t>
      </w:r>
    </w:p>
    <w:p w:rsidR="00A32067" w:rsidRDefault="00A32067">
      <w:r>
        <w:t> </w:t>
      </w:r>
    </w:p>
    <w:p w:rsidR="00A32067" w:rsidRDefault="00A32067" w:rsidP="005431C7">
      <w:pPr>
        <w:ind w:firstLineChars="2500" w:firstLine="31680"/>
        <w:rPr>
          <w:rFonts w:eastAsia="微软雅黑"/>
          <w:sz w:val="24"/>
          <w:szCs w:val="24"/>
        </w:rPr>
      </w:pPr>
      <w:r>
        <w:rPr>
          <w:rFonts w:eastAsia="微软雅黑" w:cs="微软雅黑" w:hint="eastAsia"/>
          <w:sz w:val="24"/>
          <w:szCs w:val="24"/>
        </w:rPr>
        <w:t>单位：元</w:t>
      </w:r>
      <w:r>
        <w:rPr>
          <w:rFonts w:eastAsia="微软雅黑"/>
          <w:sz w:val="24"/>
          <w:szCs w:val="24"/>
        </w:rPr>
        <w:t>/</w:t>
      </w:r>
      <w:r>
        <w:rPr>
          <w:rFonts w:eastAsia="微软雅黑" w:cs="微软雅黑" w:hint="eastAsia"/>
          <w:sz w:val="24"/>
          <w:szCs w:val="24"/>
        </w:rPr>
        <w:t>平方米（土地）</w:t>
      </w:r>
    </w:p>
    <w:tbl>
      <w:tblPr>
        <w:tblW w:w="9101"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1518"/>
        <w:gridCol w:w="946"/>
        <w:gridCol w:w="946"/>
        <w:gridCol w:w="946"/>
        <w:gridCol w:w="946"/>
        <w:gridCol w:w="946"/>
        <w:gridCol w:w="946"/>
        <w:gridCol w:w="946"/>
        <w:gridCol w:w="946"/>
        <w:gridCol w:w="15"/>
      </w:tblGrid>
      <w:tr w:rsidR="00A32067">
        <w:trPr>
          <w:gridAfter w:val="1"/>
          <w:wAfter w:w="15" w:type="dxa"/>
          <w:trHeight w:val="595"/>
          <w:tblCellSpacing w:w="0" w:type="dxa"/>
        </w:trPr>
        <w:tc>
          <w:tcPr>
            <w:tcW w:w="1518" w:type="dxa"/>
            <w:tcBorders>
              <w:top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土地等别</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一等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二等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三等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四等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五等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六等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七等</w:t>
            </w:r>
          </w:p>
        </w:tc>
        <w:tc>
          <w:tcPr>
            <w:tcW w:w="946" w:type="dxa"/>
            <w:tcBorders>
              <w:top w:val="outset" w:sz="6" w:space="0" w:color="auto"/>
              <w:left w:val="outset" w:sz="6" w:space="0" w:color="auto"/>
              <w:bottom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八等</w:t>
            </w:r>
          </w:p>
        </w:tc>
      </w:tr>
      <w:tr w:rsidR="00A32067">
        <w:trPr>
          <w:gridAfter w:val="1"/>
          <w:wAfter w:w="15" w:type="dxa"/>
          <w:trHeight w:val="532"/>
          <w:tblCellSpacing w:w="0" w:type="dxa"/>
        </w:trPr>
        <w:tc>
          <w:tcPr>
            <w:tcW w:w="1518" w:type="dxa"/>
            <w:tcBorders>
              <w:top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最低价标准</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840</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720</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600</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480</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384</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336</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288</w:t>
            </w:r>
          </w:p>
        </w:tc>
        <w:tc>
          <w:tcPr>
            <w:tcW w:w="946" w:type="dxa"/>
            <w:tcBorders>
              <w:top w:val="outset" w:sz="6" w:space="0" w:color="auto"/>
              <w:left w:val="outset" w:sz="6" w:space="0" w:color="auto"/>
              <w:bottom w:val="outset" w:sz="6" w:space="0" w:color="auto"/>
            </w:tcBorders>
            <w:vAlign w:val="center"/>
          </w:tcPr>
          <w:p w:rsidR="00A32067" w:rsidRDefault="00A32067">
            <w:pPr>
              <w:widowControl/>
              <w:jc w:val="center"/>
              <w:rPr>
                <w:kern w:val="0"/>
                <w:sz w:val="22"/>
                <w:szCs w:val="22"/>
              </w:rPr>
            </w:pPr>
            <w:r>
              <w:rPr>
                <w:kern w:val="0"/>
                <w:sz w:val="22"/>
                <w:szCs w:val="22"/>
              </w:rPr>
              <w:t>252</w:t>
            </w:r>
          </w:p>
        </w:tc>
      </w:tr>
      <w:tr w:rsidR="00A32067">
        <w:trPr>
          <w:trHeight w:val="526"/>
          <w:tblCellSpacing w:w="0" w:type="dxa"/>
        </w:trPr>
        <w:tc>
          <w:tcPr>
            <w:tcW w:w="1518" w:type="dxa"/>
            <w:tcBorders>
              <w:top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土地等别</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九等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十一等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十二等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十三等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十四等</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十五等</w:t>
            </w:r>
          </w:p>
        </w:tc>
        <w:tc>
          <w:tcPr>
            <w:tcW w:w="961" w:type="dxa"/>
            <w:gridSpan w:val="2"/>
            <w:tcBorders>
              <w:top w:val="outset" w:sz="6" w:space="0" w:color="auto"/>
              <w:left w:val="outset" w:sz="6" w:space="0" w:color="auto"/>
              <w:bottom w:val="outset" w:sz="6" w:space="0" w:color="auto"/>
            </w:tcBorders>
            <w:vAlign w:val="center"/>
          </w:tcPr>
          <w:p w:rsidR="00A32067" w:rsidRDefault="00A32067">
            <w:pPr>
              <w:widowControl/>
              <w:jc w:val="center"/>
              <w:rPr>
                <w:kern w:val="0"/>
                <w:sz w:val="22"/>
                <w:szCs w:val="22"/>
              </w:rPr>
            </w:pPr>
            <w:r>
              <w:rPr>
                <w:kern w:val="0"/>
                <w:sz w:val="22"/>
                <w:szCs w:val="22"/>
              </w:rPr>
              <w:t> </w:t>
            </w:r>
          </w:p>
        </w:tc>
      </w:tr>
      <w:tr w:rsidR="00A32067">
        <w:trPr>
          <w:trHeight w:val="548"/>
          <w:tblCellSpacing w:w="0" w:type="dxa"/>
        </w:trPr>
        <w:tc>
          <w:tcPr>
            <w:tcW w:w="1518" w:type="dxa"/>
            <w:tcBorders>
              <w:top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rFonts w:cs="宋体" w:hint="eastAsia"/>
                <w:kern w:val="0"/>
                <w:sz w:val="22"/>
                <w:szCs w:val="22"/>
              </w:rPr>
              <w:t>最低价标准</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204</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168</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144</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120</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96</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84</w:t>
            </w:r>
          </w:p>
        </w:tc>
        <w:tc>
          <w:tcPr>
            <w:tcW w:w="946" w:type="dxa"/>
            <w:tcBorders>
              <w:top w:val="outset" w:sz="6" w:space="0" w:color="auto"/>
              <w:left w:val="outset" w:sz="6" w:space="0" w:color="auto"/>
              <w:bottom w:val="outset" w:sz="6" w:space="0" w:color="auto"/>
              <w:right w:val="outset" w:sz="6" w:space="0" w:color="auto"/>
            </w:tcBorders>
            <w:vAlign w:val="center"/>
          </w:tcPr>
          <w:p w:rsidR="00A32067" w:rsidRDefault="00A32067">
            <w:pPr>
              <w:widowControl/>
              <w:jc w:val="center"/>
              <w:rPr>
                <w:kern w:val="0"/>
                <w:sz w:val="22"/>
                <w:szCs w:val="22"/>
              </w:rPr>
            </w:pPr>
            <w:r>
              <w:rPr>
                <w:kern w:val="0"/>
                <w:sz w:val="22"/>
                <w:szCs w:val="22"/>
              </w:rPr>
              <w:t>60</w:t>
            </w:r>
          </w:p>
        </w:tc>
        <w:tc>
          <w:tcPr>
            <w:tcW w:w="961" w:type="dxa"/>
            <w:gridSpan w:val="2"/>
            <w:tcBorders>
              <w:top w:val="outset" w:sz="6" w:space="0" w:color="auto"/>
              <w:left w:val="outset" w:sz="6" w:space="0" w:color="auto"/>
              <w:bottom w:val="outset" w:sz="6" w:space="0" w:color="auto"/>
            </w:tcBorders>
            <w:vAlign w:val="center"/>
          </w:tcPr>
          <w:p w:rsidR="00A32067" w:rsidRDefault="00A32067">
            <w:pPr>
              <w:widowControl/>
              <w:jc w:val="center"/>
              <w:rPr>
                <w:kern w:val="0"/>
                <w:sz w:val="22"/>
                <w:szCs w:val="22"/>
              </w:rPr>
            </w:pPr>
            <w:r>
              <w:rPr>
                <w:kern w:val="0"/>
                <w:sz w:val="22"/>
                <w:szCs w:val="22"/>
              </w:rPr>
              <w:t> </w:t>
            </w:r>
          </w:p>
        </w:tc>
      </w:tr>
    </w:tbl>
    <w:p w:rsidR="00A32067" w:rsidRDefault="00A32067">
      <w:r>
        <w:t> </w:t>
      </w:r>
    </w:p>
    <w:p w:rsidR="00A32067" w:rsidRDefault="00A32067">
      <w:pPr>
        <w:rPr>
          <w:b/>
          <w:bCs/>
          <w:sz w:val="24"/>
          <w:szCs w:val="24"/>
        </w:rPr>
      </w:pPr>
    </w:p>
    <w:p w:rsidR="00A32067" w:rsidRDefault="00A32067">
      <w:pPr>
        <w:rPr>
          <w:b/>
          <w:bCs/>
          <w:sz w:val="24"/>
          <w:szCs w:val="24"/>
        </w:rPr>
      </w:pPr>
      <w:r>
        <w:rPr>
          <w:b/>
          <w:bCs/>
          <w:sz w:val="24"/>
          <w:szCs w:val="24"/>
        </w:rPr>
        <w:t> </w:t>
      </w:r>
      <w:r>
        <w:rPr>
          <w:rFonts w:cs="宋体" w:hint="eastAsia"/>
          <w:b/>
          <w:bCs/>
          <w:sz w:val="24"/>
          <w:szCs w:val="24"/>
        </w:rPr>
        <w:t>附件</w:t>
      </w:r>
      <w:r>
        <w:rPr>
          <w:b/>
          <w:bCs/>
          <w:sz w:val="24"/>
          <w:szCs w:val="24"/>
        </w:rPr>
        <w:t>2</w:t>
      </w:r>
      <w:r>
        <w:rPr>
          <w:rFonts w:cs="宋体" w:hint="eastAsia"/>
          <w:b/>
          <w:bCs/>
          <w:sz w:val="24"/>
          <w:szCs w:val="24"/>
        </w:rPr>
        <w:t>：</w:t>
      </w:r>
    </w:p>
    <w:p w:rsidR="00A32067" w:rsidRDefault="00A32067" w:rsidP="005431C7">
      <w:pPr>
        <w:ind w:firstLineChars="1500" w:firstLine="31680"/>
        <w:rPr>
          <w:b/>
          <w:bCs/>
          <w:kern w:val="0"/>
          <w:sz w:val="24"/>
          <w:szCs w:val="24"/>
        </w:rPr>
      </w:pPr>
      <w:r>
        <w:rPr>
          <w:rFonts w:cs="宋体" w:hint="eastAsia"/>
          <w:b/>
          <w:bCs/>
          <w:kern w:val="0"/>
          <w:sz w:val="24"/>
          <w:szCs w:val="24"/>
        </w:rPr>
        <w:t>土地等别</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四等：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河北：石家庄市（长安区桥东区桥西区新华区裕华区）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五等：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河北：唐山市（路北区路南区开平区）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六等：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河北：保定市（北市区南市区新市区）邯郸市（丛台区邯山区复兴区）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七等：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河北：秦皇岛市（海港区山海关区北戴河区）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八等：</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河北：沧州市</w:t>
      </w:r>
      <w:r>
        <w:rPr>
          <w:color w:val="333333"/>
          <w:kern w:val="0"/>
          <w:sz w:val="22"/>
          <w:szCs w:val="22"/>
        </w:rPr>
        <w:t>(</w:t>
      </w:r>
      <w:r>
        <w:rPr>
          <w:rFonts w:cs="宋体" w:hint="eastAsia"/>
          <w:color w:val="333333"/>
          <w:kern w:val="0"/>
          <w:sz w:val="22"/>
          <w:szCs w:val="22"/>
        </w:rPr>
        <w:t>新华区运河区</w:t>
      </w:r>
      <w:r>
        <w:rPr>
          <w:color w:val="333333"/>
          <w:kern w:val="0"/>
          <w:sz w:val="22"/>
          <w:szCs w:val="22"/>
        </w:rPr>
        <w:t xml:space="preserve">) </w:t>
      </w:r>
      <w:r>
        <w:rPr>
          <w:rFonts w:cs="宋体" w:hint="eastAsia"/>
          <w:color w:val="333333"/>
          <w:kern w:val="0"/>
          <w:sz w:val="22"/>
          <w:szCs w:val="22"/>
        </w:rPr>
        <w:t>承德市</w:t>
      </w:r>
      <w:r>
        <w:rPr>
          <w:color w:val="333333"/>
          <w:kern w:val="0"/>
          <w:sz w:val="22"/>
          <w:szCs w:val="22"/>
        </w:rPr>
        <w:t>(</w:t>
      </w:r>
      <w:r>
        <w:rPr>
          <w:rFonts w:cs="宋体" w:hint="eastAsia"/>
          <w:color w:val="333333"/>
          <w:kern w:val="0"/>
          <w:sz w:val="22"/>
          <w:szCs w:val="22"/>
        </w:rPr>
        <w:t>双桥区双滦区</w:t>
      </w:r>
      <w:r>
        <w:rPr>
          <w:color w:val="333333"/>
          <w:kern w:val="0"/>
          <w:sz w:val="22"/>
          <w:szCs w:val="22"/>
        </w:rPr>
        <w:t xml:space="preserve">) </w:t>
      </w:r>
      <w:r>
        <w:rPr>
          <w:rFonts w:cs="宋体" w:hint="eastAsia"/>
          <w:color w:val="333333"/>
          <w:kern w:val="0"/>
          <w:sz w:val="22"/>
          <w:szCs w:val="22"/>
        </w:rPr>
        <w:t>衡水市桃城区廊坊市</w:t>
      </w:r>
      <w:r>
        <w:rPr>
          <w:color w:val="333333"/>
          <w:kern w:val="0"/>
          <w:sz w:val="22"/>
          <w:szCs w:val="22"/>
        </w:rPr>
        <w:t>(</w:t>
      </w:r>
      <w:r>
        <w:rPr>
          <w:rFonts w:cs="宋体" w:hint="eastAsia"/>
          <w:color w:val="333333"/>
          <w:kern w:val="0"/>
          <w:sz w:val="22"/>
          <w:szCs w:val="22"/>
        </w:rPr>
        <w:t>安次区广阳区</w:t>
      </w:r>
      <w:r>
        <w:rPr>
          <w:color w:val="333333"/>
          <w:kern w:val="0"/>
          <w:sz w:val="22"/>
          <w:szCs w:val="22"/>
        </w:rPr>
        <w:t xml:space="preserve">) </w:t>
      </w:r>
      <w:r>
        <w:rPr>
          <w:rFonts w:cs="宋体" w:hint="eastAsia"/>
          <w:color w:val="333333"/>
          <w:kern w:val="0"/>
          <w:sz w:val="22"/>
          <w:szCs w:val="22"/>
        </w:rPr>
        <w:t>邢台市</w:t>
      </w:r>
      <w:r>
        <w:rPr>
          <w:color w:val="333333"/>
          <w:kern w:val="0"/>
          <w:sz w:val="22"/>
          <w:szCs w:val="22"/>
        </w:rPr>
        <w:t>(</w:t>
      </w:r>
      <w:r>
        <w:rPr>
          <w:rFonts w:cs="宋体" w:hint="eastAsia"/>
          <w:color w:val="333333"/>
          <w:kern w:val="0"/>
          <w:sz w:val="22"/>
          <w:szCs w:val="22"/>
        </w:rPr>
        <w:t>桥东区桥西区</w:t>
      </w:r>
      <w:r>
        <w:rPr>
          <w:color w:val="333333"/>
          <w:kern w:val="0"/>
          <w:sz w:val="22"/>
          <w:szCs w:val="22"/>
        </w:rPr>
        <w:t xml:space="preserve">) </w:t>
      </w:r>
      <w:r>
        <w:rPr>
          <w:rFonts w:cs="宋体" w:hint="eastAsia"/>
          <w:color w:val="333333"/>
          <w:kern w:val="0"/>
          <w:sz w:val="22"/>
          <w:szCs w:val="22"/>
        </w:rPr>
        <w:t>张家口市</w:t>
      </w:r>
      <w:r>
        <w:rPr>
          <w:color w:val="333333"/>
          <w:kern w:val="0"/>
          <w:sz w:val="22"/>
          <w:szCs w:val="22"/>
        </w:rPr>
        <w:t>(</w:t>
      </w:r>
      <w:r>
        <w:rPr>
          <w:rFonts w:cs="宋体" w:hint="eastAsia"/>
          <w:color w:val="333333"/>
          <w:kern w:val="0"/>
          <w:sz w:val="22"/>
          <w:szCs w:val="22"/>
        </w:rPr>
        <w:t>桥东区桥西区</w:t>
      </w:r>
      <w:r>
        <w:rPr>
          <w:color w:val="333333"/>
          <w:kern w:val="0"/>
          <w:sz w:val="22"/>
          <w:szCs w:val="22"/>
        </w:rPr>
        <w:t xml:space="preserve">) </w:t>
      </w:r>
      <w:r>
        <w:rPr>
          <w:rFonts w:cs="宋体" w:hint="eastAsia"/>
          <w:color w:val="333333"/>
          <w:kern w:val="0"/>
          <w:sz w:val="22"/>
          <w:szCs w:val="22"/>
        </w:rPr>
        <w:t>唐山市丰润区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九等：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河北：鹿泉市唐山市</w:t>
      </w:r>
      <w:r>
        <w:rPr>
          <w:color w:val="333333"/>
          <w:kern w:val="0"/>
          <w:sz w:val="22"/>
          <w:szCs w:val="22"/>
        </w:rPr>
        <w:t>(</w:t>
      </w:r>
      <w:r>
        <w:rPr>
          <w:rFonts w:cs="宋体" w:hint="eastAsia"/>
          <w:color w:val="333333"/>
          <w:kern w:val="0"/>
          <w:sz w:val="22"/>
          <w:szCs w:val="22"/>
        </w:rPr>
        <w:t>古冶区丰南区</w:t>
      </w:r>
      <w:r>
        <w:rPr>
          <w:color w:val="333333"/>
          <w:kern w:val="0"/>
          <w:sz w:val="22"/>
          <w:szCs w:val="22"/>
        </w:rPr>
        <w:t xml:space="preserve">) </w:t>
      </w:r>
      <w:r>
        <w:rPr>
          <w:rFonts w:cs="宋体" w:hint="eastAsia"/>
          <w:color w:val="333333"/>
          <w:kern w:val="0"/>
          <w:sz w:val="22"/>
          <w:szCs w:val="22"/>
        </w:rPr>
        <w:t>张家口市宣化区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河北：藁城市迁安市三河市辛集市正定县涿州市石家庄市井陉矿区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十一等：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河北：霸州市定州市高碑店市邯郸县黄骅市任丘市武安市新乐市遵化市邯郸市峰峰矿区张家口市下花园区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十二等：</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河北：安国市泊头市沧县大厂回族自治县抚宁县高邑县河间市冀州市定兴县晋州市井陉县乐亭县蠡县卢龙县栾城县滦南县滦县迁西县青县清河县沙河市深州市唐海县香河县徐水县永年县玉田县承德市鹰手营子矿区</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十三等：</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河北：安平县柏乡县昌黎县磁县大城县东光县高阳县固安县故城县怀来县景县临城县灵寿县满城县南宫市宁晋县清苑县容城县深泽县肃宁县唐县望都县文安县吴桥县献县兴隆县邢台县雄县宣化县阳原县易县元氏县枣强县赵县</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十四等：</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河北：安新县博野县成安县承德县赤城县大名县肥乡县丰宁满族自治县阜城县阜平县馆陶县广平县广宗县海兴县怀安县鸡泽县巨鹿县宽城满族自治县涞水县涞源县临西县临漳县隆化县隆尧县滦平县孟村回族自治县内丘县南和县南皮县平泉县平山县平乡县青龙满族自治县邱县曲阳县曲周县饶阳县任县涉县顺平县万全县威县围场满族蒙古族自治县蔚县魏县无极县武强县武邑县新河县行唐县盐山县永清县赞皇县涿鹿县</w:t>
      </w:r>
    </w:p>
    <w:p w:rsidR="00A32067" w:rsidRDefault="00A32067">
      <w:pPr>
        <w:widowControl/>
        <w:shd w:val="clear" w:color="auto" w:fill="FFFFFF"/>
        <w:adjustRightInd w:val="0"/>
        <w:snapToGrid w:val="0"/>
        <w:spacing w:line="360" w:lineRule="auto"/>
        <w:jc w:val="left"/>
        <w:rPr>
          <w:color w:val="333333"/>
          <w:kern w:val="0"/>
          <w:sz w:val="22"/>
          <w:szCs w:val="22"/>
        </w:rPr>
      </w:pPr>
      <w:r>
        <w:rPr>
          <w:rFonts w:cs="宋体" w:hint="eastAsia"/>
          <w:color w:val="333333"/>
          <w:kern w:val="0"/>
          <w:sz w:val="22"/>
          <w:szCs w:val="22"/>
        </w:rPr>
        <w:t>十五等：</w:t>
      </w:r>
    </w:p>
    <w:p w:rsidR="00A32067" w:rsidRDefault="00A32067">
      <w:pPr>
        <w:widowControl/>
        <w:shd w:val="clear" w:color="auto" w:fill="FFFFFF"/>
        <w:adjustRightInd w:val="0"/>
        <w:snapToGrid w:val="0"/>
        <w:spacing w:line="360" w:lineRule="auto"/>
        <w:ind w:firstLine="435"/>
        <w:jc w:val="left"/>
        <w:rPr>
          <w:color w:val="333333"/>
          <w:kern w:val="0"/>
          <w:sz w:val="22"/>
          <w:szCs w:val="22"/>
        </w:rPr>
      </w:pPr>
      <w:r>
        <w:rPr>
          <w:rFonts w:cs="宋体" w:hint="eastAsia"/>
          <w:color w:val="333333"/>
          <w:kern w:val="0"/>
          <w:sz w:val="22"/>
          <w:szCs w:val="22"/>
        </w:rPr>
        <w:t>河北：崇礼县沽源县康保县尚义县张北县</w:t>
      </w:r>
    </w:p>
    <w:p w:rsidR="00A32067" w:rsidRDefault="00A32067" w:rsidP="0002085C">
      <w:pPr>
        <w:spacing w:afterLines="100" w:line="360" w:lineRule="auto"/>
        <w:jc w:val="center"/>
        <w:outlineLvl w:val="2"/>
        <w:rPr>
          <w:color w:val="333333"/>
          <w:kern w:val="0"/>
          <w:sz w:val="22"/>
          <w:szCs w:val="22"/>
        </w:rPr>
        <w:sectPr w:rsidR="00A32067">
          <w:pgSz w:w="11907" w:h="16840"/>
          <w:pgMar w:top="1134" w:right="1077" w:bottom="1134" w:left="1077" w:header="794" w:footer="567" w:gutter="284"/>
          <w:cols w:space="720"/>
          <w:docGrid w:linePitch="312"/>
        </w:sectPr>
      </w:pPr>
    </w:p>
    <w:p w:rsidR="00A32067" w:rsidRDefault="00A32067" w:rsidP="0002085C">
      <w:pPr>
        <w:spacing w:afterLines="100" w:line="360" w:lineRule="auto"/>
        <w:jc w:val="center"/>
        <w:outlineLvl w:val="2"/>
        <w:rPr>
          <w:b/>
          <w:bCs/>
          <w:color w:val="000000"/>
          <w:sz w:val="44"/>
          <w:szCs w:val="44"/>
        </w:rPr>
      </w:pPr>
      <w:bookmarkStart w:id="31" w:name="_Toc519872274"/>
      <w:r>
        <w:rPr>
          <w:rFonts w:cs="宋体" w:hint="eastAsia"/>
          <w:b/>
          <w:bCs/>
          <w:color w:val="000000"/>
          <w:sz w:val="44"/>
          <w:szCs w:val="44"/>
        </w:rPr>
        <w:t>河北省城镇土地使用税实施办法</w:t>
      </w:r>
      <w:r>
        <w:rPr>
          <w:b/>
          <w:bCs/>
          <w:color w:val="000000"/>
          <w:sz w:val="44"/>
          <w:szCs w:val="44"/>
        </w:rPr>
        <w:br/>
      </w:r>
      <w:r>
        <w:rPr>
          <w:rFonts w:cs="宋体" w:hint="eastAsia"/>
          <w:kern w:val="0"/>
          <w:sz w:val="22"/>
          <w:szCs w:val="22"/>
        </w:rPr>
        <w:t>河北省人民政府令〔</w:t>
      </w:r>
      <w:r>
        <w:rPr>
          <w:kern w:val="0"/>
          <w:sz w:val="22"/>
          <w:szCs w:val="22"/>
        </w:rPr>
        <w:t>2013</w:t>
      </w:r>
      <w:r>
        <w:rPr>
          <w:rFonts w:cs="宋体" w:hint="eastAsia"/>
          <w:kern w:val="0"/>
          <w:sz w:val="22"/>
          <w:szCs w:val="22"/>
        </w:rPr>
        <w:t>〕第</w:t>
      </w:r>
      <w:r>
        <w:rPr>
          <w:kern w:val="0"/>
          <w:sz w:val="22"/>
          <w:szCs w:val="22"/>
        </w:rPr>
        <w:t>11</w:t>
      </w:r>
      <w:r>
        <w:rPr>
          <w:rFonts w:cs="宋体" w:hint="eastAsia"/>
          <w:kern w:val="0"/>
          <w:sz w:val="22"/>
          <w:szCs w:val="22"/>
        </w:rPr>
        <w:t>号</w:t>
      </w:r>
      <w:bookmarkEnd w:id="31"/>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《河北省人民政府关于修改〈河北省城镇土地使用税实施办法〉的决定》已经</w:t>
      </w:r>
      <w:r>
        <w:rPr>
          <w:color w:val="333333"/>
          <w:kern w:val="0"/>
          <w:sz w:val="22"/>
          <w:szCs w:val="22"/>
        </w:rPr>
        <w:t>2013</w:t>
      </w:r>
      <w:r>
        <w:rPr>
          <w:rFonts w:cs="宋体" w:hint="eastAsia"/>
          <w:color w:val="333333"/>
          <w:kern w:val="0"/>
          <w:sz w:val="22"/>
          <w:szCs w:val="22"/>
        </w:rPr>
        <w:t>年</w:t>
      </w:r>
      <w:r>
        <w:rPr>
          <w:color w:val="333333"/>
          <w:kern w:val="0"/>
          <w:sz w:val="22"/>
          <w:szCs w:val="22"/>
        </w:rPr>
        <w:t>10</w:t>
      </w:r>
      <w:r>
        <w:rPr>
          <w:rFonts w:cs="宋体" w:hint="eastAsia"/>
          <w:color w:val="333333"/>
          <w:kern w:val="0"/>
          <w:sz w:val="22"/>
          <w:szCs w:val="22"/>
        </w:rPr>
        <w:t>月</w:t>
      </w:r>
      <w:r>
        <w:rPr>
          <w:color w:val="333333"/>
          <w:kern w:val="0"/>
          <w:sz w:val="22"/>
          <w:szCs w:val="22"/>
        </w:rPr>
        <w:t>29</w:t>
      </w:r>
      <w:r>
        <w:rPr>
          <w:rFonts w:cs="宋体" w:hint="eastAsia"/>
          <w:color w:val="333333"/>
          <w:kern w:val="0"/>
          <w:sz w:val="22"/>
          <w:szCs w:val="22"/>
        </w:rPr>
        <w:t>日省政府第</w:t>
      </w:r>
      <w:r>
        <w:rPr>
          <w:color w:val="333333"/>
          <w:kern w:val="0"/>
          <w:sz w:val="22"/>
          <w:szCs w:val="22"/>
        </w:rPr>
        <w:t>11</w:t>
      </w:r>
      <w:r>
        <w:rPr>
          <w:rFonts w:cs="宋体" w:hint="eastAsia"/>
          <w:color w:val="333333"/>
          <w:kern w:val="0"/>
          <w:sz w:val="22"/>
          <w:szCs w:val="22"/>
        </w:rPr>
        <w:t>次常务会议通过，现予公布，自</w:t>
      </w:r>
      <w:r>
        <w:rPr>
          <w:color w:val="333333"/>
          <w:kern w:val="0"/>
          <w:sz w:val="22"/>
          <w:szCs w:val="22"/>
        </w:rPr>
        <w:t>2014</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日起施行。</w:t>
      </w:r>
    </w:p>
    <w:p w:rsidR="00A32067" w:rsidRDefault="00A32067" w:rsidP="005431C7">
      <w:pPr>
        <w:widowControl/>
        <w:shd w:val="clear" w:color="auto" w:fill="FFFFFF"/>
        <w:adjustRightInd w:val="0"/>
        <w:snapToGrid w:val="0"/>
        <w:spacing w:line="360" w:lineRule="auto"/>
        <w:ind w:right="240" w:firstLineChars="200" w:firstLine="31680"/>
        <w:jc w:val="right"/>
        <w:rPr>
          <w:color w:val="333333"/>
          <w:kern w:val="0"/>
          <w:sz w:val="22"/>
          <w:szCs w:val="22"/>
        </w:rPr>
      </w:pPr>
      <w:r>
        <w:rPr>
          <w:rFonts w:cs="宋体" w:hint="eastAsia"/>
          <w:color w:val="333333"/>
          <w:kern w:val="0"/>
          <w:sz w:val="22"/>
          <w:szCs w:val="22"/>
        </w:rPr>
        <w:t>省长张庆伟</w:t>
      </w:r>
    </w:p>
    <w:p w:rsidR="00A32067" w:rsidRDefault="00A32067">
      <w:pPr>
        <w:widowControl/>
        <w:shd w:val="clear" w:color="auto" w:fill="FFFFFF"/>
        <w:ind w:firstLine="480"/>
        <w:jc w:val="right"/>
        <w:rPr>
          <w:color w:val="333333"/>
          <w:kern w:val="0"/>
          <w:sz w:val="22"/>
          <w:szCs w:val="22"/>
        </w:rPr>
      </w:pPr>
      <w:r>
        <w:rPr>
          <w:color w:val="333333"/>
          <w:kern w:val="0"/>
          <w:sz w:val="22"/>
          <w:szCs w:val="22"/>
        </w:rPr>
        <w:t>2013</w:t>
      </w:r>
      <w:r>
        <w:rPr>
          <w:rFonts w:cs="宋体" w:hint="eastAsia"/>
          <w:color w:val="333333"/>
          <w:kern w:val="0"/>
          <w:sz w:val="22"/>
          <w:szCs w:val="22"/>
        </w:rPr>
        <w:t>年</w:t>
      </w:r>
      <w:r>
        <w:rPr>
          <w:color w:val="333333"/>
          <w:kern w:val="0"/>
          <w:sz w:val="22"/>
          <w:szCs w:val="22"/>
        </w:rPr>
        <w:t>11</w:t>
      </w:r>
      <w:r>
        <w:rPr>
          <w:rFonts w:cs="宋体" w:hint="eastAsia"/>
          <w:color w:val="333333"/>
          <w:kern w:val="0"/>
          <w:sz w:val="22"/>
          <w:szCs w:val="22"/>
        </w:rPr>
        <w:t>月</w:t>
      </w:r>
      <w:r>
        <w:rPr>
          <w:color w:val="333333"/>
          <w:kern w:val="0"/>
          <w:sz w:val="22"/>
          <w:szCs w:val="22"/>
        </w:rPr>
        <w:t>2</w:t>
      </w:r>
      <w:r>
        <w:rPr>
          <w:rFonts w:cs="宋体" w:hint="eastAsia"/>
          <w:color w:val="333333"/>
          <w:kern w:val="0"/>
          <w:sz w:val="22"/>
          <w:szCs w:val="22"/>
        </w:rPr>
        <w:t>日</w:t>
      </w:r>
    </w:p>
    <w:p w:rsidR="00A32067" w:rsidRDefault="00A32067">
      <w:pPr>
        <w:spacing w:before="100" w:beforeAutospacing="1" w:after="100" w:afterAutospacing="1" w:line="432" w:lineRule="atLeast"/>
        <w:jc w:val="center"/>
        <w:rPr>
          <w:b/>
          <w:bCs/>
          <w:color w:val="000000"/>
          <w:sz w:val="32"/>
          <w:szCs w:val="32"/>
        </w:rPr>
      </w:pPr>
      <w:r>
        <w:rPr>
          <w:rFonts w:cs="宋体" w:hint="eastAsia"/>
          <w:b/>
          <w:bCs/>
          <w:color w:val="000000"/>
          <w:sz w:val="32"/>
          <w:szCs w:val="32"/>
        </w:rPr>
        <w:t>河北省城镇土地使用税实施办法</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w:t>
      </w:r>
      <w:r>
        <w:rPr>
          <w:color w:val="333333"/>
          <w:kern w:val="0"/>
          <w:sz w:val="22"/>
          <w:szCs w:val="22"/>
        </w:rPr>
        <w:t>2007</w:t>
      </w:r>
      <w:r>
        <w:rPr>
          <w:rFonts w:cs="宋体" w:hint="eastAsia"/>
          <w:color w:val="333333"/>
          <w:kern w:val="0"/>
          <w:sz w:val="22"/>
          <w:szCs w:val="22"/>
        </w:rPr>
        <w:t>年</w:t>
      </w:r>
      <w:r>
        <w:rPr>
          <w:color w:val="333333"/>
          <w:kern w:val="0"/>
          <w:sz w:val="22"/>
          <w:szCs w:val="22"/>
        </w:rPr>
        <w:t>6</w:t>
      </w:r>
      <w:r>
        <w:rPr>
          <w:rFonts w:cs="宋体" w:hint="eastAsia"/>
          <w:color w:val="333333"/>
          <w:kern w:val="0"/>
          <w:sz w:val="22"/>
          <w:szCs w:val="22"/>
        </w:rPr>
        <w:t>月</w:t>
      </w:r>
      <w:r>
        <w:rPr>
          <w:color w:val="333333"/>
          <w:kern w:val="0"/>
          <w:sz w:val="22"/>
          <w:szCs w:val="22"/>
        </w:rPr>
        <w:t>25</w:t>
      </w:r>
      <w:r>
        <w:rPr>
          <w:rFonts w:cs="宋体" w:hint="eastAsia"/>
          <w:color w:val="333333"/>
          <w:kern w:val="0"/>
          <w:sz w:val="22"/>
          <w:szCs w:val="22"/>
        </w:rPr>
        <w:t>日河北省人民政府令〔</w:t>
      </w:r>
      <w:r>
        <w:rPr>
          <w:color w:val="333333"/>
          <w:kern w:val="0"/>
          <w:sz w:val="22"/>
          <w:szCs w:val="22"/>
        </w:rPr>
        <w:t>2007</w:t>
      </w:r>
      <w:r>
        <w:rPr>
          <w:rFonts w:cs="宋体" w:hint="eastAsia"/>
          <w:color w:val="333333"/>
          <w:kern w:val="0"/>
          <w:sz w:val="22"/>
          <w:szCs w:val="22"/>
        </w:rPr>
        <w:t>〕第</w:t>
      </w:r>
      <w:r>
        <w:rPr>
          <w:color w:val="333333"/>
          <w:kern w:val="0"/>
          <w:sz w:val="22"/>
          <w:szCs w:val="22"/>
        </w:rPr>
        <w:t>9</w:t>
      </w:r>
      <w:r>
        <w:rPr>
          <w:rFonts w:cs="宋体" w:hint="eastAsia"/>
          <w:color w:val="333333"/>
          <w:kern w:val="0"/>
          <w:sz w:val="22"/>
          <w:szCs w:val="22"/>
        </w:rPr>
        <w:t>号公布，根据</w:t>
      </w:r>
      <w:r>
        <w:rPr>
          <w:color w:val="333333"/>
          <w:kern w:val="0"/>
          <w:sz w:val="22"/>
          <w:szCs w:val="22"/>
        </w:rPr>
        <w:t>2013</w:t>
      </w:r>
      <w:r>
        <w:rPr>
          <w:rFonts w:cs="宋体" w:hint="eastAsia"/>
          <w:color w:val="333333"/>
          <w:kern w:val="0"/>
          <w:sz w:val="22"/>
          <w:szCs w:val="22"/>
        </w:rPr>
        <w:t>年</w:t>
      </w:r>
      <w:r>
        <w:rPr>
          <w:color w:val="333333"/>
          <w:kern w:val="0"/>
          <w:sz w:val="22"/>
          <w:szCs w:val="22"/>
        </w:rPr>
        <w:t>11</w:t>
      </w:r>
      <w:r>
        <w:rPr>
          <w:rFonts w:cs="宋体" w:hint="eastAsia"/>
          <w:color w:val="333333"/>
          <w:kern w:val="0"/>
          <w:sz w:val="22"/>
          <w:szCs w:val="22"/>
        </w:rPr>
        <w:t>月</w:t>
      </w:r>
      <w:r>
        <w:rPr>
          <w:color w:val="333333"/>
          <w:kern w:val="0"/>
          <w:sz w:val="22"/>
          <w:szCs w:val="22"/>
        </w:rPr>
        <w:t>2</w:t>
      </w:r>
      <w:r>
        <w:rPr>
          <w:rFonts w:cs="宋体" w:hint="eastAsia"/>
          <w:color w:val="333333"/>
          <w:kern w:val="0"/>
          <w:sz w:val="22"/>
          <w:szCs w:val="22"/>
        </w:rPr>
        <w:t>日《河北省人民政府关于修改〈河北省城镇土地使用税实施办法〉的决定》修订）</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第一条</w:t>
      </w:r>
      <w:r>
        <w:rPr>
          <w:rFonts w:cs="宋体" w:hint="eastAsia"/>
          <w:color w:val="333333"/>
          <w:kern w:val="0"/>
          <w:sz w:val="22"/>
          <w:szCs w:val="22"/>
        </w:rPr>
        <w:t>根据《中华人民共和国城镇土地使用税暂行条例》</w:t>
      </w:r>
      <w:r>
        <w:rPr>
          <w:color w:val="333333"/>
          <w:kern w:val="0"/>
          <w:sz w:val="22"/>
          <w:szCs w:val="22"/>
        </w:rPr>
        <w:t>(</w:t>
      </w:r>
      <w:r>
        <w:rPr>
          <w:rFonts w:cs="宋体" w:hint="eastAsia"/>
          <w:color w:val="333333"/>
          <w:kern w:val="0"/>
          <w:sz w:val="22"/>
          <w:szCs w:val="22"/>
        </w:rPr>
        <w:t>以下简称《条例》</w:t>
      </w:r>
      <w:r>
        <w:rPr>
          <w:color w:val="333333"/>
          <w:kern w:val="0"/>
          <w:sz w:val="22"/>
          <w:szCs w:val="22"/>
        </w:rPr>
        <w:t>)</w:t>
      </w:r>
      <w:r>
        <w:rPr>
          <w:rFonts w:cs="宋体" w:hint="eastAsia"/>
          <w:color w:val="333333"/>
          <w:kern w:val="0"/>
          <w:sz w:val="22"/>
          <w:szCs w:val="22"/>
        </w:rPr>
        <w:t>，结合本省实际，制定本办法。</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第二条</w:t>
      </w:r>
      <w:r>
        <w:rPr>
          <w:rFonts w:cs="宋体" w:hint="eastAsia"/>
          <w:color w:val="333333"/>
          <w:kern w:val="0"/>
          <w:sz w:val="22"/>
          <w:szCs w:val="22"/>
        </w:rPr>
        <w:t>在本省所辖的城市、县城、建制镇和工矿区范围内使用土地的单位和个人，为城镇土地使用税</w:t>
      </w:r>
      <w:r>
        <w:rPr>
          <w:color w:val="333333"/>
          <w:kern w:val="0"/>
          <w:sz w:val="22"/>
          <w:szCs w:val="22"/>
        </w:rPr>
        <w:t>(</w:t>
      </w:r>
      <w:r>
        <w:rPr>
          <w:rFonts w:cs="宋体" w:hint="eastAsia"/>
          <w:color w:val="333333"/>
          <w:kern w:val="0"/>
          <w:sz w:val="22"/>
          <w:szCs w:val="22"/>
        </w:rPr>
        <w:t>以下简称土地使用税</w:t>
      </w:r>
      <w:r>
        <w:rPr>
          <w:color w:val="333333"/>
          <w:kern w:val="0"/>
          <w:sz w:val="22"/>
          <w:szCs w:val="22"/>
        </w:rPr>
        <w:t>)</w:t>
      </w:r>
      <w:r>
        <w:rPr>
          <w:rFonts w:cs="宋体" w:hint="eastAsia"/>
          <w:color w:val="333333"/>
          <w:kern w:val="0"/>
          <w:sz w:val="22"/>
          <w:szCs w:val="22"/>
        </w:rPr>
        <w:t>的纳税人，应当依照本办法的规定缴纳土地使用税。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前款所称单位，包括国有企业、集体企业、私营企业、股份制企业、外商投资企业、外国企业以及其他企业和事业单位、社会团体、国家机关、军队以及其他单位；所称个人，包括个体工商户以及其他个人。</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第三条</w:t>
      </w:r>
      <w:r>
        <w:rPr>
          <w:rFonts w:cs="宋体" w:hint="eastAsia"/>
          <w:color w:val="333333"/>
          <w:kern w:val="0"/>
          <w:sz w:val="22"/>
          <w:szCs w:val="22"/>
        </w:rPr>
        <w:t>下列土地免缴土地使用税：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一</w:t>
      </w:r>
      <w:r>
        <w:rPr>
          <w:color w:val="333333"/>
          <w:kern w:val="0"/>
          <w:sz w:val="22"/>
          <w:szCs w:val="22"/>
        </w:rPr>
        <w:t>)</w:t>
      </w:r>
      <w:r>
        <w:rPr>
          <w:rFonts w:cs="宋体" w:hint="eastAsia"/>
          <w:color w:val="333333"/>
          <w:kern w:val="0"/>
          <w:sz w:val="22"/>
          <w:szCs w:val="22"/>
        </w:rPr>
        <w:t>国家机关、人民团体、军队自用的土地</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二</w:t>
      </w:r>
      <w:r>
        <w:rPr>
          <w:color w:val="333333"/>
          <w:kern w:val="0"/>
          <w:sz w:val="22"/>
          <w:szCs w:val="22"/>
        </w:rPr>
        <w:t>)</w:t>
      </w:r>
      <w:r>
        <w:rPr>
          <w:rFonts w:cs="宋体" w:hint="eastAsia"/>
          <w:color w:val="333333"/>
          <w:kern w:val="0"/>
          <w:sz w:val="22"/>
          <w:szCs w:val="22"/>
        </w:rPr>
        <w:t>由国家财政部门拨付事业经费的单位自用的土地</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三</w:t>
      </w:r>
      <w:r>
        <w:rPr>
          <w:color w:val="333333"/>
          <w:kern w:val="0"/>
          <w:sz w:val="22"/>
          <w:szCs w:val="22"/>
        </w:rPr>
        <w:t>)</w:t>
      </w:r>
      <w:r>
        <w:rPr>
          <w:rFonts w:cs="宋体" w:hint="eastAsia"/>
          <w:color w:val="333333"/>
          <w:kern w:val="0"/>
          <w:sz w:val="22"/>
          <w:szCs w:val="22"/>
        </w:rPr>
        <w:t>宗教寺庙、公园、名胜古迹自用的土地</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四</w:t>
      </w:r>
      <w:r>
        <w:rPr>
          <w:color w:val="333333"/>
          <w:kern w:val="0"/>
          <w:sz w:val="22"/>
          <w:szCs w:val="22"/>
        </w:rPr>
        <w:t>)</w:t>
      </w:r>
      <w:r>
        <w:rPr>
          <w:rFonts w:cs="宋体" w:hint="eastAsia"/>
          <w:color w:val="333333"/>
          <w:kern w:val="0"/>
          <w:sz w:val="22"/>
          <w:szCs w:val="22"/>
        </w:rPr>
        <w:t>市政街道、广场、绿化地带等公共用地</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五</w:t>
      </w:r>
      <w:r>
        <w:rPr>
          <w:color w:val="333333"/>
          <w:kern w:val="0"/>
          <w:sz w:val="22"/>
          <w:szCs w:val="22"/>
        </w:rPr>
        <w:t>)</w:t>
      </w:r>
      <w:r>
        <w:rPr>
          <w:rFonts w:cs="宋体" w:hint="eastAsia"/>
          <w:color w:val="333333"/>
          <w:kern w:val="0"/>
          <w:sz w:val="22"/>
          <w:szCs w:val="22"/>
        </w:rPr>
        <w:t>直接用于农、林、牧、渔业的生产用地</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六</w:t>
      </w:r>
      <w:r>
        <w:rPr>
          <w:color w:val="333333"/>
          <w:kern w:val="0"/>
          <w:sz w:val="22"/>
          <w:szCs w:val="22"/>
        </w:rPr>
        <w:t>)</w:t>
      </w:r>
      <w:r>
        <w:rPr>
          <w:rFonts w:cs="宋体" w:hint="eastAsia"/>
          <w:color w:val="333333"/>
          <w:kern w:val="0"/>
          <w:sz w:val="22"/>
          <w:szCs w:val="22"/>
        </w:rPr>
        <w:t>经批准开山填海整治的土地和改造的废弃土地，从使用的月份起免缴土地使用税</w:t>
      </w:r>
      <w:r>
        <w:rPr>
          <w:color w:val="333333"/>
          <w:kern w:val="0"/>
          <w:sz w:val="22"/>
          <w:szCs w:val="22"/>
        </w:rPr>
        <w:t>5</w:t>
      </w:r>
      <w:r>
        <w:rPr>
          <w:rFonts w:cs="宋体" w:hint="eastAsia"/>
          <w:color w:val="333333"/>
          <w:kern w:val="0"/>
          <w:sz w:val="22"/>
          <w:szCs w:val="22"/>
        </w:rPr>
        <w:t>年至</w:t>
      </w:r>
      <w:r>
        <w:rPr>
          <w:color w:val="333333"/>
          <w:kern w:val="0"/>
          <w:sz w:val="22"/>
          <w:szCs w:val="22"/>
        </w:rPr>
        <w:t>10</w:t>
      </w:r>
      <w:r>
        <w:rPr>
          <w:rFonts w:cs="宋体" w:hint="eastAsia"/>
          <w:color w:val="333333"/>
          <w:kern w:val="0"/>
          <w:sz w:val="22"/>
          <w:szCs w:val="22"/>
        </w:rPr>
        <w:t>年</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七</w:t>
      </w:r>
      <w:r>
        <w:rPr>
          <w:color w:val="333333"/>
          <w:kern w:val="0"/>
          <w:sz w:val="22"/>
          <w:szCs w:val="22"/>
        </w:rPr>
        <w:t>)</w:t>
      </w:r>
      <w:r>
        <w:rPr>
          <w:rFonts w:cs="宋体" w:hint="eastAsia"/>
          <w:color w:val="333333"/>
          <w:kern w:val="0"/>
          <w:sz w:val="22"/>
          <w:szCs w:val="22"/>
        </w:rPr>
        <w:t>由财政部另行规定免税的能源、交通、水利设施用地和其他用地。</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第四条</w:t>
      </w:r>
      <w:r>
        <w:rPr>
          <w:rFonts w:cs="宋体" w:hint="eastAsia"/>
          <w:color w:val="333333"/>
          <w:kern w:val="0"/>
          <w:sz w:val="22"/>
          <w:szCs w:val="22"/>
        </w:rPr>
        <w:t>土地使用税由土地所在地的地方税务机关负责征收。</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第五条</w:t>
      </w:r>
      <w:r>
        <w:rPr>
          <w:rFonts w:cs="宋体" w:hint="eastAsia"/>
          <w:color w:val="333333"/>
          <w:kern w:val="0"/>
          <w:sz w:val="22"/>
          <w:szCs w:val="22"/>
        </w:rPr>
        <w:t>土地使用税以纳税人实际占用的土地面积为计税依据。</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第六条</w:t>
      </w:r>
      <w:r>
        <w:rPr>
          <w:rFonts w:cs="宋体" w:hint="eastAsia"/>
          <w:color w:val="333333"/>
          <w:kern w:val="0"/>
          <w:sz w:val="22"/>
          <w:szCs w:val="22"/>
        </w:rPr>
        <w:t>土地使用税每平方米年适用税额幅度如下：</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一</w:t>
      </w:r>
      <w:r>
        <w:rPr>
          <w:color w:val="333333"/>
          <w:kern w:val="0"/>
          <w:sz w:val="22"/>
          <w:szCs w:val="22"/>
        </w:rPr>
        <w:t>)</w:t>
      </w:r>
      <w:r>
        <w:rPr>
          <w:rFonts w:cs="宋体" w:hint="eastAsia"/>
          <w:color w:val="333333"/>
          <w:kern w:val="0"/>
          <w:sz w:val="22"/>
          <w:szCs w:val="22"/>
        </w:rPr>
        <w:t>石家庄、唐山、邯郸市市区，一元五角至三十元</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二</w:t>
      </w:r>
      <w:r>
        <w:rPr>
          <w:color w:val="333333"/>
          <w:kern w:val="0"/>
          <w:sz w:val="22"/>
          <w:szCs w:val="22"/>
        </w:rPr>
        <w:t>)</w:t>
      </w:r>
      <w:r>
        <w:rPr>
          <w:rFonts w:cs="宋体" w:hint="eastAsia"/>
          <w:color w:val="333333"/>
          <w:kern w:val="0"/>
          <w:sz w:val="22"/>
          <w:szCs w:val="22"/>
        </w:rPr>
        <w:t>承德、张家口、秦皇岛、廊坊、保定、沧州、衡水、邢台市市区，一元二角至二十四元</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三</w:t>
      </w:r>
      <w:r>
        <w:rPr>
          <w:color w:val="333333"/>
          <w:kern w:val="0"/>
          <w:sz w:val="22"/>
          <w:szCs w:val="22"/>
        </w:rPr>
        <w:t>)</w:t>
      </w:r>
      <w:r>
        <w:rPr>
          <w:rFonts w:cs="宋体" w:hint="eastAsia"/>
          <w:color w:val="333333"/>
          <w:kern w:val="0"/>
          <w:sz w:val="22"/>
          <w:szCs w:val="22"/>
        </w:rPr>
        <w:t>县级市市区，九角至十八元</w:t>
      </w:r>
      <w:r>
        <w:rPr>
          <w:color w:val="333333"/>
          <w:kern w:val="0"/>
          <w:sz w:val="22"/>
          <w:szCs w:val="22"/>
        </w:rPr>
        <w:t>;</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color w:val="333333"/>
          <w:kern w:val="0"/>
          <w:sz w:val="22"/>
          <w:szCs w:val="22"/>
        </w:rPr>
        <w:t>(</w:t>
      </w:r>
      <w:r>
        <w:rPr>
          <w:rFonts w:cs="宋体" w:hint="eastAsia"/>
          <w:color w:val="333333"/>
          <w:kern w:val="0"/>
          <w:sz w:val="22"/>
          <w:szCs w:val="22"/>
        </w:rPr>
        <w:t>四</w:t>
      </w:r>
      <w:r>
        <w:rPr>
          <w:color w:val="333333"/>
          <w:kern w:val="0"/>
          <w:sz w:val="22"/>
          <w:szCs w:val="22"/>
        </w:rPr>
        <w:t>)</w:t>
      </w:r>
      <w:r>
        <w:rPr>
          <w:rFonts w:cs="宋体" w:hint="eastAsia"/>
          <w:color w:val="333333"/>
          <w:kern w:val="0"/>
          <w:sz w:val="22"/>
          <w:szCs w:val="22"/>
        </w:rPr>
        <w:t>县城、建制镇、工矿区，六角至十二元。</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设区的市市区、县级市市区、县城、建制镇的范围，依照行政区划确定。</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第七条</w:t>
      </w:r>
      <w:r>
        <w:rPr>
          <w:rFonts w:cs="宋体" w:hint="eastAsia"/>
          <w:color w:val="333333"/>
          <w:kern w:val="0"/>
          <w:sz w:val="22"/>
          <w:szCs w:val="22"/>
        </w:rPr>
        <w:t>设区的市、县</w:t>
      </w:r>
      <w:r>
        <w:rPr>
          <w:color w:val="333333"/>
          <w:kern w:val="0"/>
          <w:sz w:val="22"/>
          <w:szCs w:val="22"/>
        </w:rPr>
        <w:t>(</w:t>
      </w:r>
      <w:r>
        <w:rPr>
          <w:rFonts w:cs="宋体" w:hint="eastAsia"/>
          <w:color w:val="333333"/>
          <w:kern w:val="0"/>
          <w:sz w:val="22"/>
          <w:szCs w:val="22"/>
        </w:rPr>
        <w:t>市</w:t>
      </w:r>
      <w:r>
        <w:rPr>
          <w:color w:val="333333"/>
          <w:kern w:val="0"/>
          <w:sz w:val="22"/>
          <w:szCs w:val="22"/>
        </w:rPr>
        <w:t>)</w:t>
      </w:r>
      <w:r>
        <w:rPr>
          <w:rFonts w:cs="宋体" w:hint="eastAsia"/>
          <w:color w:val="333333"/>
          <w:kern w:val="0"/>
          <w:sz w:val="22"/>
          <w:szCs w:val="22"/>
        </w:rPr>
        <w:t>人民政府应当根据实际情况，将本地区土地划分为若干等级，在本办法第六条确定的适用税额幅度内，制定相应的适用税额标准。其中，经济落后地区的适用税额标准可以适当降低，但降低额不得超过本办法第六条规定最低适用税额的百分之三十。</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设区的市、县</w:t>
      </w:r>
      <w:r>
        <w:rPr>
          <w:color w:val="333333"/>
          <w:kern w:val="0"/>
          <w:sz w:val="22"/>
          <w:szCs w:val="22"/>
        </w:rPr>
        <w:t>(</w:t>
      </w:r>
      <w:r>
        <w:rPr>
          <w:rFonts w:cs="宋体" w:hint="eastAsia"/>
          <w:color w:val="333333"/>
          <w:kern w:val="0"/>
          <w:sz w:val="22"/>
          <w:szCs w:val="22"/>
        </w:rPr>
        <w:t>市</w:t>
      </w:r>
      <w:r>
        <w:rPr>
          <w:color w:val="333333"/>
          <w:kern w:val="0"/>
          <w:sz w:val="22"/>
          <w:szCs w:val="22"/>
        </w:rPr>
        <w:t>)</w:t>
      </w:r>
      <w:r>
        <w:rPr>
          <w:rFonts w:cs="宋体" w:hint="eastAsia"/>
          <w:color w:val="333333"/>
          <w:kern w:val="0"/>
          <w:sz w:val="22"/>
          <w:szCs w:val="22"/>
        </w:rPr>
        <w:t>人民政府制定的适用税额标准报省人民政府批准后执行。</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第八条</w:t>
      </w:r>
      <w:r>
        <w:rPr>
          <w:rFonts w:cs="宋体" w:hint="eastAsia"/>
          <w:color w:val="333333"/>
          <w:kern w:val="0"/>
          <w:sz w:val="22"/>
          <w:szCs w:val="22"/>
        </w:rPr>
        <w:t>土地使用税按年计算、分期缴纳。纳税人应当于每年</w:t>
      </w:r>
      <w:r>
        <w:rPr>
          <w:color w:val="333333"/>
          <w:kern w:val="0"/>
          <w:sz w:val="22"/>
          <w:szCs w:val="22"/>
        </w:rPr>
        <w:t>3</w:t>
      </w:r>
      <w:r>
        <w:rPr>
          <w:rFonts w:cs="宋体" w:hint="eastAsia"/>
          <w:color w:val="333333"/>
          <w:kern w:val="0"/>
          <w:sz w:val="22"/>
          <w:szCs w:val="22"/>
        </w:rPr>
        <w:t>月、</w:t>
      </w:r>
      <w:r>
        <w:rPr>
          <w:color w:val="333333"/>
          <w:kern w:val="0"/>
          <w:sz w:val="22"/>
          <w:szCs w:val="22"/>
        </w:rPr>
        <w:t>6</w:t>
      </w:r>
      <w:r>
        <w:rPr>
          <w:rFonts w:cs="宋体" w:hint="eastAsia"/>
          <w:color w:val="333333"/>
          <w:kern w:val="0"/>
          <w:sz w:val="22"/>
          <w:szCs w:val="22"/>
        </w:rPr>
        <w:t>月、</w:t>
      </w:r>
      <w:r>
        <w:rPr>
          <w:color w:val="333333"/>
          <w:kern w:val="0"/>
          <w:sz w:val="22"/>
          <w:szCs w:val="22"/>
        </w:rPr>
        <w:t>9</w:t>
      </w:r>
      <w:r>
        <w:rPr>
          <w:rFonts w:cs="宋体" w:hint="eastAsia"/>
          <w:color w:val="333333"/>
          <w:kern w:val="0"/>
          <w:sz w:val="22"/>
          <w:szCs w:val="22"/>
        </w:rPr>
        <w:t>月、</w:t>
      </w:r>
      <w:r>
        <w:rPr>
          <w:color w:val="333333"/>
          <w:kern w:val="0"/>
          <w:sz w:val="22"/>
          <w:szCs w:val="22"/>
        </w:rPr>
        <w:t>12</w:t>
      </w:r>
      <w:r>
        <w:rPr>
          <w:rFonts w:cs="宋体" w:hint="eastAsia"/>
          <w:color w:val="333333"/>
          <w:kern w:val="0"/>
          <w:sz w:val="22"/>
          <w:szCs w:val="22"/>
        </w:rPr>
        <w:t>月的</w:t>
      </w:r>
      <w:r>
        <w:rPr>
          <w:color w:val="333333"/>
          <w:kern w:val="0"/>
          <w:sz w:val="22"/>
          <w:szCs w:val="22"/>
        </w:rPr>
        <w:t>1</w:t>
      </w:r>
      <w:r>
        <w:rPr>
          <w:rFonts w:cs="宋体" w:hint="eastAsia"/>
          <w:color w:val="333333"/>
          <w:kern w:val="0"/>
          <w:sz w:val="22"/>
          <w:szCs w:val="22"/>
        </w:rPr>
        <w:t>日至</w:t>
      </w:r>
      <w:r>
        <w:rPr>
          <w:color w:val="333333"/>
          <w:kern w:val="0"/>
          <w:sz w:val="22"/>
          <w:szCs w:val="22"/>
        </w:rPr>
        <w:t>15</w:t>
      </w:r>
      <w:r>
        <w:rPr>
          <w:rFonts w:cs="宋体" w:hint="eastAsia"/>
          <w:color w:val="333333"/>
          <w:kern w:val="0"/>
          <w:sz w:val="22"/>
          <w:szCs w:val="22"/>
        </w:rPr>
        <w:t>日向土地所在地的地方税务机关申报缴纳本季度的土地使用税。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第九条</w:t>
      </w:r>
      <w:r>
        <w:rPr>
          <w:rFonts w:cs="宋体" w:hint="eastAsia"/>
          <w:color w:val="333333"/>
          <w:kern w:val="0"/>
          <w:sz w:val="22"/>
          <w:szCs w:val="22"/>
        </w:rPr>
        <w:t>纳税人占用的土地跨越两个或者两个以上县</w:t>
      </w:r>
      <w:r>
        <w:rPr>
          <w:color w:val="333333"/>
          <w:kern w:val="0"/>
          <w:sz w:val="22"/>
          <w:szCs w:val="22"/>
        </w:rPr>
        <w:t>(</w:t>
      </w:r>
      <w:r>
        <w:rPr>
          <w:rFonts w:cs="宋体" w:hint="eastAsia"/>
          <w:color w:val="333333"/>
          <w:kern w:val="0"/>
          <w:sz w:val="22"/>
          <w:szCs w:val="22"/>
        </w:rPr>
        <w:t>市、区</w:t>
      </w:r>
      <w:r>
        <w:rPr>
          <w:color w:val="333333"/>
          <w:kern w:val="0"/>
          <w:sz w:val="22"/>
          <w:szCs w:val="22"/>
        </w:rPr>
        <w:t>)</w:t>
      </w:r>
      <w:r>
        <w:rPr>
          <w:rFonts w:cs="宋体" w:hint="eastAsia"/>
          <w:color w:val="333333"/>
          <w:kern w:val="0"/>
          <w:sz w:val="22"/>
          <w:szCs w:val="22"/>
        </w:rPr>
        <w:t>行政区的，应当按占用的土地面积分别向土地所在地的地方税务机关申报缴纳土地使用税。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第十条</w:t>
      </w:r>
      <w:r>
        <w:rPr>
          <w:rFonts w:cs="宋体" w:hint="eastAsia"/>
          <w:color w:val="333333"/>
          <w:kern w:val="0"/>
          <w:sz w:val="22"/>
          <w:szCs w:val="22"/>
        </w:rPr>
        <w:t>土地权属争议未解决的，土地使用税暂由土地的实际使用人或者占有人申报缴纳。</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第十一条</w:t>
      </w:r>
      <w:r>
        <w:rPr>
          <w:rFonts w:cs="宋体" w:hint="eastAsia"/>
          <w:color w:val="333333"/>
          <w:kern w:val="0"/>
          <w:sz w:val="22"/>
          <w:szCs w:val="22"/>
        </w:rPr>
        <w:t>土地使用税的征收管理，依照《中华人民共和国税收征收管理法》、《条例》及本办法的规定执行。</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第十二条</w:t>
      </w:r>
      <w:r>
        <w:rPr>
          <w:rFonts w:cs="宋体" w:hint="eastAsia"/>
          <w:color w:val="333333"/>
          <w:kern w:val="0"/>
          <w:sz w:val="22"/>
          <w:szCs w:val="22"/>
        </w:rPr>
        <w:t>本办法自公布之日起施行。</w:t>
      </w:r>
      <w:r>
        <w:rPr>
          <w:color w:val="333333"/>
          <w:kern w:val="0"/>
          <w:sz w:val="22"/>
          <w:szCs w:val="22"/>
        </w:rPr>
        <w:t>1989</w:t>
      </w:r>
      <w:r>
        <w:rPr>
          <w:rFonts w:cs="宋体" w:hint="eastAsia"/>
          <w:color w:val="333333"/>
          <w:kern w:val="0"/>
          <w:sz w:val="22"/>
          <w:szCs w:val="22"/>
        </w:rPr>
        <w:t>年</w:t>
      </w:r>
      <w:r>
        <w:rPr>
          <w:color w:val="333333"/>
          <w:kern w:val="0"/>
          <w:sz w:val="22"/>
          <w:szCs w:val="22"/>
        </w:rPr>
        <w:t>1</w:t>
      </w:r>
      <w:r>
        <w:rPr>
          <w:rFonts w:cs="宋体" w:hint="eastAsia"/>
          <w:color w:val="333333"/>
          <w:kern w:val="0"/>
          <w:sz w:val="22"/>
          <w:szCs w:val="22"/>
        </w:rPr>
        <w:t>月</w:t>
      </w:r>
      <w:r>
        <w:rPr>
          <w:color w:val="333333"/>
          <w:kern w:val="0"/>
          <w:sz w:val="22"/>
          <w:szCs w:val="22"/>
        </w:rPr>
        <w:t>21</w:t>
      </w:r>
      <w:r>
        <w:rPr>
          <w:rFonts w:cs="宋体" w:hint="eastAsia"/>
          <w:color w:val="333333"/>
          <w:kern w:val="0"/>
          <w:sz w:val="22"/>
          <w:szCs w:val="22"/>
        </w:rPr>
        <w:t>日河北省人民政府公布的《河北省城镇土地使用税实施办法》和</w:t>
      </w:r>
      <w:r>
        <w:rPr>
          <w:color w:val="333333"/>
          <w:kern w:val="0"/>
          <w:sz w:val="22"/>
          <w:szCs w:val="22"/>
        </w:rPr>
        <w:t>1997</w:t>
      </w:r>
      <w:r>
        <w:rPr>
          <w:rFonts w:cs="宋体" w:hint="eastAsia"/>
          <w:color w:val="333333"/>
          <w:kern w:val="0"/>
          <w:sz w:val="22"/>
          <w:szCs w:val="22"/>
        </w:rPr>
        <w:t>年</w:t>
      </w:r>
      <w:r>
        <w:rPr>
          <w:color w:val="333333"/>
          <w:kern w:val="0"/>
          <w:sz w:val="22"/>
          <w:szCs w:val="22"/>
        </w:rPr>
        <w:t>10</w:t>
      </w:r>
      <w:r>
        <w:rPr>
          <w:rFonts w:cs="宋体" w:hint="eastAsia"/>
          <w:color w:val="333333"/>
          <w:kern w:val="0"/>
          <w:sz w:val="22"/>
          <w:szCs w:val="22"/>
        </w:rPr>
        <w:t>月</w:t>
      </w:r>
      <w:r>
        <w:rPr>
          <w:color w:val="333333"/>
          <w:kern w:val="0"/>
          <w:sz w:val="22"/>
          <w:szCs w:val="22"/>
        </w:rPr>
        <w:t>15</w:t>
      </w:r>
      <w:r>
        <w:rPr>
          <w:rFonts w:cs="宋体" w:hint="eastAsia"/>
          <w:color w:val="333333"/>
          <w:kern w:val="0"/>
          <w:sz w:val="22"/>
          <w:szCs w:val="22"/>
        </w:rPr>
        <w:t>日河北省人民政府下发的《关于调整城镇土地使用税税额的通知》同时废止。</w:t>
      </w:r>
    </w:p>
    <w:p w:rsidR="00A32067" w:rsidRDefault="00A32067" w:rsidP="004A1DFB">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bookmarkStart w:id="32" w:name="para3"/>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5431C7">
      <w:pPr>
        <w:widowControl/>
        <w:shd w:val="clear" w:color="auto" w:fill="FFFFFF"/>
        <w:adjustRightInd w:val="0"/>
        <w:snapToGrid w:val="0"/>
        <w:spacing w:line="360" w:lineRule="auto"/>
        <w:ind w:firstLineChars="200" w:firstLine="31680"/>
        <w:jc w:val="left"/>
        <w:rPr>
          <w:rFonts w:eastAsia="微软雅黑"/>
          <w:color w:val="333333"/>
          <w:kern w:val="0"/>
          <w:sz w:val="24"/>
          <w:szCs w:val="24"/>
        </w:rPr>
      </w:pPr>
    </w:p>
    <w:p w:rsidR="00A32067" w:rsidRDefault="00A32067" w:rsidP="0002085C">
      <w:pPr>
        <w:spacing w:beforeLines="50" w:afterLines="100" w:line="480" w:lineRule="auto"/>
        <w:jc w:val="center"/>
        <w:outlineLvl w:val="2"/>
        <w:rPr>
          <w:b/>
          <w:bCs/>
          <w:color w:val="000000"/>
          <w:sz w:val="44"/>
          <w:szCs w:val="44"/>
        </w:rPr>
        <w:sectPr w:rsidR="00A32067">
          <w:pgSz w:w="11907" w:h="16840"/>
          <w:pgMar w:top="1134" w:right="1077" w:bottom="1134" w:left="1077" w:header="794" w:footer="567" w:gutter="284"/>
          <w:cols w:space="720"/>
          <w:docGrid w:linePitch="312"/>
        </w:sectPr>
      </w:pPr>
      <w:bookmarkStart w:id="33" w:name="_Toc519872275"/>
    </w:p>
    <w:p w:rsidR="00A32067" w:rsidRDefault="00A32067" w:rsidP="0002085C">
      <w:pPr>
        <w:spacing w:beforeLines="50" w:afterLines="100" w:line="480" w:lineRule="auto"/>
        <w:jc w:val="center"/>
        <w:outlineLvl w:val="2"/>
        <w:rPr>
          <w:b/>
          <w:bCs/>
          <w:color w:val="000000"/>
          <w:sz w:val="44"/>
          <w:szCs w:val="44"/>
        </w:rPr>
      </w:pPr>
      <w:r>
        <w:rPr>
          <w:rFonts w:cs="宋体" w:hint="eastAsia"/>
          <w:b/>
          <w:bCs/>
          <w:color w:val="000000"/>
          <w:sz w:val="44"/>
          <w:szCs w:val="44"/>
        </w:rPr>
        <w:t>河北省耕地占用税实施办法</w:t>
      </w:r>
      <w:bookmarkEnd w:id="32"/>
      <w:bookmarkEnd w:id="33"/>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w:t>
      </w:r>
      <w:r>
        <w:rPr>
          <w:color w:val="333333"/>
          <w:kern w:val="0"/>
          <w:sz w:val="22"/>
          <w:szCs w:val="22"/>
        </w:rPr>
        <w:t>1987</w:t>
      </w:r>
      <w:r>
        <w:rPr>
          <w:rFonts w:cs="宋体" w:hint="eastAsia"/>
          <w:color w:val="333333"/>
          <w:kern w:val="0"/>
          <w:sz w:val="22"/>
          <w:szCs w:val="22"/>
        </w:rPr>
        <w:t>年</w:t>
      </w:r>
      <w:r>
        <w:rPr>
          <w:color w:val="333333"/>
          <w:kern w:val="0"/>
          <w:sz w:val="22"/>
          <w:szCs w:val="22"/>
        </w:rPr>
        <w:t>10</w:t>
      </w:r>
      <w:r>
        <w:rPr>
          <w:rFonts w:cs="宋体" w:hint="eastAsia"/>
          <w:color w:val="333333"/>
          <w:kern w:val="0"/>
          <w:sz w:val="22"/>
          <w:szCs w:val="22"/>
        </w:rPr>
        <w:t>月</w:t>
      </w:r>
      <w:r>
        <w:rPr>
          <w:color w:val="333333"/>
          <w:kern w:val="0"/>
          <w:sz w:val="22"/>
          <w:szCs w:val="22"/>
        </w:rPr>
        <w:t>27</w:t>
      </w:r>
      <w:r>
        <w:rPr>
          <w:rFonts w:cs="宋体" w:hint="eastAsia"/>
          <w:color w:val="333333"/>
          <w:kern w:val="0"/>
          <w:sz w:val="22"/>
          <w:szCs w:val="22"/>
        </w:rPr>
        <w:t>日</w:t>
      </w:r>
      <w:hyperlink r:id="rId53" w:tgtFrame="_blank" w:history="1">
        <w:r>
          <w:rPr>
            <w:rFonts w:cs="宋体" w:hint="eastAsia"/>
            <w:color w:val="333333"/>
            <w:kern w:val="0"/>
            <w:sz w:val="22"/>
            <w:szCs w:val="22"/>
          </w:rPr>
          <w:t>河北省人民政府</w:t>
        </w:r>
      </w:hyperlink>
      <w:r>
        <w:rPr>
          <w:rFonts w:cs="宋体" w:hint="eastAsia"/>
          <w:color w:val="333333"/>
          <w:kern w:val="0"/>
          <w:sz w:val="22"/>
          <w:szCs w:val="22"/>
        </w:rPr>
        <w:t>公布；根据</w:t>
      </w:r>
      <w:r>
        <w:rPr>
          <w:color w:val="333333"/>
          <w:kern w:val="0"/>
          <w:sz w:val="22"/>
          <w:szCs w:val="22"/>
        </w:rPr>
        <w:t>2011</w:t>
      </w:r>
      <w:r>
        <w:rPr>
          <w:rFonts w:cs="宋体" w:hint="eastAsia"/>
          <w:color w:val="333333"/>
          <w:kern w:val="0"/>
          <w:sz w:val="22"/>
          <w:szCs w:val="22"/>
        </w:rPr>
        <w:t>年</w:t>
      </w:r>
      <w:r>
        <w:rPr>
          <w:color w:val="333333"/>
          <w:kern w:val="0"/>
          <w:sz w:val="22"/>
          <w:szCs w:val="22"/>
        </w:rPr>
        <w:t>10</w:t>
      </w:r>
      <w:r>
        <w:rPr>
          <w:rFonts w:cs="宋体" w:hint="eastAsia"/>
          <w:color w:val="333333"/>
          <w:kern w:val="0"/>
          <w:sz w:val="22"/>
          <w:szCs w:val="22"/>
        </w:rPr>
        <w:t>月</w:t>
      </w:r>
      <w:r>
        <w:rPr>
          <w:color w:val="333333"/>
          <w:kern w:val="0"/>
          <w:sz w:val="22"/>
          <w:szCs w:val="22"/>
        </w:rPr>
        <w:t>20</w:t>
      </w:r>
      <w:r>
        <w:rPr>
          <w:rFonts w:cs="宋体" w:hint="eastAsia"/>
          <w:color w:val="333333"/>
          <w:kern w:val="0"/>
          <w:sz w:val="22"/>
          <w:szCs w:val="22"/>
        </w:rPr>
        <w:t>日</w:t>
      </w:r>
      <w:hyperlink r:id="rId54" w:tgtFrame="_blank" w:history="1">
        <w:r>
          <w:rPr>
            <w:rFonts w:cs="宋体" w:hint="eastAsia"/>
            <w:color w:val="333333"/>
            <w:kern w:val="0"/>
            <w:sz w:val="22"/>
            <w:szCs w:val="22"/>
          </w:rPr>
          <w:t>河北省人民政府令</w:t>
        </w:r>
      </w:hyperlink>
      <w:r>
        <w:rPr>
          <w:rFonts w:cs="宋体" w:hint="eastAsia"/>
          <w:color w:val="333333"/>
          <w:kern w:val="0"/>
          <w:sz w:val="22"/>
          <w:szCs w:val="22"/>
        </w:rPr>
        <w:t>〔</w:t>
      </w:r>
      <w:r>
        <w:rPr>
          <w:color w:val="333333"/>
          <w:kern w:val="0"/>
          <w:sz w:val="22"/>
          <w:szCs w:val="22"/>
        </w:rPr>
        <w:t>2011</w:t>
      </w:r>
      <w:r>
        <w:rPr>
          <w:rFonts w:cs="宋体" w:hint="eastAsia"/>
          <w:color w:val="333333"/>
          <w:kern w:val="0"/>
          <w:sz w:val="22"/>
          <w:szCs w:val="22"/>
        </w:rPr>
        <w:t>〕第</w:t>
      </w:r>
      <w:r>
        <w:rPr>
          <w:color w:val="333333"/>
          <w:kern w:val="0"/>
          <w:sz w:val="22"/>
          <w:szCs w:val="22"/>
        </w:rPr>
        <w:t>10</w:t>
      </w:r>
      <w:r>
        <w:rPr>
          <w:rFonts w:cs="宋体" w:hint="eastAsia"/>
          <w:color w:val="333333"/>
          <w:kern w:val="0"/>
          <w:sz w:val="22"/>
          <w:szCs w:val="22"/>
        </w:rPr>
        <w:t>号修订）</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第一条</w:t>
      </w:r>
      <w:r>
        <w:rPr>
          <w:rFonts w:cs="宋体" w:hint="eastAsia"/>
          <w:color w:val="333333"/>
          <w:kern w:val="0"/>
          <w:sz w:val="22"/>
          <w:szCs w:val="22"/>
        </w:rPr>
        <w:t>根据《中华人民共和国耕地占用税暂行条例》（以下简称《暂行条例》），制定本办法。</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第二条</w:t>
      </w:r>
      <w:r>
        <w:rPr>
          <w:rFonts w:cs="宋体" w:hint="eastAsia"/>
          <w:color w:val="333333"/>
          <w:kern w:val="0"/>
          <w:sz w:val="22"/>
          <w:szCs w:val="22"/>
        </w:rPr>
        <w:t>在本省行政区域内占用耕地建房或者从事非农业建设的单位和个人，为耕地占用税的纳税人，应当依照《暂行条例》和本办法缴纳耕地占用税。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第三条</w:t>
      </w:r>
      <w:r>
        <w:rPr>
          <w:rFonts w:cs="宋体" w:hint="eastAsia"/>
          <w:color w:val="333333"/>
          <w:kern w:val="0"/>
          <w:sz w:val="22"/>
          <w:szCs w:val="22"/>
        </w:rPr>
        <w:t>耕地占用税每平方米平均税额，依据各县（市、区）人均占有耕地水平及经济发展情况核定。具体适用税额由省财政部门拟定，报省人民政府批准。</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第四条</w:t>
      </w:r>
      <w:r>
        <w:rPr>
          <w:rFonts w:cs="宋体" w:hint="eastAsia"/>
          <w:color w:val="333333"/>
          <w:kern w:val="0"/>
          <w:sz w:val="22"/>
          <w:szCs w:val="22"/>
        </w:rPr>
        <w:t>下列情形免征耕地占用税：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（一）军事设施占用耕地；</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（二）学校、幼儿园、养老院、医院占用耕地。</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第五条</w:t>
      </w:r>
      <w:r>
        <w:rPr>
          <w:rFonts w:cs="宋体" w:hint="eastAsia"/>
          <w:color w:val="333333"/>
          <w:kern w:val="0"/>
          <w:sz w:val="22"/>
          <w:szCs w:val="22"/>
        </w:rPr>
        <w:t>农村居民占用耕地新建住宅，按照当地适用税额减半征收耕地占用税。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color w:val="333333"/>
          <w:kern w:val="0"/>
          <w:sz w:val="22"/>
          <w:szCs w:val="22"/>
        </w:rPr>
        <w:t>农村烈士家属、残疾军人、鳏寡孤独以及革命老根据地、少数民族聚居区和边远贫困山区生活困难的农村居民，在规定用地标准以内新建住宅缴纳耕地占用税确有困难的，经所在地乡（镇）人民政府审核，报经县级人民政府批准后，可以免征或者减征耕地占用税。</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第六条</w:t>
      </w:r>
      <w:r>
        <w:rPr>
          <w:rFonts w:cs="宋体" w:hint="eastAsia"/>
          <w:color w:val="333333"/>
          <w:kern w:val="0"/>
          <w:sz w:val="22"/>
          <w:szCs w:val="22"/>
        </w:rPr>
        <w:t>耕地占用税由各级地方税务机关负责征收。土地管理部门在批准用地单位用地时，应将批准文件副本交付地方税务机关。获准占用耕地的单位或者个人应当在收到土地管理部门的通知之日起</w:t>
      </w:r>
      <w:r>
        <w:rPr>
          <w:color w:val="333333"/>
          <w:kern w:val="0"/>
          <w:sz w:val="22"/>
          <w:szCs w:val="22"/>
        </w:rPr>
        <w:t>30</w:t>
      </w:r>
      <w:r>
        <w:rPr>
          <w:rFonts w:cs="宋体" w:hint="eastAsia"/>
          <w:color w:val="333333"/>
          <w:kern w:val="0"/>
          <w:sz w:val="22"/>
          <w:szCs w:val="22"/>
        </w:rPr>
        <w:t>日内缴纳耕地占用税。土地管理部门凭占用税完税凭证或者免税凭证和其他有关文件发放建设用地批准书。</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r>
        <w:rPr>
          <w:rFonts w:cs="宋体" w:hint="eastAsia"/>
          <w:b/>
          <w:bCs/>
          <w:color w:val="333333"/>
          <w:kern w:val="0"/>
          <w:sz w:val="22"/>
          <w:szCs w:val="22"/>
        </w:rPr>
        <w:t>第七条</w:t>
      </w:r>
      <w:r>
        <w:rPr>
          <w:rFonts w:cs="宋体" w:hint="eastAsia"/>
          <w:color w:val="333333"/>
          <w:kern w:val="0"/>
          <w:sz w:val="22"/>
          <w:szCs w:val="22"/>
        </w:rPr>
        <w:t>本办法自</w:t>
      </w:r>
      <w:r>
        <w:rPr>
          <w:color w:val="333333"/>
          <w:kern w:val="0"/>
          <w:sz w:val="22"/>
          <w:szCs w:val="22"/>
        </w:rPr>
        <w:t>1987</w:t>
      </w:r>
      <w:r>
        <w:rPr>
          <w:rFonts w:cs="宋体" w:hint="eastAsia"/>
          <w:color w:val="333333"/>
          <w:kern w:val="0"/>
          <w:sz w:val="22"/>
          <w:szCs w:val="22"/>
        </w:rPr>
        <w:t>年</w:t>
      </w:r>
      <w:r>
        <w:rPr>
          <w:color w:val="333333"/>
          <w:kern w:val="0"/>
          <w:sz w:val="22"/>
          <w:szCs w:val="22"/>
        </w:rPr>
        <w:t>4</w:t>
      </w:r>
      <w:r>
        <w:rPr>
          <w:rFonts w:cs="宋体" w:hint="eastAsia"/>
          <w:color w:val="333333"/>
          <w:kern w:val="0"/>
          <w:sz w:val="22"/>
          <w:szCs w:val="22"/>
        </w:rPr>
        <w:t>月</w:t>
      </w:r>
      <w:r>
        <w:rPr>
          <w:color w:val="333333"/>
          <w:kern w:val="0"/>
          <w:sz w:val="22"/>
          <w:szCs w:val="22"/>
        </w:rPr>
        <w:t>1</w:t>
      </w:r>
      <w:r>
        <w:rPr>
          <w:rFonts w:cs="宋体" w:hint="eastAsia"/>
          <w:color w:val="333333"/>
          <w:kern w:val="0"/>
          <w:sz w:val="22"/>
          <w:szCs w:val="22"/>
        </w:rPr>
        <w:t>日起施行。</w:t>
      </w: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5431C7">
      <w:pPr>
        <w:widowControl/>
        <w:shd w:val="clear" w:color="auto" w:fill="FFFFFF"/>
        <w:adjustRightInd w:val="0"/>
        <w:snapToGrid w:val="0"/>
        <w:spacing w:line="360" w:lineRule="auto"/>
        <w:ind w:firstLineChars="200" w:firstLine="31680"/>
        <w:jc w:val="left"/>
        <w:rPr>
          <w:color w:val="333333"/>
          <w:kern w:val="0"/>
          <w:sz w:val="22"/>
          <w:szCs w:val="22"/>
        </w:rPr>
      </w:pPr>
    </w:p>
    <w:p w:rsidR="00A32067" w:rsidRDefault="00A32067" w:rsidP="0002085C">
      <w:pPr>
        <w:spacing w:beforeLines="50" w:afterLines="100" w:line="480" w:lineRule="auto"/>
        <w:jc w:val="center"/>
        <w:outlineLvl w:val="2"/>
        <w:rPr>
          <w:b/>
          <w:bCs/>
          <w:color w:val="000000"/>
          <w:sz w:val="44"/>
          <w:szCs w:val="44"/>
        </w:rPr>
        <w:sectPr w:rsidR="00A32067">
          <w:pgSz w:w="11907" w:h="16840"/>
          <w:pgMar w:top="1134" w:right="1077" w:bottom="1134" w:left="1077" w:header="794" w:footer="567" w:gutter="284"/>
          <w:cols w:space="720"/>
          <w:docGrid w:linePitch="312"/>
        </w:sectPr>
      </w:pPr>
      <w:bookmarkStart w:id="34" w:name="_Toc519872276"/>
    </w:p>
    <w:p w:rsidR="00A32067" w:rsidRDefault="00A32067" w:rsidP="0002085C">
      <w:pPr>
        <w:spacing w:beforeLines="50" w:afterLines="100" w:line="480" w:lineRule="auto"/>
        <w:jc w:val="center"/>
        <w:outlineLvl w:val="2"/>
        <w:rPr>
          <w:b/>
          <w:bCs/>
          <w:color w:val="000000"/>
          <w:sz w:val="44"/>
          <w:szCs w:val="44"/>
        </w:rPr>
      </w:pPr>
      <w:r>
        <w:rPr>
          <w:rFonts w:cs="宋体" w:hint="eastAsia"/>
          <w:b/>
          <w:bCs/>
          <w:color w:val="000000"/>
          <w:sz w:val="44"/>
          <w:szCs w:val="44"/>
        </w:rPr>
        <w:t>河北省县</w:t>
      </w:r>
      <w:r>
        <w:rPr>
          <w:b/>
          <w:bCs/>
          <w:color w:val="000000"/>
          <w:sz w:val="44"/>
          <w:szCs w:val="44"/>
        </w:rPr>
        <w:t>(</w:t>
      </w:r>
      <w:r>
        <w:rPr>
          <w:rFonts w:cs="宋体" w:hint="eastAsia"/>
          <w:b/>
          <w:bCs/>
          <w:color w:val="000000"/>
          <w:sz w:val="44"/>
          <w:szCs w:val="44"/>
        </w:rPr>
        <w:t>市、区</w:t>
      </w:r>
      <w:r>
        <w:rPr>
          <w:b/>
          <w:bCs/>
          <w:color w:val="000000"/>
          <w:sz w:val="44"/>
          <w:szCs w:val="44"/>
        </w:rPr>
        <w:t>)</w:t>
      </w:r>
      <w:r>
        <w:rPr>
          <w:rFonts w:cs="宋体" w:hint="eastAsia"/>
          <w:b/>
          <w:bCs/>
          <w:color w:val="000000"/>
          <w:sz w:val="44"/>
          <w:szCs w:val="44"/>
        </w:rPr>
        <w:t>耕地占用税适用税额表</w:t>
      </w:r>
      <w:bookmarkEnd w:id="34"/>
    </w:p>
    <w:p w:rsidR="00A32067" w:rsidRDefault="00A32067">
      <w:pPr>
        <w:widowControl/>
        <w:spacing w:before="300" w:after="300" w:line="360" w:lineRule="exact"/>
        <w:ind w:firstLine="480"/>
        <w:jc w:val="right"/>
        <w:rPr>
          <w:color w:val="333333"/>
          <w:kern w:val="0"/>
          <w:sz w:val="22"/>
          <w:szCs w:val="22"/>
        </w:rPr>
      </w:pPr>
      <w:r>
        <w:rPr>
          <w:rFonts w:cs="宋体" w:hint="eastAsia"/>
          <w:color w:val="333333"/>
          <w:kern w:val="0"/>
          <w:sz w:val="22"/>
          <w:szCs w:val="22"/>
        </w:rPr>
        <w:t>单位：元</w:t>
      </w:r>
      <w:r>
        <w:rPr>
          <w:color w:val="333333"/>
          <w:kern w:val="0"/>
          <w:sz w:val="22"/>
          <w:szCs w:val="22"/>
        </w:rPr>
        <w:t>/</w:t>
      </w:r>
      <w:r>
        <w:rPr>
          <w:rFonts w:cs="宋体" w:hint="eastAsia"/>
          <w:color w:val="333333"/>
          <w:kern w:val="0"/>
          <w:sz w:val="22"/>
          <w:szCs w:val="22"/>
        </w:rPr>
        <w:t>平方米</w:t>
      </w:r>
    </w:p>
    <w:p w:rsidR="00A32067" w:rsidRDefault="00A32067">
      <w:pPr>
        <w:widowControl/>
        <w:spacing w:line="360" w:lineRule="auto"/>
        <w:ind w:firstLine="482"/>
        <w:jc w:val="left"/>
        <w:rPr>
          <w:color w:val="3E3E3E"/>
          <w:kern w:val="0"/>
          <w:sz w:val="22"/>
          <w:szCs w:val="22"/>
        </w:rPr>
      </w:pPr>
      <w:r>
        <w:rPr>
          <w:rFonts w:cs="宋体" w:hint="eastAsia"/>
          <w:color w:val="3E3E3E"/>
          <w:kern w:val="0"/>
          <w:sz w:val="22"/>
          <w:szCs w:val="22"/>
        </w:rPr>
        <w:t>石家庄市</w:t>
      </w:r>
    </w:p>
    <w:p w:rsidR="00A32067" w:rsidRDefault="00A32067">
      <w:pPr>
        <w:widowControl/>
        <w:spacing w:line="360" w:lineRule="auto"/>
        <w:ind w:firstLine="482"/>
        <w:jc w:val="left"/>
        <w:rPr>
          <w:color w:val="3E3E3E"/>
          <w:kern w:val="0"/>
          <w:sz w:val="22"/>
          <w:szCs w:val="22"/>
        </w:rPr>
      </w:pPr>
      <w:r>
        <w:rPr>
          <w:rFonts w:cs="宋体" w:hint="eastAsia"/>
          <w:color w:val="3E3E3E"/>
          <w:kern w:val="0"/>
          <w:sz w:val="22"/>
          <w:szCs w:val="22"/>
        </w:rPr>
        <w:t>长安区</w:t>
      </w:r>
      <w:r>
        <w:rPr>
          <w:color w:val="3E3E3E"/>
          <w:kern w:val="0"/>
          <w:sz w:val="22"/>
          <w:szCs w:val="22"/>
        </w:rPr>
        <w:t xml:space="preserve"> 35 </w:t>
      </w:r>
      <w:r>
        <w:rPr>
          <w:rFonts w:cs="宋体" w:hint="eastAsia"/>
          <w:color w:val="3E3E3E"/>
          <w:kern w:val="0"/>
          <w:sz w:val="22"/>
          <w:szCs w:val="22"/>
        </w:rPr>
        <w:t>桥西区</w:t>
      </w:r>
      <w:r>
        <w:rPr>
          <w:color w:val="3E3E3E"/>
          <w:kern w:val="0"/>
          <w:sz w:val="22"/>
          <w:szCs w:val="22"/>
        </w:rPr>
        <w:t xml:space="preserve"> 35 </w:t>
      </w:r>
      <w:r>
        <w:rPr>
          <w:rFonts w:cs="宋体" w:hint="eastAsia"/>
          <w:color w:val="3E3E3E"/>
          <w:kern w:val="0"/>
          <w:sz w:val="22"/>
          <w:szCs w:val="22"/>
        </w:rPr>
        <w:t>新华区</w:t>
      </w:r>
      <w:r>
        <w:rPr>
          <w:color w:val="3E3E3E"/>
          <w:kern w:val="0"/>
          <w:sz w:val="22"/>
          <w:szCs w:val="22"/>
        </w:rPr>
        <w:t xml:space="preserve"> 35 </w:t>
      </w:r>
      <w:r>
        <w:rPr>
          <w:rFonts w:cs="宋体" w:hint="eastAsia"/>
          <w:color w:val="3E3E3E"/>
          <w:kern w:val="0"/>
          <w:sz w:val="22"/>
          <w:szCs w:val="22"/>
        </w:rPr>
        <w:t>桥东区</w:t>
      </w:r>
      <w:r>
        <w:rPr>
          <w:color w:val="3E3E3E"/>
          <w:kern w:val="0"/>
          <w:sz w:val="22"/>
          <w:szCs w:val="22"/>
        </w:rPr>
        <w:t xml:space="preserve"> 35 </w:t>
      </w:r>
      <w:r>
        <w:rPr>
          <w:rFonts w:cs="宋体" w:hint="eastAsia"/>
          <w:color w:val="3E3E3E"/>
          <w:kern w:val="0"/>
          <w:sz w:val="22"/>
          <w:szCs w:val="22"/>
        </w:rPr>
        <w:t>裕华区</w:t>
      </w:r>
      <w:r>
        <w:rPr>
          <w:color w:val="3E3E3E"/>
          <w:kern w:val="0"/>
          <w:sz w:val="22"/>
          <w:szCs w:val="22"/>
        </w:rPr>
        <w:t xml:space="preserve"> 35 </w:t>
      </w:r>
      <w:r>
        <w:rPr>
          <w:rFonts w:cs="宋体" w:hint="eastAsia"/>
          <w:color w:val="3E3E3E"/>
          <w:kern w:val="0"/>
          <w:sz w:val="22"/>
          <w:szCs w:val="22"/>
        </w:rPr>
        <w:t>井陉矿区</w:t>
      </w:r>
      <w:r>
        <w:rPr>
          <w:color w:val="3E3E3E"/>
          <w:kern w:val="0"/>
          <w:sz w:val="22"/>
          <w:szCs w:val="22"/>
        </w:rPr>
        <w:t xml:space="preserve"> 30 </w:t>
      </w:r>
      <w:r>
        <w:rPr>
          <w:rFonts w:cs="宋体" w:hint="eastAsia"/>
          <w:color w:val="3E3E3E"/>
          <w:kern w:val="0"/>
          <w:sz w:val="22"/>
          <w:szCs w:val="22"/>
        </w:rPr>
        <w:t>正定县</w:t>
      </w:r>
      <w:r>
        <w:rPr>
          <w:color w:val="3E3E3E"/>
          <w:kern w:val="0"/>
          <w:sz w:val="22"/>
          <w:szCs w:val="22"/>
        </w:rPr>
        <w:t xml:space="preserve"> 30 </w:t>
      </w:r>
      <w:r>
        <w:rPr>
          <w:rFonts w:cs="宋体" w:hint="eastAsia"/>
          <w:color w:val="3E3E3E"/>
          <w:kern w:val="0"/>
          <w:sz w:val="22"/>
          <w:szCs w:val="22"/>
        </w:rPr>
        <w:t>辛集市</w:t>
      </w:r>
      <w:r>
        <w:rPr>
          <w:color w:val="3E3E3E"/>
          <w:kern w:val="0"/>
          <w:sz w:val="22"/>
          <w:szCs w:val="22"/>
        </w:rPr>
        <w:t xml:space="preserve"> 30 </w:t>
      </w:r>
      <w:r>
        <w:rPr>
          <w:rFonts w:cs="宋体" w:hint="eastAsia"/>
          <w:color w:val="3E3E3E"/>
          <w:kern w:val="0"/>
          <w:sz w:val="22"/>
          <w:szCs w:val="22"/>
        </w:rPr>
        <w:t>鹿泉市</w:t>
      </w:r>
      <w:r>
        <w:rPr>
          <w:color w:val="3E3E3E"/>
          <w:kern w:val="0"/>
          <w:sz w:val="22"/>
          <w:szCs w:val="22"/>
        </w:rPr>
        <w:t xml:space="preserve"> 30 </w:t>
      </w:r>
      <w:r>
        <w:rPr>
          <w:rFonts w:cs="宋体" w:hint="eastAsia"/>
          <w:color w:val="3E3E3E"/>
          <w:kern w:val="0"/>
          <w:sz w:val="22"/>
          <w:szCs w:val="22"/>
        </w:rPr>
        <w:t>平山县</w:t>
      </w:r>
      <w:r>
        <w:rPr>
          <w:color w:val="3E3E3E"/>
          <w:kern w:val="0"/>
          <w:sz w:val="22"/>
          <w:szCs w:val="22"/>
        </w:rPr>
        <w:t xml:space="preserve"> 25 </w:t>
      </w:r>
      <w:r>
        <w:rPr>
          <w:rFonts w:cs="宋体" w:hint="eastAsia"/>
          <w:color w:val="3E3E3E"/>
          <w:kern w:val="0"/>
          <w:sz w:val="22"/>
          <w:szCs w:val="22"/>
        </w:rPr>
        <w:t>新乐市</w:t>
      </w:r>
      <w:r>
        <w:rPr>
          <w:color w:val="3E3E3E"/>
          <w:kern w:val="0"/>
          <w:sz w:val="22"/>
          <w:szCs w:val="22"/>
        </w:rPr>
        <w:t xml:space="preserve"> 25 </w:t>
      </w:r>
      <w:r>
        <w:rPr>
          <w:rFonts w:cs="宋体" w:hint="eastAsia"/>
          <w:color w:val="3E3E3E"/>
          <w:kern w:val="0"/>
          <w:sz w:val="22"/>
          <w:szCs w:val="22"/>
        </w:rPr>
        <w:t>灵寿县</w:t>
      </w:r>
      <w:r>
        <w:rPr>
          <w:color w:val="3E3E3E"/>
          <w:kern w:val="0"/>
          <w:sz w:val="22"/>
          <w:szCs w:val="22"/>
        </w:rPr>
        <w:t xml:space="preserve"> 20 </w:t>
      </w:r>
      <w:r>
        <w:rPr>
          <w:rFonts w:cs="宋体" w:hint="eastAsia"/>
          <w:color w:val="3E3E3E"/>
          <w:kern w:val="0"/>
          <w:sz w:val="22"/>
          <w:szCs w:val="22"/>
        </w:rPr>
        <w:t>井陉县</w:t>
      </w:r>
      <w:r>
        <w:rPr>
          <w:color w:val="3E3E3E"/>
          <w:kern w:val="0"/>
          <w:sz w:val="22"/>
          <w:szCs w:val="22"/>
        </w:rPr>
        <w:t xml:space="preserve"> 25 </w:t>
      </w:r>
      <w:r>
        <w:rPr>
          <w:rFonts w:cs="宋体" w:hint="eastAsia"/>
          <w:color w:val="3E3E3E"/>
          <w:kern w:val="0"/>
          <w:sz w:val="22"/>
          <w:szCs w:val="22"/>
        </w:rPr>
        <w:t>无极县</w:t>
      </w:r>
      <w:r>
        <w:rPr>
          <w:color w:val="3E3E3E"/>
          <w:kern w:val="0"/>
          <w:sz w:val="22"/>
          <w:szCs w:val="22"/>
        </w:rPr>
        <w:t xml:space="preserve"> 25 </w:t>
      </w:r>
      <w:r>
        <w:rPr>
          <w:rFonts w:cs="宋体" w:hint="eastAsia"/>
          <w:color w:val="3E3E3E"/>
          <w:kern w:val="0"/>
          <w:sz w:val="22"/>
          <w:szCs w:val="22"/>
        </w:rPr>
        <w:t>藁城市</w:t>
      </w:r>
      <w:r>
        <w:rPr>
          <w:color w:val="3E3E3E"/>
          <w:kern w:val="0"/>
          <w:sz w:val="22"/>
          <w:szCs w:val="22"/>
        </w:rPr>
        <w:t xml:space="preserve"> 25 </w:t>
      </w:r>
      <w:r>
        <w:rPr>
          <w:rFonts w:cs="宋体" w:hint="eastAsia"/>
          <w:color w:val="3E3E3E"/>
          <w:kern w:val="0"/>
          <w:sz w:val="22"/>
          <w:szCs w:val="22"/>
        </w:rPr>
        <w:t>深泽县</w:t>
      </w:r>
      <w:r>
        <w:rPr>
          <w:color w:val="3E3E3E"/>
          <w:kern w:val="0"/>
          <w:sz w:val="22"/>
          <w:szCs w:val="22"/>
        </w:rPr>
        <w:t xml:space="preserve"> 25 </w:t>
      </w:r>
      <w:r>
        <w:rPr>
          <w:rFonts w:cs="宋体" w:hint="eastAsia"/>
          <w:color w:val="3E3E3E"/>
          <w:kern w:val="0"/>
          <w:sz w:val="22"/>
          <w:szCs w:val="22"/>
        </w:rPr>
        <w:t>赵县</w:t>
      </w:r>
      <w:r>
        <w:rPr>
          <w:color w:val="3E3E3E"/>
          <w:kern w:val="0"/>
          <w:sz w:val="22"/>
          <w:szCs w:val="22"/>
        </w:rPr>
        <w:t xml:space="preserve"> 25 </w:t>
      </w:r>
      <w:r>
        <w:rPr>
          <w:rFonts w:cs="宋体" w:hint="eastAsia"/>
          <w:color w:val="3E3E3E"/>
          <w:kern w:val="0"/>
          <w:sz w:val="22"/>
          <w:szCs w:val="22"/>
        </w:rPr>
        <w:t>赞皇县</w:t>
      </w:r>
      <w:r>
        <w:rPr>
          <w:color w:val="3E3E3E"/>
          <w:kern w:val="0"/>
          <w:sz w:val="22"/>
          <w:szCs w:val="22"/>
        </w:rPr>
        <w:t xml:space="preserve"> 20 </w:t>
      </w:r>
      <w:r>
        <w:rPr>
          <w:rFonts w:cs="宋体" w:hint="eastAsia"/>
          <w:color w:val="3E3E3E"/>
          <w:kern w:val="0"/>
          <w:sz w:val="22"/>
          <w:szCs w:val="22"/>
        </w:rPr>
        <w:t>晋州市</w:t>
      </w:r>
      <w:r>
        <w:rPr>
          <w:color w:val="3E3E3E"/>
          <w:kern w:val="0"/>
          <w:sz w:val="22"/>
          <w:szCs w:val="22"/>
        </w:rPr>
        <w:t xml:space="preserve"> 25 </w:t>
      </w:r>
      <w:r>
        <w:rPr>
          <w:rFonts w:cs="宋体" w:hint="eastAsia"/>
          <w:color w:val="3E3E3E"/>
          <w:kern w:val="0"/>
          <w:sz w:val="22"/>
          <w:szCs w:val="22"/>
        </w:rPr>
        <w:t>栾城县</w:t>
      </w:r>
      <w:r>
        <w:rPr>
          <w:color w:val="3E3E3E"/>
          <w:kern w:val="0"/>
          <w:sz w:val="22"/>
          <w:szCs w:val="22"/>
        </w:rPr>
        <w:t xml:space="preserve"> 25 </w:t>
      </w:r>
      <w:r>
        <w:rPr>
          <w:rFonts w:cs="宋体" w:hint="eastAsia"/>
          <w:color w:val="3E3E3E"/>
          <w:kern w:val="0"/>
          <w:sz w:val="22"/>
          <w:szCs w:val="22"/>
        </w:rPr>
        <w:t>行唐县</w:t>
      </w:r>
      <w:r>
        <w:rPr>
          <w:color w:val="3E3E3E"/>
          <w:kern w:val="0"/>
          <w:sz w:val="22"/>
          <w:szCs w:val="22"/>
        </w:rPr>
        <w:t xml:space="preserve"> 20</w:t>
      </w:r>
      <w:r>
        <w:rPr>
          <w:rFonts w:cs="宋体" w:hint="eastAsia"/>
          <w:color w:val="3E3E3E"/>
          <w:kern w:val="0"/>
          <w:sz w:val="22"/>
          <w:szCs w:val="22"/>
        </w:rPr>
        <w:t>元氏县</w:t>
      </w:r>
      <w:r>
        <w:rPr>
          <w:color w:val="3E3E3E"/>
          <w:kern w:val="0"/>
          <w:sz w:val="22"/>
          <w:szCs w:val="22"/>
        </w:rPr>
        <w:t xml:space="preserve"> 25 </w:t>
      </w:r>
      <w:r>
        <w:rPr>
          <w:rFonts w:cs="宋体" w:hint="eastAsia"/>
          <w:color w:val="3E3E3E"/>
          <w:kern w:val="0"/>
          <w:sz w:val="22"/>
          <w:szCs w:val="22"/>
        </w:rPr>
        <w:t>高邑县</w:t>
      </w:r>
      <w:r>
        <w:rPr>
          <w:color w:val="3E3E3E"/>
          <w:kern w:val="0"/>
          <w:sz w:val="22"/>
          <w:szCs w:val="22"/>
        </w:rPr>
        <w:t xml:space="preserve"> 25</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承德市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双桥区</w:t>
      </w:r>
      <w:r>
        <w:rPr>
          <w:color w:val="3E3E3E"/>
          <w:kern w:val="0"/>
          <w:sz w:val="22"/>
          <w:szCs w:val="22"/>
        </w:rPr>
        <w:t xml:space="preserve"> 30 </w:t>
      </w:r>
      <w:r>
        <w:rPr>
          <w:rFonts w:cs="宋体" w:hint="eastAsia"/>
          <w:color w:val="3E3E3E"/>
          <w:kern w:val="0"/>
          <w:sz w:val="22"/>
          <w:szCs w:val="22"/>
        </w:rPr>
        <w:t>双滦区</w:t>
      </w:r>
      <w:r>
        <w:rPr>
          <w:color w:val="3E3E3E"/>
          <w:kern w:val="0"/>
          <w:sz w:val="22"/>
          <w:szCs w:val="22"/>
        </w:rPr>
        <w:t xml:space="preserve"> 30</w:t>
      </w:r>
      <w:r>
        <w:rPr>
          <w:rFonts w:cs="宋体" w:hint="eastAsia"/>
          <w:color w:val="3E3E3E"/>
          <w:kern w:val="0"/>
          <w:sz w:val="22"/>
          <w:szCs w:val="22"/>
        </w:rPr>
        <w:t>鹰手营子矿区</w:t>
      </w:r>
      <w:r>
        <w:rPr>
          <w:color w:val="3E3E3E"/>
          <w:kern w:val="0"/>
          <w:sz w:val="22"/>
          <w:szCs w:val="22"/>
        </w:rPr>
        <w:t xml:space="preserve"> 30 </w:t>
      </w:r>
      <w:r>
        <w:rPr>
          <w:rFonts w:cs="宋体" w:hint="eastAsia"/>
          <w:color w:val="3E3E3E"/>
          <w:kern w:val="0"/>
          <w:sz w:val="22"/>
          <w:szCs w:val="22"/>
        </w:rPr>
        <w:t>兴隆县</w:t>
      </w:r>
      <w:r>
        <w:rPr>
          <w:color w:val="3E3E3E"/>
          <w:kern w:val="0"/>
          <w:sz w:val="22"/>
          <w:szCs w:val="22"/>
        </w:rPr>
        <w:t xml:space="preserve"> 25 </w:t>
      </w:r>
      <w:r>
        <w:rPr>
          <w:rFonts w:cs="宋体" w:hint="eastAsia"/>
          <w:color w:val="3E3E3E"/>
          <w:kern w:val="0"/>
          <w:sz w:val="22"/>
          <w:szCs w:val="22"/>
        </w:rPr>
        <w:t>宽城满族自治县</w:t>
      </w:r>
      <w:r>
        <w:rPr>
          <w:color w:val="3E3E3E"/>
          <w:kern w:val="0"/>
          <w:sz w:val="22"/>
          <w:szCs w:val="22"/>
        </w:rPr>
        <w:t xml:space="preserve"> 25 </w:t>
      </w:r>
      <w:r>
        <w:rPr>
          <w:rFonts w:cs="宋体" w:hint="eastAsia"/>
          <w:color w:val="3E3E3E"/>
          <w:kern w:val="0"/>
          <w:sz w:val="22"/>
          <w:szCs w:val="22"/>
        </w:rPr>
        <w:t>滦平县</w:t>
      </w:r>
      <w:r>
        <w:rPr>
          <w:color w:val="3E3E3E"/>
          <w:kern w:val="0"/>
          <w:sz w:val="22"/>
          <w:szCs w:val="22"/>
        </w:rPr>
        <w:t xml:space="preserve"> 20 </w:t>
      </w:r>
      <w:r>
        <w:rPr>
          <w:rFonts w:cs="宋体" w:hint="eastAsia"/>
          <w:color w:val="3E3E3E"/>
          <w:kern w:val="0"/>
          <w:sz w:val="22"/>
          <w:szCs w:val="22"/>
        </w:rPr>
        <w:t>承德县</w:t>
      </w:r>
      <w:r>
        <w:rPr>
          <w:color w:val="3E3E3E"/>
          <w:kern w:val="0"/>
          <w:sz w:val="22"/>
          <w:szCs w:val="22"/>
        </w:rPr>
        <w:t xml:space="preserve"> 20 </w:t>
      </w:r>
      <w:r>
        <w:rPr>
          <w:rFonts w:cs="宋体" w:hint="eastAsia"/>
          <w:color w:val="3E3E3E"/>
          <w:kern w:val="0"/>
          <w:sz w:val="22"/>
          <w:szCs w:val="22"/>
        </w:rPr>
        <w:t>平泉县</w:t>
      </w:r>
      <w:r>
        <w:rPr>
          <w:color w:val="3E3E3E"/>
          <w:kern w:val="0"/>
          <w:sz w:val="22"/>
          <w:szCs w:val="22"/>
        </w:rPr>
        <w:t xml:space="preserve"> 20 </w:t>
      </w:r>
      <w:r>
        <w:rPr>
          <w:rFonts w:cs="宋体" w:hint="eastAsia"/>
          <w:color w:val="3E3E3E"/>
          <w:kern w:val="0"/>
          <w:sz w:val="22"/>
          <w:szCs w:val="22"/>
        </w:rPr>
        <w:t>隆化县</w:t>
      </w:r>
      <w:r>
        <w:rPr>
          <w:color w:val="3E3E3E"/>
          <w:kern w:val="0"/>
          <w:sz w:val="22"/>
          <w:szCs w:val="22"/>
        </w:rPr>
        <w:t xml:space="preserve"> 15 </w:t>
      </w:r>
      <w:r>
        <w:rPr>
          <w:rFonts w:cs="宋体" w:hint="eastAsia"/>
          <w:color w:val="3E3E3E"/>
          <w:kern w:val="0"/>
          <w:sz w:val="22"/>
          <w:szCs w:val="22"/>
        </w:rPr>
        <w:t>围场满族蒙古族自治县</w:t>
      </w:r>
      <w:r>
        <w:rPr>
          <w:color w:val="3E3E3E"/>
          <w:kern w:val="0"/>
          <w:sz w:val="22"/>
          <w:szCs w:val="22"/>
        </w:rPr>
        <w:t xml:space="preserve"> 10 </w:t>
      </w:r>
      <w:r>
        <w:rPr>
          <w:rFonts w:cs="宋体" w:hint="eastAsia"/>
          <w:color w:val="3E3E3E"/>
          <w:kern w:val="0"/>
          <w:sz w:val="22"/>
          <w:szCs w:val="22"/>
        </w:rPr>
        <w:t>丰宁满族自治县</w:t>
      </w:r>
      <w:r>
        <w:rPr>
          <w:color w:val="3E3E3E"/>
          <w:kern w:val="0"/>
          <w:sz w:val="22"/>
          <w:szCs w:val="22"/>
        </w:rPr>
        <w:t xml:space="preserve"> 10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张家口市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桥东区</w:t>
      </w:r>
      <w:r>
        <w:rPr>
          <w:color w:val="3E3E3E"/>
          <w:kern w:val="0"/>
          <w:sz w:val="22"/>
          <w:szCs w:val="22"/>
        </w:rPr>
        <w:t xml:space="preserve"> 30 </w:t>
      </w:r>
      <w:r>
        <w:rPr>
          <w:rFonts w:cs="宋体" w:hint="eastAsia"/>
          <w:color w:val="3E3E3E"/>
          <w:kern w:val="0"/>
          <w:sz w:val="22"/>
          <w:szCs w:val="22"/>
        </w:rPr>
        <w:t>桥西区</w:t>
      </w:r>
      <w:r>
        <w:rPr>
          <w:color w:val="3E3E3E"/>
          <w:kern w:val="0"/>
          <w:sz w:val="22"/>
          <w:szCs w:val="22"/>
        </w:rPr>
        <w:t xml:space="preserve"> 30 </w:t>
      </w:r>
      <w:r>
        <w:rPr>
          <w:rFonts w:cs="宋体" w:hint="eastAsia"/>
          <w:color w:val="3E3E3E"/>
          <w:kern w:val="0"/>
          <w:sz w:val="22"/>
          <w:szCs w:val="22"/>
        </w:rPr>
        <w:t>下花园区</w:t>
      </w:r>
      <w:r>
        <w:rPr>
          <w:color w:val="3E3E3E"/>
          <w:kern w:val="0"/>
          <w:sz w:val="22"/>
          <w:szCs w:val="22"/>
        </w:rPr>
        <w:t xml:space="preserve"> 25 </w:t>
      </w:r>
      <w:r>
        <w:rPr>
          <w:rFonts w:cs="宋体" w:hint="eastAsia"/>
          <w:color w:val="3E3E3E"/>
          <w:kern w:val="0"/>
          <w:sz w:val="22"/>
          <w:szCs w:val="22"/>
        </w:rPr>
        <w:t>宣化区</w:t>
      </w:r>
      <w:r>
        <w:rPr>
          <w:color w:val="3E3E3E"/>
          <w:kern w:val="0"/>
          <w:sz w:val="22"/>
          <w:szCs w:val="22"/>
        </w:rPr>
        <w:t xml:space="preserve"> 25 </w:t>
      </w:r>
      <w:r>
        <w:rPr>
          <w:rFonts w:cs="宋体" w:hint="eastAsia"/>
          <w:color w:val="3E3E3E"/>
          <w:kern w:val="0"/>
          <w:sz w:val="22"/>
          <w:szCs w:val="22"/>
        </w:rPr>
        <w:t>宣化县</w:t>
      </w:r>
      <w:r>
        <w:rPr>
          <w:color w:val="3E3E3E"/>
          <w:kern w:val="0"/>
          <w:sz w:val="22"/>
          <w:szCs w:val="22"/>
        </w:rPr>
        <w:t xml:space="preserve"> 20 </w:t>
      </w:r>
      <w:r>
        <w:rPr>
          <w:rFonts w:cs="宋体" w:hint="eastAsia"/>
          <w:color w:val="3E3E3E"/>
          <w:kern w:val="0"/>
          <w:sz w:val="22"/>
          <w:szCs w:val="22"/>
        </w:rPr>
        <w:t>涿鹿县</w:t>
      </w:r>
      <w:r>
        <w:rPr>
          <w:color w:val="3E3E3E"/>
          <w:kern w:val="0"/>
          <w:sz w:val="22"/>
          <w:szCs w:val="22"/>
        </w:rPr>
        <w:t xml:space="preserve"> 20 </w:t>
      </w:r>
      <w:r>
        <w:rPr>
          <w:rFonts w:cs="宋体" w:hint="eastAsia"/>
          <w:color w:val="3E3E3E"/>
          <w:kern w:val="0"/>
          <w:sz w:val="22"/>
          <w:szCs w:val="22"/>
        </w:rPr>
        <w:t>怀来县</w:t>
      </w:r>
      <w:r>
        <w:rPr>
          <w:color w:val="3E3E3E"/>
          <w:kern w:val="0"/>
          <w:sz w:val="22"/>
          <w:szCs w:val="22"/>
        </w:rPr>
        <w:t xml:space="preserve"> 25 </w:t>
      </w:r>
      <w:r>
        <w:rPr>
          <w:rFonts w:cs="宋体" w:hint="eastAsia"/>
          <w:color w:val="3E3E3E"/>
          <w:kern w:val="0"/>
          <w:sz w:val="22"/>
          <w:szCs w:val="22"/>
        </w:rPr>
        <w:t>赤城县</w:t>
      </w:r>
      <w:r>
        <w:rPr>
          <w:color w:val="3E3E3E"/>
          <w:kern w:val="0"/>
          <w:sz w:val="22"/>
          <w:szCs w:val="22"/>
        </w:rPr>
        <w:t xml:space="preserve"> 15 </w:t>
      </w:r>
      <w:r>
        <w:rPr>
          <w:rFonts w:cs="宋体" w:hint="eastAsia"/>
          <w:color w:val="3E3E3E"/>
          <w:kern w:val="0"/>
          <w:sz w:val="22"/>
          <w:szCs w:val="22"/>
        </w:rPr>
        <w:t>崇礼县</w:t>
      </w:r>
      <w:r>
        <w:rPr>
          <w:color w:val="3E3E3E"/>
          <w:kern w:val="0"/>
          <w:sz w:val="22"/>
          <w:szCs w:val="22"/>
        </w:rPr>
        <w:t xml:space="preserve"> 15 </w:t>
      </w:r>
      <w:r>
        <w:rPr>
          <w:rFonts w:cs="宋体" w:hint="eastAsia"/>
          <w:color w:val="3E3E3E"/>
          <w:kern w:val="0"/>
          <w:sz w:val="22"/>
          <w:szCs w:val="22"/>
        </w:rPr>
        <w:t>万全县</w:t>
      </w:r>
      <w:r>
        <w:rPr>
          <w:color w:val="3E3E3E"/>
          <w:kern w:val="0"/>
          <w:sz w:val="22"/>
          <w:szCs w:val="22"/>
        </w:rPr>
        <w:t xml:space="preserve"> 15 </w:t>
      </w:r>
      <w:r>
        <w:rPr>
          <w:rFonts w:cs="宋体" w:hint="eastAsia"/>
          <w:color w:val="3E3E3E"/>
          <w:kern w:val="0"/>
          <w:sz w:val="22"/>
          <w:szCs w:val="22"/>
        </w:rPr>
        <w:t>阳原县</w:t>
      </w:r>
      <w:r>
        <w:rPr>
          <w:color w:val="3E3E3E"/>
          <w:kern w:val="0"/>
          <w:sz w:val="22"/>
          <w:szCs w:val="22"/>
        </w:rPr>
        <w:t xml:space="preserve"> 15 </w:t>
      </w:r>
      <w:r>
        <w:rPr>
          <w:rFonts w:cs="宋体" w:hint="eastAsia"/>
          <w:color w:val="3E3E3E"/>
          <w:kern w:val="0"/>
          <w:sz w:val="22"/>
          <w:szCs w:val="22"/>
        </w:rPr>
        <w:t>怀安县</w:t>
      </w:r>
      <w:r>
        <w:rPr>
          <w:color w:val="3E3E3E"/>
          <w:kern w:val="0"/>
          <w:sz w:val="22"/>
          <w:szCs w:val="22"/>
        </w:rPr>
        <w:t xml:space="preserve"> 15 </w:t>
      </w:r>
      <w:r>
        <w:rPr>
          <w:rFonts w:cs="宋体" w:hint="eastAsia"/>
          <w:color w:val="3E3E3E"/>
          <w:kern w:val="0"/>
          <w:sz w:val="22"/>
          <w:szCs w:val="22"/>
        </w:rPr>
        <w:t>蔚县</w:t>
      </w:r>
      <w:r>
        <w:rPr>
          <w:color w:val="3E3E3E"/>
          <w:kern w:val="0"/>
          <w:sz w:val="22"/>
          <w:szCs w:val="22"/>
        </w:rPr>
        <w:t xml:space="preserve"> 15 </w:t>
      </w:r>
      <w:r>
        <w:rPr>
          <w:rFonts w:cs="宋体" w:hint="eastAsia"/>
          <w:color w:val="3E3E3E"/>
          <w:kern w:val="0"/>
          <w:sz w:val="22"/>
          <w:szCs w:val="22"/>
        </w:rPr>
        <w:t>尚义县</w:t>
      </w:r>
      <w:r>
        <w:rPr>
          <w:color w:val="3E3E3E"/>
          <w:kern w:val="0"/>
          <w:sz w:val="22"/>
          <w:szCs w:val="22"/>
        </w:rPr>
        <w:t xml:space="preserve"> 8 </w:t>
      </w:r>
      <w:r>
        <w:rPr>
          <w:rFonts w:cs="宋体" w:hint="eastAsia"/>
          <w:color w:val="3E3E3E"/>
          <w:kern w:val="0"/>
          <w:sz w:val="22"/>
          <w:szCs w:val="22"/>
        </w:rPr>
        <w:t>张北县</w:t>
      </w:r>
      <w:r>
        <w:rPr>
          <w:color w:val="3E3E3E"/>
          <w:kern w:val="0"/>
          <w:sz w:val="22"/>
          <w:szCs w:val="22"/>
        </w:rPr>
        <w:t xml:space="preserve"> 8 </w:t>
      </w:r>
      <w:r>
        <w:rPr>
          <w:rFonts w:cs="宋体" w:hint="eastAsia"/>
          <w:color w:val="3E3E3E"/>
          <w:kern w:val="0"/>
          <w:sz w:val="22"/>
          <w:szCs w:val="22"/>
        </w:rPr>
        <w:t>康保县</w:t>
      </w:r>
      <w:r>
        <w:rPr>
          <w:color w:val="3E3E3E"/>
          <w:kern w:val="0"/>
          <w:sz w:val="22"/>
          <w:szCs w:val="22"/>
        </w:rPr>
        <w:t xml:space="preserve"> 8 </w:t>
      </w:r>
      <w:r>
        <w:rPr>
          <w:rFonts w:cs="宋体" w:hint="eastAsia"/>
          <w:color w:val="3E3E3E"/>
          <w:kern w:val="0"/>
          <w:sz w:val="22"/>
          <w:szCs w:val="22"/>
        </w:rPr>
        <w:t>沽源县</w:t>
      </w:r>
      <w:r>
        <w:rPr>
          <w:color w:val="3E3E3E"/>
          <w:kern w:val="0"/>
          <w:sz w:val="22"/>
          <w:szCs w:val="22"/>
        </w:rPr>
        <w:t xml:space="preserve"> 8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秦皇岛市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海港区</w:t>
      </w:r>
      <w:r>
        <w:rPr>
          <w:color w:val="3E3E3E"/>
          <w:kern w:val="0"/>
          <w:sz w:val="22"/>
          <w:szCs w:val="22"/>
        </w:rPr>
        <w:t xml:space="preserve"> 40 </w:t>
      </w:r>
      <w:r>
        <w:rPr>
          <w:rFonts w:cs="宋体" w:hint="eastAsia"/>
          <w:color w:val="3E3E3E"/>
          <w:kern w:val="0"/>
          <w:sz w:val="22"/>
          <w:szCs w:val="22"/>
        </w:rPr>
        <w:t>山海关区</w:t>
      </w:r>
      <w:r>
        <w:rPr>
          <w:color w:val="3E3E3E"/>
          <w:kern w:val="0"/>
          <w:sz w:val="22"/>
          <w:szCs w:val="22"/>
        </w:rPr>
        <w:t xml:space="preserve"> 35 </w:t>
      </w:r>
      <w:r>
        <w:rPr>
          <w:rFonts w:cs="宋体" w:hint="eastAsia"/>
          <w:color w:val="3E3E3E"/>
          <w:kern w:val="0"/>
          <w:sz w:val="22"/>
          <w:szCs w:val="22"/>
        </w:rPr>
        <w:t>北戴河区</w:t>
      </w:r>
      <w:r>
        <w:rPr>
          <w:color w:val="3E3E3E"/>
          <w:kern w:val="0"/>
          <w:sz w:val="22"/>
          <w:szCs w:val="22"/>
        </w:rPr>
        <w:t xml:space="preserve"> 40 </w:t>
      </w:r>
      <w:r>
        <w:rPr>
          <w:rFonts w:cs="宋体" w:hint="eastAsia"/>
          <w:color w:val="3E3E3E"/>
          <w:kern w:val="0"/>
          <w:sz w:val="22"/>
          <w:szCs w:val="22"/>
        </w:rPr>
        <w:t>抚宁县</w:t>
      </w:r>
      <w:r>
        <w:rPr>
          <w:color w:val="3E3E3E"/>
          <w:kern w:val="0"/>
          <w:sz w:val="22"/>
          <w:szCs w:val="22"/>
        </w:rPr>
        <w:t xml:space="preserve"> 25 </w:t>
      </w:r>
      <w:r>
        <w:rPr>
          <w:rFonts w:cs="宋体" w:hint="eastAsia"/>
          <w:color w:val="3E3E3E"/>
          <w:kern w:val="0"/>
          <w:sz w:val="22"/>
          <w:szCs w:val="22"/>
        </w:rPr>
        <w:t>卢龙县</w:t>
      </w:r>
      <w:r>
        <w:rPr>
          <w:color w:val="3E3E3E"/>
          <w:kern w:val="0"/>
          <w:sz w:val="22"/>
          <w:szCs w:val="22"/>
        </w:rPr>
        <w:t xml:space="preserve"> 25 </w:t>
      </w:r>
      <w:r>
        <w:rPr>
          <w:rFonts w:cs="宋体" w:hint="eastAsia"/>
          <w:color w:val="3E3E3E"/>
          <w:kern w:val="0"/>
          <w:sz w:val="22"/>
          <w:szCs w:val="22"/>
        </w:rPr>
        <w:t>昌黎县</w:t>
      </w:r>
      <w:r>
        <w:rPr>
          <w:color w:val="3E3E3E"/>
          <w:kern w:val="0"/>
          <w:sz w:val="22"/>
          <w:szCs w:val="22"/>
        </w:rPr>
        <w:t xml:space="preserve"> 25 </w:t>
      </w:r>
      <w:r>
        <w:rPr>
          <w:rFonts w:cs="宋体" w:hint="eastAsia"/>
          <w:color w:val="3E3E3E"/>
          <w:kern w:val="0"/>
          <w:sz w:val="22"/>
          <w:szCs w:val="22"/>
        </w:rPr>
        <w:t>青龙满族自治县</w:t>
      </w:r>
      <w:r>
        <w:rPr>
          <w:color w:val="3E3E3E"/>
          <w:kern w:val="0"/>
          <w:sz w:val="22"/>
          <w:szCs w:val="22"/>
        </w:rPr>
        <w:t xml:space="preserve"> 20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唐山市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路北区</w:t>
      </w:r>
      <w:r>
        <w:rPr>
          <w:color w:val="3E3E3E"/>
          <w:kern w:val="0"/>
          <w:sz w:val="22"/>
          <w:szCs w:val="22"/>
        </w:rPr>
        <w:t xml:space="preserve"> 35 </w:t>
      </w:r>
      <w:r>
        <w:rPr>
          <w:rFonts w:cs="宋体" w:hint="eastAsia"/>
          <w:color w:val="3E3E3E"/>
          <w:kern w:val="0"/>
          <w:sz w:val="22"/>
          <w:szCs w:val="22"/>
        </w:rPr>
        <w:t>路南区</w:t>
      </w:r>
      <w:r>
        <w:rPr>
          <w:color w:val="3E3E3E"/>
          <w:kern w:val="0"/>
          <w:sz w:val="22"/>
          <w:szCs w:val="22"/>
        </w:rPr>
        <w:t xml:space="preserve"> 35 </w:t>
      </w:r>
      <w:r>
        <w:rPr>
          <w:rFonts w:cs="宋体" w:hint="eastAsia"/>
          <w:color w:val="3E3E3E"/>
          <w:kern w:val="0"/>
          <w:sz w:val="22"/>
          <w:szCs w:val="22"/>
        </w:rPr>
        <w:t>古冶区</w:t>
      </w:r>
      <w:r>
        <w:rPr>
          <w:color w:val="3E3E3E"/>
          <w:kern w:val="0"/>
          <w:sz w:val="22"/>
          <w:szCs w:val="22"/>
        </w:rPr>
        <w:t xml:space="preserve"> 35 </w:t>
      </w:r>
      <w:r>
        <w:rPr>
          <w:rFonts w:cs="宋体" w:hint="eastAsia"/>
          <w:color w:val="3E3E3E"/>
          <w:kern w:val="0"/>
          <w:sz w:val="22"/>
          <w:szCs w:val="22"/>
        </w:rPr>
        <w:t>开平区</w:t>
      </w:r>
      <w:r>
        <w:rPr>
          <w:color w:val="3E3E3E"/>
          <w:kern w:val="0"/>
          <w:sz w:val="22"/>
          <w:szCs w:val="22"/>
        </w:rPr>
        <w:t xml:space="preserve"> 35 </w:t>
      </w:r>
      <w:r>
        <w:rPr>
          <w:rFonts w:cs="宋体" w:hint="eastAsia"/>
          <w:color w:val="3E3E3E"/>
          <w:kern w:val="0"/>
          <w:sz w:val="22"/>
          <w:szCs w:val="22"/>
        </w:rPr>
        <w:t>丰南区</w:t>
      </w:r>
      <w:r>
        <w:rPr>
          <w:color w:val="3E3E3E"/>
          <w:kern w:val="0"/>
          <w:sz w:val="22"/>
          <w:szCs w:val="22"/>
        </w:rPr>
        <w:t xml:space="preserve"> 30</w:t>
      </w:r>
      <w:r>
        <w:rPr>
          <w:rFonts w:cs="宋体" w:hint="eastAsia"/>
          <w:color w:val="3E3E3E"/>
          <w:kern w:val="0"/>
          <w:sz w:val="22"/>
          <w:szCs w:val="22"/>
        </w:rPr>
        <w:t>丰润区</w:t>
      </w:r>
      <w:r>
        <w:rPr>
          <w:color w:val="3E3E3E"/>
          <w:kern w:val="0"/>
          <w:sz w:val="22"/>
          <w:szCs w:val="22"/>
        </w:rPr>
        <w:t xml:space="preserve"> 30 </w:t>
      </w:r>
      <w:r>
        <w:rPr>
          <w:rFonts w:cs="宋体" w:hint="eastAsia"/>
          <w:color w:val="3E3E3E"/>
          <w:kern w:val="0"/>
          <w:sz w:val="22"/>
          <w:szCs w:val="22"/>
        </w:rPr>
        <w:t>迁西县</w:t>
      </w:r>
      <w:r>
        <w:rPr>
          <w:color w:val="3E3E3E"/>
          <w:kern w:val="0"/>
          <w:sz w:val="22"/>
          <w:szCs w:val="22"/>
        </w:rPr>
        <w:t xml:space="preserve"> 30 </w:t>
      </w:r>
      <w:r>
        <w:rPr>
          <w:rFonts w:cs="宋体" w:hint="eastAsia"/>
          <w:color w:val="3E3E3E"/>
          <w:kern w:val="0"/>
          <w:sz w:val="22"/>
          <w:szCs w:val="22"/>
        </w:rPr>
        <w:t>迁安市</w:t>
      </w:r>
      <w:r>
        <w:rPr>
          <w:color w:val="3E3E3E"/>
          <w:kern w:val="0"/>
          <w:sz w:val="22"/>
          <w:szCs w:val="22"/>
        </w:rPr>
        <w:t xml:space="preserve"> 30 </w:t>
      </w:r>
      <w:r>
        <w:rPr>
          <w:rFonts w:cs="宋体" w:hint="eastAsia"/>
          <w:color w:val="3E3E3E"/>
          <w:kern w:val="0"/>
          <w:sz w:val="22"/>
          <w:szCs w:val="22"/>
        </w:rPr>
        <w:t>遵化市</w:t>
      </w:r>
      <w:r>
        <w:rPr>
          <w:color w:val="3E3E3E"/>
          <w:kern w:val="0"/>
          <w:sz w:val="22"/>
          <w:szCs w:val="22"/>
        </w:rPr>
        <w:t xml:space="preserve"> 30 </w:t>
      </w:r>
      <w:r>
        <w:rPr>
          <w:rFonts w:cs="宋体" w:hint="eastAsia"/>
          <w:color w:val="3E3E3E"/>
          <w:kern w:val="0"/>
          <w:sz w:val="22"/>
          <w:szCs w:val="22"/>
        </w:rPr>
        <w:t>滦县</w:t>
      </w:r>
      <w:r>
        <w:rPr>
          <w:color w:val="3E3E3E"/>
          <w:kern w:val="0"/>
          <w:sz w:val="22"/>
          <w:szCs w:val="22"/>
        </w:rPr>
        <w:t xml:space="preserve"> 25 </w:t>
      </w:r>
      <w:r>
        <w:rPr>
          <w:rFonts w:cs="宋体" w:hint="eastAsia"/>
          <w:color w:val="3E3E3E"/>
          <w:kern w:val="0"/>
          <w:sz w:val="22"/>
          <w:szCs w:val="22"/>
        </w:rPr>
        <w:t>玉田县</w:t>
      </w:r>
      <w:r>
        <w:rPr>
          <w:color w:val="3E3E3E"/>
          <w:kern w:val="0"/>
          <w:sz w:val="22"/>
          <w:szCs w:val="22"/>
        </w:rPr>
        <w:t xml:space="preserve"> 25 </w:t>
      </w:r>
      <w:r>
        <w:rPr>
          <w:rFonts w:cs="宋体" w:hint="eastAsia"/>
          <w:color w:val="3E3E3E"/>
          <w:kern w:val="0"/>
          <w:sz w:val="22"/>
          <w:szCs w:val="22"/>
        </w:rPr>
        <w:t>滦南县</w:t>
      </w:r>
      <w:r>
        <w:rPr>
          <w:color w:val="3E3E3E"/>
          <w:kern w:val="0"/>
          <w:sz w:val="22"/>
          <w:szCs w:val="22"/>
        </w:rPr>
        <w:t xml:space="preserve"> 250 </w:t>
      </w:r>
      <w:r>
        <w:rPr>
          <w:rFonts w:cs="宋体" w:hint="eastAsia"/>
          <w:color w:val="3E3E3E"/>
          <w:kern w:val="0"/>
          <w:sz w:val="22"/>
          <w:szCs w:val="22"/>
        </w:rPr>
        <w:t>乐亭县</w:t>
      </w:r>
      <w:r>
        <w:rPr>
          <w:color w:val="3E3E3E"/>
          <w:kern w:val="0"/>
          <w:sz w:val="22"/>
          <w:szCs w:val="22"/>
        </w:rPr>
        <w:t xml:space="preserve"> 25 </w:t>
      </w:r>
      <w:r>
        <w:rPr>
          <w:rFonts w:cs="宋体" w:hint="eastAsia"/>
          <w:color w:val="3E3E3E"/>
          <w:kern w:val="0"/>
          <w:sz w:val="22"/>
          <w:szCs w:val="22"/>
        </w:rPr>
        <w:t>唐海县</w:t>
      </w:r>
      <w:r>
        <w:rPr>
          <w:color w:val="3E3E3E"/>
          <w:kern w:val="0"/>
          <w:sz w:val="22"/>
          <w:szCs w:val="22"/>
        </w:rPr>
        <w:t xml:space="preserve"> 25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廊坊市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安次区</w:t>
      </w:r>
      <w:r>
        <w:rPr>
          <w:color w:val="3E3E3E"/>
          <w:kern w:val="0"/>
          <w:sz w:val="22"/>
          <w:szCs w:val="22"/>
        </w:rPr>
        <w:t xml:space="preserve"> 35 </w:t>
      </w:r>
      <w:r>
        <w:rPr>
          <w:rFonts w:cs="宋体" w:hint="eastAsia"/>
          <w:color w:val="3E3E3E"/>
          <w:kern w:val="0"/>
          <w:sz w:val="22"/>
          <w:szCs w:val="22"/>
        </w:rPr>
        <w:t>广阳区</w:t>
      </w:r>
      <w:r>
        <w:rPr>
          <w:color w:val="3E3E3E"/>
          <w:kern w:val="0"/>
          <w:sz w:val="22"/>
          <w:szCs w:val="22"/>
        </w:rPr>
        <w:t xml:space="preserve"> 35 </w:t>
      </w:r>
      <w:r>
        <w:rPr>
          <w:rFonts w:cs="宋体" w:hint="eastAsia"/>
          <w:color w:val="3E3E3E"/>
          <w:kern w:val="0"/>
          <w:sz w:val="22"/>
          <w:szCs w:val="22"/>
        </w:rPr>
        <w:t>三河市</w:t>
      </w:r>
      <w:r>
        <w:rPr>
          <w:color w:val="3E3E3E"/>
          <w:kern w:val="0"/>
          <w:sz w:val="22"/>
          <w:szCs w:val="22"/>
        </w:rPr>
        <w:t xml:space="preserve"> 30 </w:t>
      </w:r>
      <w:r>
        <w:rPr>
          <w:rFonts w:cs="宋体" w:hint="eastAsia"/>
          <w:color w:val="3E3E3E"/>
          <w:kern w:val="0"/>
          <w:sz w:val="22"/>
          <w:szCs w:val="22"/>
        </w:rPr>
        <w:t>霸州市</w:t>
      </w:r>
      <w:r>
        <w:rPr>
          <w:color w:val="3E3E3E"/>
          <w:kern w:val="0"/>
          <w:sz w:val="22"/>
          <w:szCs w:val="22"/>
        </w:rPr>
        <w:t xml:space="preserve"> 30 </w:t>
      </w:r>
      <w:r>
        <w:rPr>
          <w:rFonts w:cs="宋体" w:hint="eastAsia"/>
          <w:color w:val="3E3E3E"/>
          <w:kern w:val="0"/>
          <w:sz w:val="22"/>
          <w:szCs w:val="22"/>
        </w:rPr>
        <w:t>大厂回族自治县</w:t>
      </w:r>
      <w:r>
        <w:rPr>
          <w:color w:val="3E3E3E"/>
          <w:kern w:val="0"/>
          <w:sz w:val="22"/>
          <w:szCs w:val="22"/>
        </w:rPr>
        <w:t xml:space="preserve"> 25 </w:t>
      </w:r>
      <w:r>
        <w:rPr>
          <w:rFonts w:cs="宋体" w:hint="eastAsia"/>
          <w:color w:val="3E3E3E"/>
          <w:kern w:val="0"/>
          <w:sz w:val="22"/>
          <w:szCs w:val="22"/>
        </w:rPr>
        <w:t>香河县</w:t>
      </w:r>
      <w:r>
        <w:rPr>
          <w:color w:val="3E3E3E"/>
          <w:kern w:val="0"/>
          <w:sz w:val="22"/>
          <w:szCs w:val="22"/>
        </w:rPr>
        <w:t xml:space="preserve"> 25 </w:t>
      </w:r>
      <w:r>
        <w:rPr>
          <w:rFonts w:cs="宋体" w:hint="eastAsia"/>
          <w:color w:val="3E3E3E"/>
          <w:kern w:val="0"/>
          <w:sz w:val="22"/>
          <w:szCs w:val="22"/>
        </w:rPr>
        <w:t>固安县</w:t>
      </w:r>
      <w:r>
        <w:rPr>
          <w:color w:val="3E3E3E"/>
          <w:kern w:val="0"/>
          <w:sz w:val="22"/>
          <w:szCs w:val="22"/>
        </w:rPr>
        <w:t xml:space="preserve"> 25 </w:t>
      </w:r>
      <w:r>
        <w:rPr>
          <w:rFonts w:cs="宋体" w:hint="eastAsia"/>
          <w:color w:val="3E3E3E"/>
          <w:kern w:val="0"/>
          <w:sz w:val="22"/>
          <w:szCs w:val="22"/>
        </w:rPr>
        <w:t>永清县</w:t>
      </w:r>
      <w:r>
        <w:rPr>
          <w:color w:val="3E3E3E"/>
          <w:kern w:val="0"/>
          <w:sz w:val="22"/>
          <w:szCs w:val="22"/>
        </w:rPr>
        <w:t xml:space="preserve"> 25 </w:t>
      </w:r>
      <w:r>
        <w:rPr>
          <w:rFonts w:cs="宋体" w:hint="eastAsia"/>
          <w:color w:val="3E3E3E"/>
          <w:kern w:val="0"/>
          <w:sz w:val="22"/>
          <w:szCs w:val="22"/>
        </w:rPr>
        <w:t>大城县</w:t>
      </w:r>
      <w:r>
        <w:rPr>
          <w:color w:val="3E3E3E"/>
          <w:kern w:val="0"/>
          <w:sz w:val="22"/>
          <w:szCs w:val="22"/>
        </w:rPr>
        <w:t xml:space="preserve"> 25 </w:t>
      </w:r>
      <w:r>
        <w:rPr>
          <w:rFonts w:cs="宋体" w:hint="eastAsia"/>
          <w:color w:val="3E3E3E"/>
          <w:kern w:val="0"/>
          <w:sz w:val="22"/>
          <w:szCs w:val="22"/>
        </w:rPr>
        <w:t>文安县</w:t>
      </w:r>
      <w:r>
        <w:rPr>
          <w:color w:val="3E3E3E"/>
          <w:kern w:val="0"/>
          <w:sz w:val="22"/>
          <w:szCs w:val="22"/>
        </w:rPr>
        <w:t xml:space="preserve"> 25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保定市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新市区</w:t>
      </w:r>
      <w:r>
        <w:rPr>
          <w:color w:val="3E3E3E"/>
          <w:kern w:val="0"/>
          <w:sz w:val="22"/>
          <w:szCs w:val="22"/>
        </w:rPr>
        <w:t xml:space="preserve"> 35 </w:t>
      </w:r>
      <w:r>
        <w:rPr>
          <w:rFonts w:cs="宋体" w:hint="eastAsia"/>
          <w:color w:val="3E3E3E"/>
          <w:kern w:val="0"/>
          <w:sz w:val="22"/>
          <w:szCs w:val="22"/>
        </w:rPr>
        <w:t>南市区</w:t>
      </w:r>
      <w:r>
        <w:rPr>
          <w:color w:val="3E3E3E"/>
          <w:kern w:val="0"/>
          <w:sz w:val="22"/>
          <w:szCs w:val="22"/>
        </w:rPr>
        <w:t xml:space="preserve"> 35 </w:t>
      </w:r>
      <w:r>
        <w:rPr>
          <w:rFonts w:cs="宋体" w:hint="eastAsia"/>
          <w:color w:val="3E3E3E"/>
          <w:kern w:val="0"/>
          <w:sz w:val="22"/>
          <w:szCs w:val="22"/>
        </w:rPr>
        <w:t>北市区</w:t>
      </w:r>
      <w:r>
        <w:rPr>
          <w:color w:val="3E3E3E"/>
          <w:kern w:val="0"/>
          <w:sz w:val="22"/>
          <w:szCs w:val="22"/>
        </w:rPr>
        <w:t xml:space="preserve"> 35 </w:t>
      </w:r>
      <w:r>
        <w:rPr>
          <w:rFonts w:cs="宋体" w:hint="eastAsia"/>
          <w:color w:val="3E3E3E"/>
          <w:kern w:val="0"/>
          <w:sz w:val="22"/>
          <w:szCs w:val="22"/>
        </w:rPr>
        <w:t>阜平县</w:t>
      </w:r>
      <w:r>
        <w:rPr>
          <w:color w:val="3E3E3E"/>
          <w:kern w:val="0"/>
          <w:sz w:val="22"/>
          <w:szCs w:val="22"/>
        </w:rPr>
        <w:t xml:space="preserve"> 20 </w:t>
      </w:r>
      <w:r>
        <w:rPr>
          <w:rFonts w:cs="宋体" w:hint="eastAsia"/>
          <w:color w:val="3E3E3E"/>
          <w:kern w:val="0"/>
          <w:sz w:val="22"/>
          <w:szCs w:val="22"/>
        </w:rPr>
        <w:t>唐县</w:t>
      </w:r>
      <w:r>
        <w:rPr>
          <w:color w:val="3E3E3E"/>
          <w:kern w:val="0"/>
          <w:sz w:val="22"/>
          <w:szCs w:val="22"/>
        </w:rPr>
        <w:t xml:space="preserve"> 20 </w:t>
      </w:r>
      <w:r>
        <w:rPr>
          <w:rFonts w:cs="宋体" w:hint="eastAsia"/>
          <w:color w:val="3E3E3E"/>
          <w:kern w:val="0"/>
          <w:sz w:val="22"/>
          <w:szCs w:val="22"/>
        </w:rPr>
        <w:t>曲阳县</w:t>
      </w:r>
      <w:r>
        <w:rPr>
          <w:color w:val="3E3E3E"/>
          <w:kern w:val="0"/>
          <w:sz w:val="22"/>
          <w:szCs w:val="22"/>
        </w:rPr>
        <w:t xml:space="preserve"> 20 </w:t>
      </w:r>
      <w:r>
        <w:rPr>
          <w:rFonts w:cs="宋体" w:hint="eastAsia"/>
          <w:color w:val="3E3E3E"/>
          <w:kern w:val="0"/>
          <w:sz w:val="22"/>
          <w:szCs w:val="22"/>
        </w:rPr>
        <w:t>涞源县</w:t>
      </w:r>
      <w:r>
        <w:rPr>
          <w:color w:val="3E3E3E"/>
          <w:kern w:val="0"/>
          <w:sz w:val="22"/>
          <w:szCs w:val="22"/>
        </w:rPr>
        <w:t xml:space="preserve"> 20 </w:t>
      </w:r>
      <w:r>
        <w:rPr>
          <w:rFonts w:cs="宋体" w:hint="eastAsia"/>
          <w:color w:val="3E3E3E"/>
          <w:kern w:val="0"/>
          <w:sz w:val="22"/>
          <w:szCs w:val="22"/>
        </w:rPr>
        <w:t>满城县</w:t>
      </w:r>
      <w:r>
        <w:rPr>
          <w:color w:val="3E3E3E"/>
          <w:kern w:val="0"/>
          <w:sz w:val="22"/>
          <w:szCs w:val="22"/>
        </w:rPr>
        <w:t xml:space="preserve"> 25 </w:t>
      </w:r>
      <w:r>
        <w:rPr>
          <w:rFonts w:cs="宋体" w:hint="eastAsia"/>
          <w:color w:val="3E3E3E"/>
          <w:kern w:val="0"/>
          <w:sz w:val="22"/>
          <w:szCs w:val="22"/>
        </w:rPr>
        <w:t>涞水县</w:t>
      </w:r>
      <w:r>
        <w:rPr>
          <w:color w:val="3E3E3E"/>
          <w:kern w:val="0"/>
          <w:sz w:val="22"/>
          <w:szCs w:val="22"/>
        </w:rPr>
        <w:t xml:space="preserve"> 25 </w:t>
      </w:r>
      <w:r>
        <w:rPr>
          <w:rFonts w:cs="宋体" w:hint="eastAsia"/>
          <w:color w:val="3E3E3E"/>
          <w:kern w:val="0"/>
          <w:sz w:val="22"/>
          <w:szCs w:val="22"/>
        </w:rPr>
        <w:t>定州市</w:t>
      </w:r>
      <w:r>
        <w:rPr>
          <w:color w:val="3E3E3E"/>
          <w:kern w:val="0"/>
          <w:sz w:val="22"/>
          <w:szCs w:val="22"/>
        </w:rPr>
        <w:t xml:space="preserve"> 25 </w:t>
      </w:r>
      <w:r>
        <w:rPr>
          <w:rFonts w:cs="宋体" w:hint="eastAsia"/>
          <w:color w:val="3E3E3E"/>
          <w:kern w:val="0"/>
          <w:sz w:val="22"/>
          <w:szCs w:val="22"/>
        </w:rPr>
        <w:t>易县</w:t>
      </w:r>
      <w:r>
        <w:rPr>
          <w:color w:val="3E3E3E"/>
          <w:kern w:val="0"/>
          <w:sz w:val="22"/>
          <w:szCs w:val="22"/>
        </w:rPr>
        <w:t xml:space="preserve"> 25 </w:t>
      </w:r>
      <w:r>
        <w:rPr>
          <w:rFonts w:cs="宋体" w:hint="eastAsia"/>
          <w:color w:val="3E3E3E"/>
          <w:kern w:val="0"/>
          <w:sz w:val="22"/>
          <w:szCs w:val="22"/>
        </w:rPr>
        <w:t>涿州市</w:t>
      </w:r>
      <w:r>
        <w:rPr>
          <w:color w:val="3E3E3E"/>
          <w:kern w:val="0"/>
          <w:sz w:val="22"/>
          <w:szCs w:val="22"/>
        </w:rPr>
        <w:t xml:space="preserve"> 30 </w:t>
      </w:r>
      <w:r>
        <w:rPr>
          <w:rFonts w:cs="宋体" w:hint="eastAsia"/>
          <w:color w:val="3E3E3E"/>
          <w:kern w:val="0"/>
          <w:sz w:val="22"/>
          <w:szCs w:val="22"/>
        </w:rPr>
        <w:t>高碑店市</w:t>
      </w:r>
      <w:r>
        <w:rPr>
          <w:color w:val="3E3E3E"/>
          <w:kern w:val="0"/>
          <w:sz w:val="22"/>
          <w:szCs w:val="22"/>
        </w:rPr>
        <w:t xml:space="preserve"> 25 </w:t>
      </w:r>
      <w:r>
        <w:rPr>
          <w:rFonts w:cs="宋体" w:hint="eastAsia"/>
          <w:color w:val="3E3E3E"/>
          <w:kern w:val="0"/>
          <w:sz w:val="22"/>
          <w:szCs w:val="22"/>
        </w:rPr>
        <w:t>安新县</w:t>
      </w:r>
      <w:r>
        <w:rPr>
          <w:color w:val="3E3E3E"/>
          <w:kern w:val="0"/>
          <w:sz w:val="22"/>
          <w:szCs w:val="22"/>
        </w:rPr>
        <w:t xml:space="preserve"> 25 </w:t>
      </w:r>
      <w:r>
        <w:rPr>
          <w:rFonts w:cs="宋体" w:hint="eastAsia"/>
          <w:color w:val="3E3E3E"/>
          <w:kern w:val="0"/>
          <w:sz w:val="22"/>
          <w:szCs w:val="22"/>
        </w:rPr>
        <w:t>徐水县</w:t>
      </w:r>
      <w:r>
        <w:rPr>
          <w:color w:val="3E3E3E"/>
          <w:kern w:val="0"/>
          <w:sz w:val="22"/>
          <w:szCs w:val="22"/>
        </w:rPr>
        <w:t xml:space="preserve"> 25 </w:t>
      </w:r>
      <w:r>
        <w:rPr>
          <w:rFonts w:cs="宋体" w:hint="eastAsia"/>
          <w:color w:val="3E3E3E"/>
          <w:kern w:val="0"/>
          <w:sz w:val="22"/>
          <w:szCs w:val="22"/>
        </w:rPr>
        <w:t>安国市</w:t>
      </w:r>
      <w:r>
        <w:rPr>
          <w:color w:val="3E3E3E"/>
          <w:kern w:val="0"/>
          <w:sz w:val="22"/>
          <w:szCs w:val="22"/>
        </w:rPr>
        <w:t xml:space="preserve"> 25 </w:t>
      </w:r>
      <w:r>
        <w:rPr>
          <w:rFonts w:cs="宋体" w:hint="eastAsia"/>
          <w:color w:val="3E3E3E"/>
          <w:kern w:val="0"/>
          <w:sz w:val="22"/>
          <w:szCs w:val="22"/>
        </w:rPr>
        <w:t>容城县</w:t>
      </w:r>
      <w:r>
        <w:rPr>
          <w:color w:val="3E3E3E"/>
          <w:kern w:val="0"/>
          <w:sz w:val="22"/>
          <w:szCs w:val="22"/>
        </w:rPr>
        <w:t xml:space="preserve"> 25 </w:t>
      </w:r>
      <w:r>
        <w:rPr>
          <w:rFonts w:cs="宋体" w:hint="eastAsia"/>
          <w:color w:val="3E3E3E"/>
          <w:kern w:val="0"/>
          <w:sz w:val="22"/>
          <w:szCs w:val="22"/>
        </w:rPr>
        <w:t>顺平县</w:t>
      </w:r>
      <w:r>
        <w:rPr>
          <w:color w:val="3E3E3E"/>
          <w:kern w:val="0"/>
          <w:sz w:val="22"/>
          <w:szCs w:val="22"/>
        </w:rPr>
        <w:t xml:space="preserve"> 20 </w:t>
      </w:r>
      <w:r>
        <w:rPr>
          <w:rFonts w:cs="宋体" w:hint="eastAsia"/>
          <w:color w:val="3E3E3E"/>
          <w:kern w:val="0"/>
          <w:sz w:val="22"/>
          <w:szCs w:val="22"/>
        </w:rPr>
        <w:t>博野县</w:t>
      </w:r>
      <w:r>
        <w:rPr>
          <w:color w:val="3E3E3E"/>
          <w:kern w:val="0"/>
          <w:sz w:val="22"/>
          <w:szCs w:val="22"/>
        </w:rPr>
        <w:t xml:space="preserve"> 25 </w:t>
      </w:r>
      <w:r>
        <w:rPr>
          <w:rFonts w:cs="宋体" w:hint="eastAsia"/>
          <w:color w:val="3E3E3E"/>
          <w:kern w:val="0"/>
          <w:sz w:val="22"/>
          <w:szCs w:val="22"/>
        </w:rPr>
        <w:t>定兴县</w:t>
      </w:r>
      <w:r>
        <w:rPr>
          <w:color w:val="3E3E3E"/>
          <w:kern w:val="0"/>
          <w:sz w:val="22"/>
          <w:szCs w:val="22"/>
        </w:rPr>
        <w:t xml:space="preserve"> 25 </w:t>
      </w:r>
      <w:r>
        <w:rPr>
          <w:rFonts w:cs="宋体" w:hint="eastAsia"/>
          <w:color w:val="3E3E3E"/>
          <w:kern w:val="0"/>
          <w:sz w:val="22"/>
          <w:szCs w:val="22"/>
        </w:rPr>
        <w:t>望都县</w:t>
      </w:r>
      <w:r>
        <w:rPr>
          <w:color w:val="3E3E3E"/>
          <w:kern w:val="0"/>
          <w:sz w:val="22"/>
          <w:szCs w:val="22"/>
        </w:rPr>
        <w:t xml:space="preserve"> 25</w:t>
      </w:r>
      <w:r>
        <w:rPr>
          <w:rFonts w:cs="宋体" w:hint="eastAsia"/>
          <w:color w:val="3E3E3E"/>
          <w:kern w:val="0"/>
          <w:sz w:val="22"/>
          <w:szCs w:val="22"/>
        </w:rPr>
        <w:t>雄县</w:t>
      </w:r>
      <w:r>
        <w:rPr>
          <w:color w:val="3E3E3E"/>
          <w:kern w:val="0"/>
          <w:sz w:val="22"/>
          <w:szCs w:val="22"/>
        </w:rPr>
        <w:t xml:space="preserve"> 25 </w:t>
      </w:r>
      <w:r>
        <w:rPr>
          <w:rFonts w:cs="宋体" w:hint="eastAsia"/>
          <w:color w:val="3E3E3E"/>
          <w:kern w:val="0"/>
          <w:sz w:val="22"/>
          <w:szCs w:val="22"/>
        </w:rPr>
        <w:t>蠡县</w:t>
      </w:r>
      <w:r>
        <w:rPr>
          <w:color w:val="3E3E3E"/>
          <w:kern w:val="0"/>
          <w:sz w:val="22"/>
          <w:szCs w:val="22"/>
        </w:rPr>
        <w:t xml:space="preserve"> 25 </w:t>
      </w:r>
      <w:r>
        <w:rPr>
          <w:rFonts w:cs="宋体" w:hint="eastAsia"/>
          <w:color w:val="3E3E3E"/>
          <w:kern w:val="0"/>
          <w:sz w:val="22"/>
          <w:szCs w:val="22"/>
        </w:rPr>
        <w:t>清苑县</w:t>
      </w:r>
      <w:r>
        <w:rPr>
          <w:color w:val="3E3E3E"/>
          <w:kern w:val="0"/>
          <w:sz w:val="22"/>
          <w:szCs w:val="22"/>
        </w:rPr>
        <w:t xml:space="preserve"> 25 </w:t>
      </w:r>
      <w:r>
        <w:rPr>
          <w:rFonts w:cs="宋体" w:hint="eastAsia"/>
          <w:color w:val="3E3E3E"/>
          <w:kern w:val="0"/>
          <w:sz w:val="22"/>
          <w:szCs w:val="22"/>
        </w:rPr>
        <w:t>高阳县</w:t>
      </w:r>
      <w:r>
        <w:rPr>
          <w:color w:val="3E3E3E"/>
          <w:kern w:val="0"/>
          <w:sz w:val="22"/>
          <w:szCs w:val="22"/>
        </w:rPr>
        <w:t xml:space="preserve"> 25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沧州市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新华区</w:t>
      </w:r>
      <w:r>
        <w:rPr>
          <w:color w:val="3E3E3E"/>
          <w:kern w:val="0"/>
          <w:sz w:val="22"/>
          <w:szCs w:val="22"/>
        </w:rPr>
        <w:t xml:space="preserve"> 35 </w:t>
      </w:r>
      <w:r>
        <w:rPr>
          <w:rFonts w:cs="宋体" w:hint="eastAsia"/>
          <w:color w:val="3E3E3E"/>
          <w:kern w:val="0"/>
          <w:sz w:val="22"/>
          <w:szCs w:val="22"/>
        </w:rPr>
        <w:t>运河区</w:t>
      </w:r>
      <w:r>
        <w:rPr>
          <w:color w:val="3E3E3E"/>
          <w:kern w:val="0"/>
          <w:sz w:val="22"/>
          <w:szCs w:val="22"/>
        </w:rPr>
        <w:t xml:space="preserve"> 35 </w:t>
      </w:r>
      <w:r>
        <w:rPr>
          <w:rFonts w:cs="宋体" w:hint="eastAsia"/>
          <w:color w:val="3E3E3E"/>
          <w:kern w:val="0"/>
          <w:sz w:val="22"/>
          <w:szCs w:val="22"/>
        </w:rPr>
        <w:t>任丘市</w:t>
      </w:r>
      <w:r>
        <w:rPr>
          <w:color w:val="3E3E3E"/>
          <w:kern w:val="0"/>
          <w:sz w:val="22"/>
          <w:szCs w:val="22"/>
        </w:rPr>
        <w:t xml:space="preserve"> 30 </w:t>
      </w:r>
      <w:r>
        <w:rPr>
          <w:rFonts w:cs="宋体" w:hint="eastAsia"/>
          <w:color w:val="3E3E3E"/>
          <w:kern w:val="0"/>
          <w:sz w:val="22"/>
          <w:szCs w:val="22"/>
        </w:rPr>
        <w:t>沧县</w:t>
      </w:r>
      <w:r>
        <w:rPr>
          <w:color w:val="3E3E3E"/>
          <w:kern w:val="0"/>
          <w:sz w:val="22"/>
          <w:szCs w:val="22"/>
        </w:rPr>
        <w:t xml:space="preserve"> 25 </w:t>
      </w:r>
      <w:r>
        <w:rPr>
          <w:rFonts w:cs="宋体" w:hint="eastAsia"/>
          <w:color w:val="3E3E3E"/>
          <w:kern w:val="0"/>
          <w:sz w:val="22"/>
          <w:szCs w:val="22"/>
        </w:rPr>
        <w:t>泊头市</w:t>
      </w:r>
      <w:r>
        <w:rPr>
          <w:color w:val="3E3E3E"/>
          <w:kern w:val="0"/>
          <w:sz w:val="22"/>
          <w:szCs w:val="22"/>
        </w:rPr>
        <w:t xml:space="preserve"> 25 </w:t>
      </w:r>
      <w:r>
        <w:rPr>
          <w:rFonts w:cs="宋体" w:hint="eastAsia"/>
          <w:color w:val="3E3E3E"/>
          <w:kern w:val="0"/>
          <w:sz w:val="22"/>
          <w:szCs w:val="22"/>
        </w:rPr>
        <w:t>盐山县</w:t>
      </w:r>
      <w:r>
        <w:rPr>
          <w:color w:val="3E3E3E"/>
          <w:kern w:val="0"/>
          <w:sz w:val="22"/>
          <w:szCs w:val="22"/>
        </w:rPr>
        <w:t xml:space="preserve"> 20 </w:t>
      </w:r>
      <w:r>
        <w:rPr>
          <w:rFonts w:cs="宋体" w:hint="eastAsia"/>
          <w:color w:val="3E3E3E"/>
          <w:kern w:val="0"/>
          <w:sz w:val="22"/>
          <w:szCs w:val="22"/>
        </w:rPr>
        <w:t>孟村回族自治县</w:t>
      </w:r>
      <w:r>
        <w:rPr>
          <w:color w:val="3E3E3E"/>
          <w:kern w:val="0"/>
          <w:sz w:val="22"/>
          <w:szCs w:val="22"/>
        </w:rPr>
        <w:t xml:space="preserve"> 20 </w:t>
      </w:r>
      <w:r>
        <w:rPr>
          <w:rFonts w:cs="宋体" w:hint="eastAsia"/>
          <w:color w:val="3E3E3E"/>
          <w:kern w:val="0"/>
          <w:sz w:val="22"/>
          <w:szCs w:val="22"/>
        </w:rPr>
        <w:t>献县</w:t>
      </w:r>
      <w:r>
        <w:rPr>
          <w:color w:val="3E3E3E"/>
          <w:kern w:val="0"/>
          <w:sz w:val="22"/>
          <w:szCs w:val="22"/>
        </w:rPr>
        <w:t xml:space="preserve"> 20 </w:t>
      </w:r>
      <w:r>
        <w:rPr>
          <w:rFonts w:cs="宋体" w:hint="eastAsia"/>
          <w:color w:val="3E3E3E"/>
          <w:kern w:val="0"/>
          <w:sz w:val="22"/>
          <w:szCs w:val="22"/>
        </w:rPr>
        <w:t>肃宁县</w:t>
      </w:r>
      <w:r>
        <w:rPr>
          <w:color w:val="3E3E3E"/>
          <w:kern w:val="0"/>
          <w:sz w:val="22"/>
          <w:szCs w:val="22"/>
        </w:rPr>
        <w:t xml:space="preserve"> 25 </w:t>
      </w:r>
      <w:r>
        <w:rPr>
          <w:rFonts w:cs="宋体" w:hint="eastAsia"/>
          <w:color w:val="3E3E3E"/>
          <w:kern w:val="0"/>
          <w:sz w:val="22"/>
          <w:szCs w:val="22"/>
        </w:rPr>
        <w:t>黄骅市</w:t>
      </w:r>
      <w:r>
        <w:rPr>
          <w:color w:val="3E3E3E"/>
          <w:kern w:val="0"/>
          <w:sz w:val="22"/>
          <w:szCs w:val="22"/>
        </w:rPr>
        <w:t xml:space="preserve"> 25 </w:t>
      </w:r>
      <w:r>
        <w:rPr>
          <w:rFonts w:cs="宋体" w:hint="eastAsia"/>
          <w:color w:val="3E3E3E"/>
          <w:kern w:val="0"/>
          <w:sz w:val="22"/>
          <w:szCs w:val="22"/>
        </w:rPr>
        <w:t>河间市</w:t>
      </w:r>
      <w:r>
        <w:rPr>
          <w:color w:val="3E3E3E"/>
          <w:kern w:val="0"/>
          <w:sz w:val="22"/>
          <w:szCs w:val="22"/>
        </w:rPr>
        <w:t xml:space="preserve"> 25 </w:t>
      </w:r>
      <w:r>
        <w:rPr>
          <w:rFonts w:cs="宋体" w:hint="eastAsia"/>
          <w:color w:val="3E3E3E"/>
          <w:kern w:val="0"/>
          <w:sz w:val="22"/>
          <w:szCs w:val="22"/>
        </w:rPr>
        <w:t>南皮县</w:t>
      </w:r>
      <w:r>
        <w:rPr>
          <w:color w:val="3E3E3E"/>
          <w:kern w:val="0"/>
          <w:sz w:val="22"/>
          <w:szCs w:val="22"/>
        </w:rPr>
        <w:t xml:space="preserve"> 25 </w:t>
      </w:r>
      <w:r>
        <w:rPr>
          <w:rFonts w:cs="宋体" w:hint="eastAsia"/>
          <w:color w:val="3E3E3E"/>
          <w:kern w:val="0"/>
          <w:sz w:val="22"/>
          <w:szCs w:val="22"/>
        </w:rPr>
        <w:t>海兴县</w:t>
      </w:r>
      <w:r>
        <w:rPr>
          <w:color w:val="3E3E3E"/>
          <w:kern w:val="0"/>
          <w:sz w:val="22"/>
          <w:szCs w:val="22"/>
        </w:rPr>
        <w:t xml:space="preserve"> 20 </w:t>
      </w:r>
      <w:r>
        <w:rPr>
          <w:rFonts w:cs="宋体" w:hint="eastAsia"/>
          <w:color w:val="3E3E3E"/>
          <w:kern w:val="0"/>
          <w:sz w:val="22"/>
          <w:szCs w:val="22"/>
        </w:rPr>
        <w:t>吴桥县</w:t>
      </w:r>
      <w:r>
        <w:rPr>
          <w:color w:val="3E3E3E"/>
          <w:kern w:val="0"/>
          <w:sz w:val="22"/>
          <w:szCs w:val="22"/>
        </w:rPr>
        <w:t xml:space="preserve"> 20 </w:t>
      </w:r>
      <w:r>
        <w:rPr>
          <w:rFonts w:cs="宋体" w:hint="eastAsia"/>
          <w:color w:val="3E3E3E"/>
          <w:kern w:val="0"/>
          <w:sz w:val="22"/>
          <w:szCs w:val="22"/>
        </w:rPr>
        <w:t>东光县</w:t>
      </w:r>
      <w:r>
        <w:rPr>
          <w:color w:val="3E3E3E"/>
          <w:kern w:val="0"/>
          <w:sz w:val="22"/>
          <w:szCs w:val="22"/>
        </w:rPr>
        <w:t xml:space="preserve"> 20 </w:t>
      </w:r>
      <w:r>
        <w:rPr>
          <w:rFonts w:cs="宋体" w:hint="eastAsia"/>
          <w:color w:val="3E3E3E"/>
          <w:kern w:val="0"/>
          <w:sz w:val="22"/>
          <w:szCs w:val="22"/>
        </w:rPr>
        <w:t>青县</w:t>
      </w:r>
      <w:r>
        <w:rPr>
          <w:color w:val="3E3E3E"/>
          <w:kern w:val="0"/>
          <w:sz w:val="22"/>
          <w:szCs w:val="22"/>
        </w:rPr>
        <w:t xml:space="preserve"> 20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衡水市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桃城区</w:t>
      </w:r>
      <w:r>
        <w:rPr>
          <w:color w:val="3E3E3E"/>
          <w:kern w:val="0"/>
          <w:sz w:val="22"/>
          <w:szCs w:val="22"/>
        </w:rPr>
        <w:t xml:space="preserve"> 30 </w:t>
      </w:r>
      <w:r>
        <w:rPr>
          <w:rFonts w:cs="宋体" w:hint="eastAsia"/>
          <w:color w:val="3E3E3E"/>
          <w:kern w:val="0"/>
          <w:sz w:val="22"/>
          <w:szCs w:val="22"/>
        </w:rPr>
        <w:t>安平县</w:t>
      </w:r>
      <w:r>
        <w:rPr>
          <w:color w:val="3E3E3E"/>
          <w:kern w:val="0"/>
          <w:sz w:val="22"/>
          <w:szCs w:val="22"/>
        </w:rPr>
        <w:t xml:space="preserve"> 25 </w:t>
      </w:r>
      <w:r>
        <w:rPr>
          <w:rFonts w:cs="宋体" w:hint="eastAsia"/>
          <w:color w:val="3E3E3E"/>
          <w:kern w:val="0"/>
          <w:sz w:val="22"/>
          <w:szCs w:val="22"/>
        </w:rPr>
        <w:t>阜城县</w:t>
      </w:r>
      <w:r>
        <w:rPr>
          <w:color w:val="3E3E3E"/>
          <w:kern w:val="0"/>
          <w:sz w:val="22"/>
          <w:szCs w:val="22"/>
        </w:rPr>
        <w:t xml:space="preserve"> 20 </w:t>
      </w:r>
      <w:r>
        <w:rPr>
          <w:rFonts w:cs="宋体" w:hint="eastAsia"/>
          <w:color w:val="3E3E3E"/>
          <w:kern w:val="0"/>
          <w:sz w:val="22"/>
          <w:szCs w:val="22"/>
        </w:rPr>
        <w:t>深州市</w:t>
      </w:r>
      <w:r>
        <w:rPr>
          <w:color w:val="3E3E3E"/>
          <w:kern w:val="0"/>
          <w:sz w:val="22"/>
          <w:szCs w:val="22"/>
        </w:rPr>
        <w:t xml:space="preserve"> 20 </w:t>
      </w:r>
      <w:r>
        <w:rPr>
          <w:rFonts w:cs="宋体" w:hint="eastAsia"/>
          <w:color w:val="3E3E3E"/>
          <w:kern w:val="0"/>
          <w:sz w:val="22"/>
          <w:szCs w:val="22"/>
        </w:rPr>
        <w:t>故城县</w:t>
      </w:r>
      <w:r>
        <w:rPr>
          <w:color w:val="3E3E3E"/>
          <w:kern w:val="0"/>
          <w:sz w:val="22"/>
          <w:szCs w:val="22"/>
        </w:rPr>
        <w:t xml:space="preserve"> 20 </w:t>
      </w:r>
      <w:r>
        <w:rPr>
          <w:rFonts w:cs="宋体" w:hint="eastAsia"/>
          <w:color w:val="3E3E3E"/>
          <w:kern w:val="0"/>
          <w:sz w:val="22"/>
          <w:szCs w:val="22"/>
        </w:rPr>
        <w:t>饶阳县</w:t>
      </w:r>
      <w:r>
        <w:rPr>
          <w:color w:val="3E3E3E"/>
          <w:kern w:val="0"/>
          <w:sz w:val="22"/>
          <w:szCs w:val="22"/>
        </w:rPr>
        <w:t xml:space="preserve"> 20 </w:t>
      </w:r>
      <w:r>
        <w:rPr>
          <w:rFonts w:cs="宋体" w:hint="eastAsia"/>
          <w:color w:val="3E3E3E"/>
          <w:kern w:val="0"/>
          <w:sz w:val="22"/>
          <w:szCs w:val="22"/>
        </w:rPr>
        <w:t>武强县</w:t>
      </w:r>
      <w:r>
        <w:rPr>
          <w:color w:val="3E3E3E"/>
          <w:kern w:val="0"/>
          <w:sz w:val="22"/>
          <w:szCs w:val="22"/>
        </w:rPr>
        <w:t xml:space="preserve"> 20 </w:t>
      </w:r>
      <w:r>
        <w:rPr>
          <w:rFonts w:cs="宋体" w:hint="eastAsia"/>
          <w:color w:val="3E3E3E"/>
          <w:kern w:val="0"/>
          <w:sz w:val="22"/>
          <w:szCs w:val="22"/>
        </w:rPr>
        <w:t>景县</w:t>
      </w:r>
      <w:r>
        <w:rPr>
          <w:color w:val="3E3E3E"/>
          <w:kern w:val="0"/>
          <w:sz w:val="22"/>
          <w:szCs w:val="22"/>
        </w:rPr>
        <w:t xml:space="preserve"> 20 </w:t>
      </w:r>
      <w:r>
        <w:rPr>
          <w:rFonts w:cs="宋体" w:hint="eastAsia"/>
          <w:color w:val="3E3E3E"/>
          <w:kern w:val="0"/>
          <w:sz w:val="22"/>
          <w:szCs w:val="22"/>
        </w:rPr>
        <w:t>冀州市</w:t>
      </w:r>
      <w:r>
        <w:rPr>
          <w:color w:val="3E3E3E"/>
          <w:kern w:val="0"/>
          <w:sz w:val="22"/>
          <w:szCs w:val="22"/>
        </w:rPr>
        <w:t xml:space="preserve"> 20 </w:t>
      </w:r>
      <w:r>
        <w:rPr>
          <w:rFonts w:cs="宋体" w:hint="eastAsia"/>
          <w:color w:val="3E3E3E"/>
          <w:kern w:val="0"/>
          <w:sz w:val="22"/>
          <w:szCs w:val="22"/>
        </w:rPr>
        <w:t>枣强县</w:t>
      </w:r>
      <w:r>
        <w:rPr>
          <w:color w:val="3E3E3E"/>
          <w:kern w:val="0"/>
          <w:sz w:val="22"/>
          <w:szCs w:val="22"/>
        </w:rPr>
        <w:t xml:space="preserve"> 20 </w:t>
      </w:r>
      <w:r>
        <w:rPr>
          <w:rFonts w:cs="宋体" w:hint="eastAsia"/>
          <w:color w:val="3E3E3E"/>
          <w:kern w:val="0"/>
          <w:sz w:val="22"/>
          <w:szCs w:val="22"/>
        </w:rPr>
        <w:t>武邑县</w:t>
      </w:r>
      <w:r>
        <w:rPr>
          <w:color w:val="3E3E3E"/>
          <w:kern w:val="0"/>
          <w:sz w:val="22"/>
          <w:szCs w:val="22"/>
        </w:rPr>
        <w:t xml:space="preserve"> 20 </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邢台市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桥西区</w:t>
      </w:r>
      <w:r>
        <w:rPr>
          <w:color w:val="3E3E3E"/>
          <w:kern w:val="0"/>
          <w:sz w:val="22"/>
          <w:szCs w:val="22"/>
        </w:rPr>
        <w:t xml:space="preserve"> 35 </w:t>
      </w:r>
      <w:r>
        <w:rPr>
          <w:rFonts w:cs="宋体" w:hint="eastAsia"/>
          <w:color w:val="3E3E3E"/>
          <w:kern w:val="0"/>
          <w:sz w:val="22"/>
          <w:szCs w:val="22"/>
        </w:rPr>
        <w:t>桥东区</w:t>
      </w:r>
      <w:r>
        <w:rPr>
          <w:color w:val="3E3E3E"/>
          <w:kern w:val="0"/>
          <w:sz w:val="22"/>
          <w:szCs w:val="22"/>
        </w:rPr>
        <w:t xml:space="preserve"> 35 </w:t>
      </w:r>
      <w:r>
        <w:rPr>
          <w:rFonts w:cs="宋体" w:hint="eastAsia"/>
          <w:color w:val="3E3E3E"/>
          <w:kern w:val="0"/>
          <w:sz w:val="22"/>
          <w:szCs w:val="22"/>
        </w:rPr>
        <w:t>沙河市</w:t>
      </w:r>
      <w:r>
        <w:rPr>
          <w:color w:val="3E3E3E"/>
          <w:kern w:val="0"/>
          <w:sz w:val="22"/>
          <w:szCs w:val="22"/>
        </w:rPr>
        <w:t xml:space="preserve"> 30 </w:t>
      </w:r>
      <w:r>
        <w:rPr>
          <w:rFonts w:cs="宋体" w:hint="eastAsia"/>
          <w:color w:val="3E3E3E"/>
          <w:kern w:val="0"/>
          <w:sz w:val="22"/>
          <w:szCs w:val="22"/>
        </w:rPr>
        <w:t>邢台县</w:t>
      </w:r>
      <w:r>
        <w:rPr>
          <w:color w:val="3E3E3E"/>
          <w:kern w:val="0"/>
          <w:sz w:val="22"/>
          <w:szCs w:val="22"/>
        </w:rPr>
        <w:t xml:space="preserve"> 30 </w:t>
      </w:r>
      <w:r>
        <w:rPr>
          <w:rFonts w:cs="宋体" w:hint="eastAsia"/>
          <w:color w:val="3E3E3E"/>
          <w:kern w:val="0"/>
          <w:sz w:val="22"/>
          <w:szCs w:val="22"/>
        </w:rPr>
        <w:t>南和县</w:t>
      </w:r>
      <w:r>
        <w:rPr>
          <w:color w:val="3E3E3E"/>
          <w:kern w:val="0"/>
          <w:sz w:val="22"/>
          <w:szCs w:val="22"/>
        </w:rPr>
        <w:t xml:space="preserve"> 20 </w:t>
      </w:r>
      <w:r>
        <w:rPr>
          <w:rFonts w:cs="宋体" w:hint="eastAsia"/>
          <w:color w:val="3E3E3E"/>
          <w:kern w:val="0"/>
          <w:sz w:val="22"/>
          <w:szCs w:val="22"/>
        </w:rPr>
        <w:t>清河县</w:t>
      </w:r>
      <w:r>
        <w:rPr>
          <w:color w:val="3E3E3E"/>
          <w:kern w:val="0"/>
          <w:sz w:val="22"/>
          <w:szCs w:val="22"/>
        </w:rPr>
        <w:t xml:space="preserve"> 25 </w:t>
      </w:r>
      <w:r>
        <w:rPr>
          <w:rFonts w:cs="宋体" w:hint="eastAsia"/>
          <w:color w:val="3E3E3E"/>
          <w:kern w:val="0"/>
          <w:sz w:val="22"/>
          <w:szCs w:val="22"/>
        </w:rPr>
        <w:t>内丘县</w:t>
      </w:r>
      <w:r>
        <w:rPr>
          <w:color w:val="3E3E3E"/>
          <w:kern w:val="0"/>
          <w:sz w:val="22"/>
          <w:szCs w:val="22"/>
        </w:rPr>
        <w:t xml:space="preserve"> 25</w:t>
      </w:r>
      <w:r>
        <w:rPr>
          <w:rFonts w:cs="宋体" w:hint="eastAsia"/>
          <w:color w:val="3E3E3E"/>
          <w:kern w:val="0"/>
          <w:sz w:val="22"/>
          <w:szCs w:val="22"/>
        </w:rPr>
        <w:t>宁晋县</w:t>
      </w:r>
      <w:r>
        <w:rPr>
          <w:color w:val="3E3E3E"/>
          <w:kern w:val="0"/>
          <w:sz w:val="22"/>
          <w:szCs w:val="22"/>
        </w:rPr>
        <w:t xml:space="preserve"> 25 </w:t>
      </w:r>
      <w:r>
        <w:rPr>
          <w:rFonts w:cs="宋体" w:hint="eastAsia"/>
          <w:color w:val="3E3E3E"/>
          <w:kern w:val="0"/>
          <w:sz w:val="22"/>
          <w:szCs w:val="22"/>
        </w:rPr>
        <w:t>临城县</w:t>
      </w:r>
      <w:r>
        <w:rPr>
          <w:color w:val="3E3E3E"/>
          <w:kern w:val="0"/>
          <w:sz w:val="22"/>
          <w:szCs w:val="22"/>
        </w:rPr>
        <w:t xml:space="preserve"> 20 </w:t>
      </w:r>
      <w:r>
        <w:rPr>
          <w:rFonts w:cs="宋体" w:hint="eastAsia"/>
          <w:color w:val="3E3E3E"/>
          <w:kern w:val="0"/>
          <w:sz w:val="22"/>
          <w:szCs w:val="22"/>
        </w:rPr>
        <w:t>平乡县</w:t>
      </w:r>
      <w:r>
        <w:rPr>
          <w:color w:val="3E3E3E"/>
          <w:kern w:val="0"/>
          <w:sz w:val="22"/>
          <w:szCs w:val="22"/>
        </w:rPr>
        <w:t xml:space="preserve"> 20 </w:t>
      </w:r>
      <w:r>
        <w:rPr>
          <w:rFonts w:cs="宋体" w:hint="eastAsia"/>
          <w:color w:val="3E3E3E"/>
          <w:kern w:val="0"/>
          <w:sz w:val="22"/>
          <w:szCs w:val="22"/>
        </w:rPr>
        <w:t>任县</w:t>
      </w:r>
      <w:r>
        <w:rPr>
          <w:color w:val="3E3E3E"/>
          <w:kern w:val="0"/>
          <w:sz w:val="22"/>
          <w:szCs w:val="22"/>
        </w:rPr>
        <w:t xml:space="preserve"> 20 </w:t>
      </w:r>
      <w:r>
        <w:rPr>
          <w:rFonts w:cs="宋体" w:hint="eastAsia"/>
          <w:color w:val="3E3E3E"/>
          <w:kern w:val="0"/>
          <w:sz w:val="22"/>
          <w:szCs w:val="22"/>
        </w:rPr>
        <w:t>柏乡县</w:t>
      </w:r>
      <w:r>
        <w:rPr>
          <w:color w:val="3E3E3E"/>
          <w:kern w:val="0"/>
          <w:sz w:val="22"/>
          <w:szCs w:val="22"/>
        </w:rPr>
        <w:t xml:space="preserve"> 20 </w:t>
      </w:r>
      <w:r>
        <w:rPr>
          <w:rFonts w:cs="宋体" w:hint="eastAsia"/>
          <w:color w:val="3E3E3E"/>
          <w:kern w:val="0"/>
          <w:sz w:val="22"/>
          <w:szCs w:val="22"/>
        </w:rPr>
        <w:t>隆尧县</w:t>
      </w:r>
      <w:r>
        <w:rPr>
          <w:color w:val="3E3E3E"/>
          <w:kern w:val="0"/>
          <w:sz w:val="22"/>
          <w:szCs w:val="22"/>
        </w:rPr>
        <w:t xml:space="preserve"> 25 </w:t>
      </w:r>
      <w:r>
        <w:rPr>
          <w:rFonts w:cs="宋体" w:hint="eastAsia"/>
          <w:color w:val="3E3E3E"/>
          <w:kern w:val="0"/>
          <w:sz w:val="22"/>
          <w:szCs w:val="22"/>
        </w:rPr>
        <w:t>巨鹿县</w:t>
      </w:r>
      <w:r>
        <w:rPr>
          <w:color w:val="3E3E3E"/>
          <w:kern w:val="0"/>
          <w:sz w:val="22"/>
          <w:szCs w:val="22"/>
        </w:rPr>
        <w:t xml:space="preserve"> 20 </w:t>
      </w:r>
      <w:r>
        <w:rPr>
          <w:rFonts w:cs="宋体" w:hint="eastAsia"/>
          <w:color w:val="3E3E3E"/>
          <w:kern w:val="0"/>
          <w:sz w:val="22"/>
          <w:szCs w:val="22"/>
        </w:rPr>
        <w:t>临西县</w:t>
      </w:r>
      <w:r>
        <w:rPr>
          <w:color w:val="3E3E3E"/>
          <w:kern w:val="0"/>
          <w:sz w:val="22"/>
          <w:szCs w:val="22"/>
        </w:rPr>
        <w:t xml:space="preserve"> 20 </w:t>
      </w:r>
      <w:r>
        <w:rPr>
          <w:rFonts w:cs="宋体" w:hint="eastAsia"/>
          <w:color w:val="3E3E3E"/>
          <w:kern w:val="0"/>
          <w:sz w:val="22"/>
          <w:szCs w:val="22"/>
        </w:rPr>
        <w:t>威县</w:t>
      </w:r>
      <w:r>
        <w:rPr>
          <w:color w:val="3E3E3E"/>
          <w:kern w:val="0"/>
          <w:sz w:val="22"/>
          <w:szCs w:val="22"/>
        </w:rPr>
        <w:t xml:space="preserve"> 20 </w:t>
      </w:r>
      <w:r>
        <w:rPr>
          <w:rFonts w:cs="宋体" w:hint="eastAsia"/>
          <w:color w:val="3E3E3E"/>
          <w:kern w:val="0"/>
          <w:sz w:val="22"/>
          <w:szCs w:val="22"/>
        </w:rPr>
        <w:t>广宗县</w:t>
      </w:r>
      <w:r>
        <w:rPr>
          <w:color w:val="3E3E3E"/>
          <w:kern w:val="0"/>
          <w:sz w:val="22"/>
          <w:szCs w:val="22"/>
        </w:rPr>
        <w:t xml:space="preserve"> 20 </w:t>
      </w:r>
      <w:r>
        <w:rPr>
          <w:rFonts w:cs="宋体" w:hint="eastAsia"/>
          <w:color w:val="3E3E3E"/>
          <w:kern w:val="0"/>
          <w:sz w:val="22"/>
          <w:szCs w:val="22"/>
        </w:rPr>
        <w:t>南宫市</w:t>
      </w:r>
      <w:r>
        <w:rPr>
          <w:color w:val="3E3E3E"/>
          <w:kern w:val="0"/>
          <w:sz w:val="22"/>
          <w:szCs w:val="22"/>
        </w:rPr>
        <w:t xml:space="preserve"> 25 </w:t>
      </w:r>
      <w:r>
        <w:rPr>
          <w:rFonts w:cs="宋体" w:hint="eastAsia"/>
          <w:color w:val="3E3E3E"/>
          <w:kern w:val="0"/>
          <w:sz w:val="22"/>
          <w:szCs w:val="22"/>
        </w:rPr>
        <w:t>新河县</w:t>
      </w:r>
      <w:r>
        <w:rPr>
          <w:color w:val="3E3E3E"/>
          <w:kern w:val="0"/>
          <w:sz w:val="22"/>
          <w:szCs w:val="22"/>
        </w:rPr>
        <w:t xml:space="preserve"> 20</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邯郸市</w:t>
      </w:r>
    </w:p>
    <w:p w:rsidR="00A32067" w:rsidRDefault="00A32067">
      <w:pPr>
        <w:widowControl/>
        <w:spacing w:line="360" w:lineRule="auto"/>
        <w:ind w:firstLine="480"/>
        <w:jc w:val="left"/>
        <w:rPr>
          <w:color w:val="3E3E3E"/>
          <w:kern w:val="0"/>
          <w:sz w:val="22"/>
          <w:szCs w:val="22"/>
        </w:rPr>
      </w:pPr>
      <w:r>
        <w:rPr>
          <w:rFonts w:cs="宋体" w:hint="eastAsia"/>
          <w:color w:val="3E3E3E"/>
          <w:kern w:val="0"/>
          <w:sz w:val="22"/>
          <w:szCs w:val="22"/>
        </w:rPr>
        <w:t>邯山区</w:t>
      </w:r>
      <w:r>
        <w:rPr>
          <w:color w:val="3E3E3E"/>
          <w:kern w:val="0"/>
          <w:sz w:val="22"/>
          <w:szCs w:val="22"/>
        </w:rPr>
        <w:t xml:space="preserve"> 35 </w:t>
      </w:r>
      <w:r>
        <w:rPr>
          <w:rFonts w:cs="宋体" w:hint="eastAsia"/>
          <w:color w:val="3E3E3E"/>
          <w:kern w:val="0"/>
          <w:sz w:val="22"/>
          <w:szCs w:val="22"/>
        </w:rPr>
        <w:t>丛台区</w:t>
      </w:r>
      <w:r>
        <w:rPr>
          <w:color w:val="3E3E3E"/>
          <w:kern w:val="0"/>
          <w:sz w:val="22"/>
          <w:szCs w:val="22"/>
        </w:rPr>
        <w:t xml:space="preserve"> 35 </w:t>
      </w:r>
      <w:r>
        <w:rPr>
          <w:rFonts w:cs="宋体" w:hint="eastAsia"/>
          <w:color w:val="3E3E3E"/>
          <w:kern w:val="0"/>
          <w:sz w:val="22"/>
          <w:szCs w:val="22"/>
        </w:rPr>
        <w:t>复兴区</w:t>
      </w:r>
      <w:r>
        <w:rPr>
          <w:color w:val="3E3E3E"/>
          <w:kern w:val="0"/>
          <w:sz w:val="22"/>
          <w:szCs w:val="22"/>
        </w:rPr>
        <w:t xml:space="preserve"> 35 </w:t>
      </w:r>
      <w:r>
        <w:rPr>
          <w:rFonts w:cs="宋体" w:hint="eastAsia"/>
          <w:color w:val="3E3E3E"/>
          <w:kern w:val="0"/>
          <w:sz w:val="22"/>
          <w:szCs w:val="22"/>
        </w:rPr>
        <w:t>峰峰矿区</w:t>
      </w:r>
      <w:r>
        <w:rPr>
          <w:color w:val="3E3E3E"/>
          <w:kern w:val="0"/>
          <w:sz w:val="22"/>
          <w:szCs w:val="22"/>
        </w:rPr>
        <w:t xml:space="preserve"> 30 </w:t>
      </w:r>
      <w:r>
        <w:rPr>
          <w:rFonts w:cs="宋体" w:hint="eastAsia"/>
          <w:color w:val="3E3E3E"/>
          <w:kern w:val="0"/>
          <w:sz w:val="22"/>
          <w:szCs w:val="22"/>
        </w:rPr>
        <w:t>武安市</w:t>
      </w:r>
      <w:r>
        <w:rPr>
          <w:color w:val="3E3E3E"/>
          <w:kern w:val="0"/>
          <w:sz w:val="22"/>
          <w:szCs w:val="22"/>
        </w:rPr>
        <w:t xml:space="preserve"> 30 </w:t>
      </w:r>
      <w:r>
        <w:rPr>
          <w:rFonts w:cs="宋体" w:hint="eastAsia"/>
          <w:color w:val="3E3E3E"/>
          <w:kern w:val="0"/>
          <w:sz w:val="22"/>
          <w:szCs w:val="22"/>
        </w:rPr>
        <w:t>邯郸县</w:t>
      </w:r>
      <w:r>
        <w:rPr>
          <w:color w:val="3E3E3E"/>
          <w:kern w:val="0"/>
          <w:sz w:val="22"/>
          <w:szCs w:val="22"/>
        </w:rPr>
        <w:t xml:space="preserve"> 30 </w:t>
      </w:r>
      <w:r>
        <w:rPr>
          <w:rFonts w:cs="宋体" w:hint="eastAsia"/>
          <w:color w:val="3E3E3E"/>
          <w:kern w:val="0"/>
          <w:sz w:val="22"/>
          <w:szCs w:val="22"/>
        </w:rPr>
        <w:t>涉县</w:t>
      </w:r>
      <w:r>
        <w:rPr>
          <w:color w:val="3E3E3E"/>
          <w:kern w:val="0"/>
          <w:sz w:val="22"/>
          <w:szCs w:val="22"/>
        </w:rPr>
        <w:t xml:space="preserve"> 25 </w:t>
      </w:r>
      <w:r>
        <w:rPr>
          <w:rFonts w:cs="宋体" w:hint="eastAsia"/>
          <w:color w:val="3E3E3E"/>
          <w:kern w:val="0"/>
          <w:sz w:val="22"/>
          <w:szCs w:val="22"/>
        </w:rPr>
        <w:t>永年县</w:t>
      </w:r>
      <w:r>
        <w:rPr>
          <w:color w:val="3E3E3E"/>
          <w:kern w:val="0"/>
          <w:sz w:val="22"/>
          <w:szCs w:val="22"/>
        </w:rPr>
        <w:t xml:space="preserve"> 25 </w:t>
      </w:r>
      <w:r>
        <w:rPr>
          <w:rFonts w:cs="宋体" w:hint="eastAsia"/>
          <w:color w:val="3E3E3E"/>
          <w:kern w:val="0"/>
          <w:sz w:val="22"/>
          <w:szCs w:val="22"/>
        </w:rPr>
        <w:t>魏县</w:t>
      </w:r>
      <w:r>
        <w:rPr>
          <w:color w:val="3E3E3E"/>
          <w:kern w:val="0"/>
          <w:sz w:val="22"/>
          <w:szCs w:val="22"/>
        </w:rPr>
        <w:t xml:space="preserve"> 20 </w:t>
      </w:r>
      <w:r>
        <w:rPr>
          <w:rFonts w:cs="宋体" w:hint="eastAsia"/>
          <w:color w:val="3E3E3E"/>
          <w:kern w:val="0"/>
          <w:sz w:val="22"/>
          <w:szCs w:val="22"/>
        </w:rPr>
        <w:t>磁县</w:t>
      </w:r>
      <w:r>
        <w:rPr>
          <w:color w:val="3E3E3E"/>
          <w:kern w:val="0"/>
          <w:sz w:val="22"/>
          <w:szCs w:val="22"/>
        </w:rPr>
        <w:t xml:space="preserve"> 25 </w:t>
      </w:r>
      <w:r>
        <w:rPr>
          <w:rFonts w:cs="宋体" w:hint="eastAsia"/>
          <w:color w:val="3E3E3E"/>
          <w:kern w:val="0"/>
          <w:sz w:val="22"/>
          <w:szCs w:val="22"/>
        </w:rPr>
        <w:t>临漳县</w:t>
      </w:r>
      <w:r>
        <w:rPr>
          <w:color w:val="3E3E3E"/>
          <w:kern w:val="0"/>
          <w:sz w:val="22"/>
          <w:szCs w:val="22"/>
        </w:rPr>
        <w:t xml:space="preserve"> 20 </w:t>
      </w:r>
      <w:r>
        <w:rPr>
          <w:rFonts w:cs="宋体" w:hint="eastAsia"/>
          <w:color w:val="3E3E3E"/>
          <w:kern w:val="0"/>
          <w:sz w:val="22"/>
          <w:szCs w:val="22"/>
        </w:rPr>
        <w:t>广平县</w:t>
      </w:r>
      <w:r>
        <w:rPr>
          <w:color w:val="3E3E3E"/>
          <w:kern w:val="0"/>
          <w:sz w:val="22"/>
          <w:szCs w:val="22"/>
        </w:rPr>
        <w:t xml:space="preserve"> 20 </w:t>
      </w:r>
      <w:r>
        <w:rPr>
          <w:rFonts w:cs="宋体" w:hint="eastAsia"/>
          <w:color w:val="3E3E3E"/>
          <w:kern w:val="0"/>
          <w:sz w:val="22"/>
          <w:szCs w:val="22"/>
        </w:rPr>
        <w:t>成安县</w:t>
      </w:r>
      <w:r>
        <w:rPr>
          <w:color w:val="3E3E3E"/>
          <w:kern w:val="0"/>
          <w:sz w:val="22"/>
          <w:szCs w:val="22"/>
        </w:rPr>
        <w:t xml:space="preserve"> 20 </w:t>
      </w:r>
      <w:r>
        <w:rPr>
          <w:rFonts w:cs="宋体" w:hint="eastAsia"/>
          <w:color w:val="3E3E3E"/>
          <w:kern w:val="0"/>
          <w:sz w:val="22"/>
          <w:szCs w:val="22"/>
        </w:rPr>
        <w:t>馆陶县</w:t>
      </w:r>
      <w:r>
        <w:rPr>
          <w:color w:val="3E3E3E"/>
          <w:kern w:val="0"/>
          <w:sz w:val="22"/>
          <w:szCs w:val="22"/>
        </w:rPr>
        <w:t xml:space="preserve"> 20 </w:t>
      </w:r>
      <w:r>
        <w:rPr>
          <w:rFonts w:cs="宋体" w:hint="eastAsia"/>
          <w:color w:val="3E3E3E"/>
          <w:kern w:val="0"/>
          <w:sz w:val="22"/>
          <w:szCs w:val="22"/>
        </w:rPr>
        <w:t>大名县</w:t>
      </w:r>
      <w:r>
        <w:rPr>
          <w:color w:val="3E3E3E"/>
          <w:kern w:val="0"/>
          <w:sz w:val="22"/>
          <w:szCs w:val="22"/>
        </w:rPr>
        <w:t xml:space="preserve"> 20 </w:t>
      </w:r>
      <w:r>
        <w:rPr>
          <w:rFonts w:cs="宋体" w:hint="eastAsia"/>
          <w:color w:val="3E3E3E"/>
          <w:kern w:val="0"/>
          <w:sz w:val="22"/>
          <w:szCs w:val="22"/>
        </w:rPr>
        <w:t>鸡泽县</w:t>
      </w:r>
      <w:r>
        <w:rPr>
          <w:color w:val="3E3E3E"/>
          <w:kern w:val="0"/>
          <w:sz w:val="22"/>
          <w:szCs w:val="22"/>
        </w:rPr>
        <w:t xml:space="preserve"> 20 </w:t>
      </w:r>
      <w:r>
        <w:rPr>
          <w:rFonts w:cs="宋体" w:hint="eastAsia"/>
          <w:color w:val="3E3E3E"/>
          <w:kern w:val="0"/>
          <w:sz w:val="22"/>
          <w:szCs w:val="22"/>
        </w:rPr>
        <w:t>曲周县</w:t>
      </w:r>
      <w:r>
        <w:rPr>
          <w:color w:val="3E3E3E"/>
          <w:kern w:val="0"/>
          <w:sz w:val="22"/>
          <w:szCs w:val="22"/>
        </w:rPr>
        <w:t xml:space="preserve"> 20 </w:t>
      </w:r>
      <w:r>
        <w:rPr>
          <w:rFonts w:cs="宋体" w:hint="eastAsia"/>
          <w:color w:val="3E3E3E"/>
          <w:kern w:val="0"/>
          <w:sz w:val="22"/>
          <w:szCs w:val="22"/>
        </w:rPr>
        <w:t>肥乡县</w:t>
      </w:r>
      <w:r>
        <w:rPr>
          <w:color w:val="3E3E3E"/>
          <w:kern w:val="0"/>
          <w:sz w:val="22"/>
          <w:szCs w:val="22"/>
        </w:rPr>
        <w:t xml:space="preserve"> 20 </w:t>
      </w:r>
      <w:r>
        <w:rPr>
          <w:rFonts w:cs="宋体" w:hint="eastAsia"/>
          <w:color w:val="3E3E3E"/>
          <w:kern w:val="0"/>
          <w:sz w:val="22"/>
          <w:szCs w:val="22"/>
        </w:rPr>
        <w:t>邱县</w:t>
      </w:r>
      <w:r>
        <w:rPr>
          <w:color w:val="3E3E3E"/>
          <w:kern w:val="0"/>
          <w:sz w:val="22"/>
          <w:szCs w:val="22"/>
        </w:rPr>
        <w:t xml:space="preserve"> 20</w:t>
      </w: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pPr>
        <w:spacing w:before="100" w:beforeAutospacing="1" w:after="100" w:afterAutospacing="1" w:line="432" w:lineRule="atLeast"/>
        <w:jc w:val="center"/>
        <w:outlineLvl w:val="0"/>
        <w:rPr>
          <w:rFonts w:eastAsia="微软雅黑"/>
          <w:b/>
          <w:bCs/>
          <w:color w:val="000000"/>
          <w:sz w:val="44"/>
          <w:szCs w:val="44"/>
        </w:rPr>
      </w:pPr>
    </w:p>
    <w:p w:rsidR="00A32067" w:rsidRDefault="00A32067" w:rsidP="0002085C">
      <w:pPr>
        <w:spacing w:beforeLines="50" w:afterLines="100" w:line="480" w:lineRule="auto"/>
        <w:jc w:val="center"/>
        <w:outlineLvl w:val="2"/>
        <w:rPr>
          <w:b/>
          <w:bCs/>
          <w:color w:val="000000"/>
          <w:sz w:val="44"/>
          <w:szCs w:val="44"/>
        </w:rPr>
        <w:sectPr w:rsidR="00A32067">
          <w:pgSz w:w="11907" w:h="16840"/>
          <w:pgMar w:top="1134" w:right="1077" w:bottom="1134" w:left="1077" w:header="794" w:footer="567" w:gutter="284"/>
          <w:cols w:space="720"/>
          <w:docGrid w:linePitch="312"/>
        </w:sectPr>
      </w:pPr>
      <w:bookmarkStart w:id="35" w:name="_Toc519872277"/>
    </w:p>
    <w:p w:rsidR="00A32067" w:rsidRDefault="00A32067" w:rsidP="0002085C">
      <w:pPr>
        <w:spacing w:beforeLines="50" w:afterLines="100" w:line="480" w:lineRule="auto"/>
        <w:jc w:val="center"/>
        <w:outlineLvl w:val="2"/>
        <w:rPr>
          <w:b/>
          <w:bCs/>
          <w:color w:val="000000"/>
          <w:sz w:val="44"/>
          <w:szCs w:val="44"/>
        </w:rPr>
      </w:pPr>
      <w:r>
        <w:rPr>
          <w:rFonts w:cs="宋体" w:hint="eastAsia"/>
          <w:b/>
          <w:bCs/>
          <w:color w:val="000000"/>
          <w:sz w:val="44"/>
          <w:szCs w:val="44"/>
        </w:rPr>
        <w:t>河北省契税实施办法</w:t>
      </w:r>
      <w:bookmarkEnd w:id="35"/>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w:t>
      </w:r>
      <w:r>
        <w:rPr>
          <w:color w:val="3E3E3E"/>
          <w:kern w:val="0"/>
          <w:sz w:val="22"/>
          <w:szCs w:val="22"/>
        </w:rPr>
        <w:t>2002</w:t>
      </w:r>
      <w:r>
        <w:rPr>
          <w:rFonts w:cs="宋体" w:hint="eastAsia"/>
          <w:color w:val="3E3E3E"/>
          <w:kern w:val="0"/>
          <w:sz w:val="22"/>
          <w:szCs w:val="22"/>
        </w:rPr>
        <w:t>年</w:t>
      </w:r>
      <w:r>
        <w:rPr>
          <w:color w:val="3E3E3E"/>
          <w:kern w:val="0"/>
          <w:sz w:val="22"/>
          <w:szCs w:val="22"/>
        </w:rPr>
        <w:t>9</w:t>
      </w:r>
      <w:r>
        <w:rPr>
          <w:rFonts w:cs="宋体" w:hint="eastAsia"/>
          <w:color w:val="3E3E3E"/>
          <w:kern w:val="0"/>
          <w:sz w:val="22"/>
          <w:szCs w:val="22"/>
        </w:rPr>
        <w:t>月</w:t>
      </w:r>
      <w:r>
        <w:rPr>
          <w:color w:val="3E3E3E"/>
          <w:kern w:val="0"/>
          <w:sz w:val="22"/>
          <w:szCs w:val="22"/>
        </w:rPr>
        <w:t>10</w:t>
      </w:r>
      <w:r>
        <w:rPr>
          <w:rFonts w:cs="宋体" w:hint="eastAsia"/>
          <w:color w:val="3E3E3E"/>
          <w:kern w:val="0"/>
          <w:sz w:val="22"/>
          <w:szCs w:val="22"/>
        </w:rPr>
        <w:t>日河北省人民政府令〔</w:t>
      </w:r>
      <w:r>
        <w:rPr>
          <w:color w:val="3E3E3E"/>
          <w:kern w:val="0"/>
          <w:sz w:val="22"/>
          <w:szCs w:val="22"/>
        </w:rPr>
        <w:t>2002</w:t>
      </w:r>
      <w:r>
        <w:rPr>
          <w:rFonts w:cs="宋体" w:hint="eastAsia"/>
          <w:color w:val="3E3E3E"/>
          <w:kern w:val="0"/>
          <w:sz w:val="22"/>
          <w:szCs w:val="22"/>
        </w:rPr>
        <w:t>〕第</w:t>
      </w:r>
      <w:r>
        <w:rPr>
          <w:color w:val="3E3E3E"/>
          <w:kern w:val="0"/>
          <w:sz w:val="22"/>
          <w:szCs w:val="22"/>
        </w:rPr>
        <w:t>14</w:t>
      </w:r>
      <w:r>
        <w:rPr>
          <w:rFonts w:cs="宋体" w:hint="eastAsia"/>
          <w:color w:val="3E3E3E"/>
          <w:kern w:val="0"/>
          <w:sz w:val="22"/>
          <w:szCs w:val="22"/>
        </w:rPr>
        <w:t>号公布；根据</w:t>
      </w:r>
      <w:r>
        <w:rPr>
          <w:color w:val="3E3E3E"/>
          <w:kern w:val="0"/>
          <w:sz w:val="22"/>
          <w:szCs w:val="22"/>
        </w:rPr>
        <w:t>2005</w:t>
      </w:r>
      <w:r>
        <w:rPr>
          <w:rFonts w:cs="宋体" w:hint="eastAsia"/>
          <w:color w:val="3E3E3E"/>
          <w:kern w:val="0"/>
          <w:sz w:val="22"/>
          <w:szCs w:val="22"/>
        </w:rPr>
        <w:t>年</w:t>
      </w:r>
      <w:r>
        <w:rPr>
          <w:color w:val="3E3E3E"/>
          <w:kern w:val="0"/>
          <w:sz w:val="22"/>
          <w:szCs w:val="22"/>
        </w:rPr>
        <w:t>9</w:t>
      </w:r>
      <w:r>
        <w:rPr>
          <w:rFonts w:cs="宋体" w:hint="eastAsia"/>
          <w:color w:val="3E3E3E"/>
          <w:kern w:val="0"/>
          <w:sz w:val="22"/>
          <w:szCs w:val="22"/>
        </w:rPr>
        <w:t>月</w:t>
      </w:r>
      <w:r>
        <w:rPr>
          <w:color w:val="3E3E3E"/>
          <w:kern w:val="0"/>
          <w:sz w:val="22"/>
          <w:szCs w:val="22"/>
        </w:rPr>
        <w:t>30</w:t>
      </w:r>
      <w:r>
        <w:rPr>
          <w:rFonts w:cs="宋体" w:hint="eastAsia"/>
          <w:color w:val="3E3E3E"/>
          <w:kern w:val="0"/>
          <w:sz w:val="22"/>
          <w:szCs w:val="22"/>
        </w:rPr>
        <w:t>日河北省人民政府令〔</w:t>
      </w:r>
      <w:r>
        <w:rPr>
          <w:color w:val="3E3E3E"/>
          <w:kern w:val="0"/>
          <w:sz w:val="22"/>
          <w:szCs w:val="22"/>
        </w:rPr>
        <w:t>2005</w:t>
      </w:r>
      <w:r>
        <w:rPr>
          <w:rFonts w:cs="宋体" w:hint="eastAsia"/>
          <w:color w:val="3E3E3E"/>
          <w:kern w:val="0"/>
          <w:sz w:val="22"/>
          <w:szCs w:val="22"/>
        </w:rPr>
        <w:t>〕第</w:t>
      </w:r>
      <w:r>
        <w:rPr>
          <w:color w:val="3E3E3E"/>
          <w:kern w:val="0"/>
          <w:sz w:val="22"/>
          <w:szCs w:val="22"/>
        </w:rPr>
        <w:t>9</w:t>
      </w:r>
      <w:r>
        <w:rPr>
          <w:rFonts w:cs="宋体" w:hint="eastAsia"/>
          <w:color w:val="3E3E3E"/>
          <w:kern w:val="0"/>
          <w:sz w:val="22"/>
          <w:szCs w:val="22"/>
        </w:rPr>
        <w:t>号第</w:t>
      </w:r>
      <w:r>
        <w:rPr>
          <w:color w:val="3E3E3E"/>
          <w:kern w:val="0"/>
          <w:sz w:val="22"/>
          <w:szCs w:val="22"/>
        </w:rPr>
        <w:t>1</w:t>
      </w:r>
      <w:r>
        <w:rPr>
          <w:rFonts w:cs="宋体" w:hint="eastAsia"/>
          <w:color w:val="3E3E3E"/>
          <w:kern w:val="0"/>
          <w:sz w:val="22"/>
          <w:szCs w:val="22"/>
        </w:rPr>
        <w:t>次修订；根据</w:t>
      </w:r>
      <w:r>
        <w:rPr>
          <w:color w:val="3E3E3E"/>
          <w:kern w:val="0"/>
          <w:sz w:val="22"/>
          <w:szCs w:val="22"/>
        </w:rPr>
        <w:t>2011</w:t>
      </w:r>
      <w:r>
        <w:rPr>
          <w:rFonts w:cs="宋体" w:hint="eastAsia"/>
          <w:color w:val="3E3E3E"/>
          <w:kern w:val="0"/>
          <w:sz w:val="22"/>
          <w:szCs w:val="22"/>
        </w:rPr>
        <w:t>年</w:t>
      </w:r>
      <w:r>
        <w:rPr>
          <w:color w:val="3E3E3E"/>
          <w:kern w:val="0"/>
          <w:sz w:val="22"/>
          <w:szCs w:val="22"/>
        </w:rPr>
        <w:t>10</w:t>
      </w:r>
      <w:r>
        <w:rPr>
          <w:rFonts w:cs="宋体" w:hint="eastAsia"/>
          <w:color w:val="3E3E3E"/>
          <w:kern w:val="0"/>
          <w:sz w:val="22"/>
          <w:szCs w:val="22"/>
        </w:rPr>
        <w:t>月</w:t>
      </w:r>
      <w:r>
        <w:rPr>
          <w:color w:val="3E3E3E"/>
          <w:kern w:val="0"/>
          <w:sz w:val="22"/>
          <w:szCs w:val="22"/>
        </w:rPr>
        <w:t>20</w:t>
      </w:r>
      <w:r>
        <w:rPr>
          <w:rFonts w:cs="宋体" w:hint="eastAsia"/>
          <w:color w:val="3E3E3E"/>
          <w:kern w:val="0"/>
          <w:sz w:val="22"/>
          <w:szCs w:val="22"/>
        </w:rPr>
        <w:t>日河北省人民政府令〔</w:t>
      </w:r>
      <w:r>
        <w:rPr>
          <w:color w:val="3E3E3E"/>
          <w:kern w:val="0"/>
          <w:sz w:val="22"/>
          <w:szCs w:val="22"/>
        </w:rPr>
        <w:t>2011</w:t>
      </w:r>
      <w:r>
        <w:rPr>
          <w:rFonts w:cs="宋体" w:hint="eastAsia"/>
          <w:color w:val="3E3E3E"/>
          <w:kern w:val="0"/>
          <w:sz w:val="22"/>
          <w:szCs w:val="22"/>
        </w:rPr>
        <w:t>〕第</w:t>
      </w:r>
      <w:r>
        <w:rPr>
          <w:color w:val="3E3E3E"/>
          <w:kern w:val="0"/>
          <w:sz w:val="22"/>
          <w:szCs w:val="22"/>
        </w:rPr>
        <w:t>10</w:t>
      </w:r>
      <w:r>
        <w:rPr>
          <w:rFonts w:cs="宋体" w:hint="eastAsia"/>
          <w:color w:val="3E3E3E"/>
          <w:kern w:val="0"/>
          <w:sz w:val="22"/>
          <w:szCs w:val="22"/>
        </w:rPr>
        <w:t>号第</w:t>
      </w:r>
      <w:r>
        <w:rPr>
          <w:color w:val="3E3E3E"/>
          <w:kern w:val="0"/>
          <w:sz w:val="22"/>
          <w:szCs w:val="22"/>
        </w:rPr>
        <w:t>2</w:t>
      </w:r>
      <w:r>
        <w:rPr>
          <w:rFonts w:cs="宋体" w:hint="eastAsia"/>
          <w:color w:val="3E3E3E"/>
          <w:kern w:val="0"/>
          <w:sz w:val="22"/>
          <w:szCs w:val="22"/>
        </w:rPr>
        <w:t>次修订）</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第一条</w:t>
      </w:r>
      <w:r>
        <w:rPr>
          <w:rFonts w:cs="宋体" w:hint="eastAsia"/>
          <w:color w:val="3E3E3E"/>
          <w:kern w:val="0"/>
          <w:sz w:val="22"/>
          <w:szCs w:val="22"/>
        </w:rPr>
        <w:t>根据《</w:t>
      </w:r>
      <w:hyperlink r:id="rId55" w:tgtFrame="_blank" w:history="1">
        <w:r>
          <w:rPr>
            <w:rFonts w:cs="宋体" w:hint="eastAsia"/>
            <w:color w:val="3E3E3E"/>
            <w:kern w:val="0"/>
            <w:sz w:val="22"/>
            <w:szCs w:val="22"/>
          </w:rPr>
          <w:t>中华人民共和国契税暂行条例</w:t>
        </w:r>
      </w:hyperlink>
      <w:r>
        <w:rPr>
          <w:rFonts w:cs="宋体" w:hint="eastAsia"/>
          <w:color w:val="3E3E3E"/>
          <w:kern w:val="0"/>
          <w:sz w:val="22"/>
          <w:szCs w:val="22"/>
        </w:rPr>
        <w:t>》及有关法律、法规，结合本省实际，制定本办法。</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第二条</w:t>
      </w:r>
      <w:r>
        <w:rPr>
          <w:rFonts w:cs="宋体" w:hint="eastAsia"/>
          <w:color w:val="3E3E3E"/>
          <w:kern w:val="0"/>
          <w:sz w:val="22"/>
          <w:szCs w:val="22"/>
        </w:rPr>
        <w:t>在本省行政区域内承受转移土地、房屋权属的单位和个人为契税的纳税人，应当按照本办法的规定缴纳契税。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本办法所称承受，是指以受让、购买、受赠、交换等方式取得土地、房屋权属的行为。</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本办法所称土地、房屋权属是指土地使用权、房屋所有权。</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第三条</w:t>
      </w:r>
      <w:r>
        <w:rPr>
          <w:rFonts w:cs="宋体" w:hint="eastAsia"/>
          <w:color w:val="3E3E3E"/>
          <w:kern w:val="0"/>
          <w:sz w:val="22"/>
          <w:szCs w:val="22"/>
        </w:rPr>
        <w:t>本办法所称土地、房屋权属转移是指下列行为：</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（一）国有土地使用权出让。即土地使用者向国家交付土地使用权出让费用，国家将国有土地使用权在一定年限内让予土地使用者的行为。</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（二）土地使用权转让。即土地使用者以出售、赠与、交换或者其他方式将土地使用权转移给其他单位和个人的行为，不包括农场、林场内部国有土地承包经营权和农村集体土地承包经营权的转移。</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三）房屋（包括在建房屋）买卖、赠与、交换。房屋买卖是指房屋所有者将其房屋出售，由承受者交付货币、实物、无形资产或者其他经济利益的行为。房屋赠与是指房屋所有者将其房屋无偿转让给受赠者的行为。房屋交换是指房屋所有者之间相互交换房屋的行为。</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第四条</w:t>
      </w:r>
      <w:r>
        <w:rPr>
          <w:rFonts w:cs="宋体" w:hint="eastAsia"/>
          <w:color w:val="3E3E3E"/>
          <w:kern w:val="0"/>
          <w:sz w:val="22"/>
          <w:szCs w:val="22"/>
        </w:rPr>
        <w:t>契税征收机关为土地、房屋所在地的各级地方税务机关。</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第五条</w:t>
      </w:r>
      <w:r>
        <w:rPr>
          <w:rFonts w:cs="宋体" w:hint="eastAsia"/>
          <w:color w:val="3E3E3E"/>
          <w:kern w:val="0"/>
          <w:sz w:val="22"/>
          <w:szCs w:val="22"/>
        </w:rPr>
        <w:t>土地、房屋权属以下列方式转移的，视同土地使用权转让、房屋买卖或者房屋赠与，征收契税：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（一）以土地、房屋权属作价投资、入股。</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（二）以土地、房屋权属抵债。</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（三）以获奖方式承受土地、房屋权属。</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第六条</w:t>
      </w:r>
      <w:r>
        <w:rPr>
          <w:rFonts w:cs="宋体" w:hint="eastAsia"/>
          <w:color w:val="3E3E3E"/>
          <w:kern w:val="0"/>
          <w:sz w:val="22"/>
          <w:szCs w:val="22"/>
        </w:rPr>
        <w:t>契税税率为百分之四。但是，个人购买自用普通住房的，税率为百分之三。</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国家另有规定的，按规定执行。</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第七条</w:t>
      </w:r>
      <w:r>
        <w:rPr>
          <w:rFonts w:cs="宋体" w:hint="eastAsia"/>
          <w:color w:val="3E3E3E"/>
          <w:kern w:val="0"/>
          <w:sz w:val="22"/>
          <w:szCs w:val="22"/>
        </w:rPr>
        <w:t>契税的计税依据是：</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（一）国有土地使用权出让、土地使用权出售、房屋买卖，为成交价格。</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（二）土地使用权赠与、房屋赠与由地方税务机关参照土地使用权出售、房屋买卖的市场价格或者评估价格核定。</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三）土地使用权交换、房屋交换、土地使用权与房屋所有权之间相互交换，为所交换的土地使用权、房屋价格的差额，由多支付货币、实物、无形资产或者其他经济利益的一方缴纳契税。交换价格相等的，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（四）以划拨方式取得土地使用权的，经批准转让房地产时，应当由房地产转让者补交契税。其计税依据为补交的土地使用权出让费用或者土地收益。</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本办法所称成交价格，是指土地、房屋权属转移合同确定的价格，包括承受者支付的货币、实物、无形资产或者其他经济利益。成交价格明显低于市场价格并无正当理由的，地方税务机关可以参照评估价格或者市场价格进行核定。</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地方税务机关可以委托房地产估价机构对土地、房屋权属承受者所承受的土地、房屋价格进行评估。</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第八条</w:t>
      </w:r>
      <w:r>
        <w:rPr>
          <w:rFonts w:cs="宋体" w:hint="eastAsia"/>
          <w:color w:val="3E3E3E"/>
          <w:kern w:val="0"/>
          <w:sz w:val="22"/>
          <w:szCs w:val="22"/>
        </w:rPr>
        <w:t>契税应纳税额，根据本办法第六条、第七条规定的计税依据和税率计算征收。应纳税额计算公式是：</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应纳税额</w:t>
      </w:r>
      <w:r>
        <w:rPr>
          <w:color w:val="3E3E3E"/>
          <w:kern w:val="0"/>
          <w:sz w:val="22"/>
          <w:szCs w:val="22"/>
        </w:rPr>
        <w:t>=</w:t>
      </w:r>
      <w:r>
        <w:rPr>
          <w:rFonts w:cs="宋体" w:hint="eastAsia"/>
          <w:color w:val="3E3E3E"/>
          <w:kern w:val="0"/>
          <w:sz w:val="22"/>
          <w:szCs w:val="22"/>
        </w:rPr>
        <w:t>计税依据</w:t>
      </w:r>
      <w:r>
        <w:rPr>
          <w:color w:val="3E3E3E"/>
          <w:kern w:val="0"/>
          <w:sz w:val="22"/>
          <w:szCs w:val="22"/>
        </w:rPr>
        <w:t>×</w:t>
      </w:r>
      <w:r>
        <w:rPr>
          <w:rFonts w:cs="宋体" w:hint="eastAsia"/>
          <w:color w:val="3E3E3E"/>
          <w:kern w:val="0"/>
          <w:sz w:val="22"/>
          <w:szCs w:val="22"/>
        </w:rPr>
        <w:t>税率</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应纳税额以人民币计算。转移土地、房屋权属以外汇结算的，按照纳税义务发生之日中国人民银行公布的人民币市场汇率中间价折合成人民币计算。</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第九条</w:t>
      </w:r>
      <w:r>
        <w:rPr>
          <w:rFonts w:cs="宋体" w:hint="eastAsia"/>
          <w:color w:val="3E3E3E"/>
          <w:kern w:val="0"/>
          <w:sz w:val="22"/>
          <w:szCs w:val="22"/>
        </w:rPr>
        <w:t>符合下列条件之一的，可以减征或者免征契税：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（一）国家机关、事业单位、社会团体、军事单位承受土地、房屋直接用于办公、教学、医疗、科研及军事设施的，免征契税。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用于办公的，是指办公室（楼）、公用仓库、车库、职工食堂等直接用于办公或者直接为办公服务的土地、房屋。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用于教学的，是指教室（教学楼）、图书馆、操场、食堂、学生宿舍、办公室、校内实习场地等直接为教学服务的土地、房屋。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用于医疗的，是指门诊、病房等直接用于医疗的土地、房屋。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用于科研的，是指科学试验场所、库房等直接为科研服务的土地、房屋。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用于军事设施的，是指地上和地下军事指挥作战工程；军用机场、港口、码头；军用库房、营区、训练场、试验场；军用通信、导航、观测台站以及其他直接用于军事设施的土地、房屋。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（二）城镇职工按规定第一次购买公有住房，经县级以上人民政府批准，在国家规定标准面积以内的，免征契税。超过国家规定标准面积的部分，应当按照规定缴纳契税。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（三）纳税人用国家征收、征用其土地、房屋的补偿费、安置费，重新承受土地、房屋权属的，其重置价格没有超过土地、房屋补偿费、安置费的，免征契税；超出补偿费、安置费的部分应当缴纳契税。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（四）因不可抗力灭失住房而重新购买住房的，准予减征或者免征契税。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（五）纳税人承受荒山、荒坡、荒丘、荒滩土地使用权，用于农、林、牧、渔业生产的，免征契税。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六）依照我国有关法律以及我国缔结或者参加的双边、多边条约（协定）的规定，应当予以免税的外国驻我省领事馆、联合国驻华机构及其外交代表、领事官员和其他外交人员承受土地、房屋的，经外交部确认，可以免征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（七）国家规定的其他减征、免征契税的项目。</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经县级以上人民政府教育行政主管部门或者人力资源和社会保障行政主管部门批准的民办学校，比照国办全日制学校直接为教学服务的土地、房屋权属转移，免征契税。</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第十条</w:t>
      </w:r>
      <w:r>
        <w:rPr>
          <w:rFonts w:cs="宋体" w:hint="eastAsia"/>
          <w:color w:val="3E3E3E"/>
          <w:kern w:val="0"/>
          <w:sz w:val="22"/>
          <w:szCs w:val="22"/>
        </w:rPr>
        <w:t>纳税人符合减征或者免征规定的，应当自签订土地、房屋权属转移合同之日起</w:t>
      </w:r>
      <w:r>
        <w:rPr>
          <w:color w:val="3E3E3E"/>
          <w:kern w:val="0"/>
          <w:sz w:val="22"/>
          <w:szCs w:val="22"/>
        </w:rPr>
        <w:t>10</w:t>
      </w:r>
      <w:r>
        <w:rPr>
          <w:rFonts w:cs="宋体" w:hint="eastAsia"/>
          <w:color w:val="3E3E3E"/>
          <w:kern w:val="0"/>
          <w:sz w:val="22"/>
          <w:szCs w:val="22"/>
        </w:rPr>
        <w:t>日内，向土地、房屋所在地的地方税务机关申请办理减征或者免征契税手续。</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法律、法规、规章未明确规定减征、免征的项目，任何单位和个人不得擅自减免。</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第十一条</w:t>
      </w:r>
      <w:r>
        <w:rPr>
          <w:rFonts w:cs="宋体" w:hint="eastAsia"/>
          <w:color w:val="3E3E3E"/>
          <w:kern w:val="0"/>
          <w:sz w:val="22"/>
          <w:szCs w:val="22"/>
        </w:rPr>
        <w:t>对符合法律、法规和规章规定的减免税，由纳税人提出减免申请，计税金额不足五千万元的，报县级地方税务机关批准；计税金额五千万元以上、不足一亿元的，报设区的市地方税务机关批准；计税金额一亿元以上的，报省地方税务机关批准。地方税务机关应当自批准之日起</w:t>
      </w:r>
      <w:r>
        <w:rPr>
          <w:color w:val="3E3E3E"/>
          <w:kern w:val="0"/>
          <w:sz w:val="22"/>
          <w:szCs w:val="22"/>
        </w:rPr>
        <w:t>30</w:t>
      </w:r>
      <w:r>
        <w:rPr>
          <w:rFonts w:cs="宋体" w:hint="eastAsia"/>
          <w:color w:val="3E3E3E"/>
          <w:kern w:val="0"/>
          <w:sz w:val="22"/>
          <w:szCs w:val="22"/>
        </w:rPr>
        <w:t>日内报上一级地方税务机关备案。</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第十二条</w:t>
      </w:r>
      <w:r>
        <w:rPr>
          <w:rFonts w:cs="宋体" w:hint="eastAsia"/>
          <w:color w:val="3E3E3E"/>
          <w:kern w:val="0"/>
          <w:sz w:val="22"/>
          <w:szCs w:val="22"/>
        </w:rPr>
        <w:t>契税的纳税义务发生时间为纳税人签订土地、房屋权属转移合同的当日，或者纳税人取得其他具有土地、房屋权属转移合同效力的契约、协议、合约、单据、确认书等凭证的当日。</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第十三条</w:t>
      </w:r>
      <w:r>
        <w:rPr>
          <w:rFonts w:cs="宋体" w:hint="eastAsia"/>
          <w:color w:val="3E3E3E"/>
          <w:kern w:val="0"/>
          <w:sz w:val="22"/>
          <w:szCs w:val="22"/>
        </w:rPr>
        <w:t>纳税人应当自纳税义务发生之日起</w:t>
      </w:r>
      <w:r>
        <w:rPr>
          <w:color w:val="3E3E3E"/>
          <w:kern w:val="0"/>
          <w:sz w:val="22"/>
          <w:szCs w:val="22"/>
        </w:rPr>
        <w:t>10</w:t>
      </w:r>
      <w:r>
        <w:rPr>
          <w:rFonts w:cs="宋体" w:hint="eastAsia"/>
          <w:color w:val="3E3E3E"/>
          <w:kern w:val="0"/>
          <w:sz w:val="22"/>
          <w:szCs w:val="22"/>
        </w:rPr>
        <w:t>日内，向土地、房屋所在地的地方税务机关办理纳税申报，并在地方税务机关规定的期限内缴纳税款。超过纳税期限的，地方税务机关应当根据国家有关法律规定加收滞纳金。</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纳税人因特殊困难，不能按地方税务机关规定的纳税期限缴纳税款的，由纳税人提出缓缴申请，报省地方税务机关批准，可以延期缴纳应交的税款，但最长不超过</w:t>
      </w:r>
      <w:r>
        <w:rPr>
          <w:color w:val="3E3E3E"/>
          <w:kern w:val="0"/>
          <w:sz w:val="22"/>
          <w:szCs w:val="22"/>
        </w:rPr>
        <w:t>3</w:t>
      </w:r>
      <w:r>
        <w:rPr>
          <w:rFonts w:cs="宋体" w:hint="eastAsia"/>
          <w:color w:val="3E3E3E"/>
          <w:kern w:val="0"/>
          <w:sz w:val="22"/>
          <w:szCs w:val="22"/>
        </w:rPr>
        <w:t>个月。对经批准延期缴纳税款的纳税人不加收滞纳金。</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第十四条</w:t>
      </w:r>
      <w:r>
        <w:rPr>
          <w:rFonts w:cs="宋体" w:hint="eastAsia"/>
          <w:color w:val="3E3E3E"/>
          <w:kern w:val="0"/>
          <w:sz w:val="22"/>
          <w:szCs w:val="22"/>
        </w:rPr>
        <w:t>纳税人因改变土地、房屋用途应当补缴已经减征、免征契税的，其纳税义务发生时间为改变有关土地、房屋用途的当日。</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第十五条</w:t>
      </w:r>
      <w:r>
        <w:rPr>
          <w:rFonts w:cs="宋体" w:hint="eastAsia"/>
          <w:color w:val="3E3E3E"/>
          <w:kern w:val="0"/>
          <w:sz w:val="22"/>
          <w:szCs w:val="22"/>
        </w:rPr>
        <w:t>地方税务机关在纳税人办理纳税事宜后，应当及时向纳税人开具完税凭证。</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第十六条</w:t>
      </w:r>
      <w:r>
        <w:rPr>
          <w:rFonts w:cs="宋体" w:hint="eastAsia"/>
          <w:color w:val="3E3E3E"/>
          <w:kern w:val="0"/>
          <w:sz w:val="22"/>
          <w:szCs w:val="22"/>
        </w:rPr>
        <w:t>纳税人应当持契税完税凭证或者减征、免征证明到土地管理部门、房产管理部门办理有关权属转移登记手续。土地管理部门、房产管理部门办理有关土地、房屋权属变更登记手续时，纳税人未出具契税完税凭证或者减征、免征证明的，不得办理有关土地、房屋的权属变更登记手续。</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土地管理部门、房产管理部门应当向地方税务机关提供有关资料，并协助地方税务机关依法征收契税。</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第十七条</w:t>
      </w:r>
      <w:r>
        <w:rPr>
          <w:rFonts w:cs="宋体" w:hint="eastAsia"/>
          <w:color w:val="3E3E3E"/>
          <w:kern w:val="0"/>
          <w:sz w:val="22"/>
          <w:szCs w:val="22"/>
        </w:rPr>
        <w:t>纳税人已缴纳契税，但未履行所签订土地、房屋权属转移合同，申请退税的，经地方税务机关审核确认后，准予退税。</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第十八条</w:t>
      </w:r>
      <w:r>
        <w:rPr>
          <w:rFonts w:cs="宋体" w:hint="eastAsia"/>
          <w:color w:val="3E3E3E"/>
          <w:kern w:val="0"/>
          <w:sz w:val="22"/>
          <w:szCs w:val="22"/>
        </w:rPr>
        <w:t>地方税务机关可以对契税的纳税人依法实施稽查，纳税人应当提供账簿、纳税记录、交易手续等有关资料，有偷税、欠税行为的，由地方税务机关追缴其欠缴的税款、滞纳金；构成犯罪的，依法追究刑事责任。</w:t>
      </w:r>
    </w:p>
    <w:p w:rsidR="00A32067" w:rsidRDefault="00A32067">
      <w:pPr>
        <w:shd w:val="clear" w:color="auto" w:fill="FFFFFF"/>
        <w:spacing w:line="360" w:lineRule="auto"/>
        <w:ind w:firstLine="482"/>
        <w:rPr>
          <w:color w:val="3E3E3E"/>
          <w:kern w:val="0"/>
          <w:sz w:val="22"/>
          <w:szCs w:val="22"/>
        </w:rPr>
      </w:pPr>
      <w:r>
        <w:rPr>
          <w:rFonts w:cs="宋体" w:hint="eastAsia"/>
          <w:b/>
          <w:bCs/>
          <w:color w:val="3E3E3E"/>
          <w:kern w:val="0"/>
          <w:sz w:val="22"/>
          <w:szCs w:val="22"/>
        </w:rPr>
        <w:t>第十九条</w:t>
      </w:r>
      <w:r>
        <w:rPr>
          <w:rFonts w:cs="宋体" w:hint="eastAsia"/>
          <w:color w:val="3E3E3E"/>
          <w:kern w:val="0"/>
          <w:sz w:val="22"/>
          <w:szCs w:val="22"/>
        </w:rPr>
        <w:t>本办法自</w:t>
      </w:r>
      <w:r>
        <w:rPr>
          <w:color w:val="3E3E3E"/>
          <w:kern w:val="0"/>
          <w:sz w:val="22"/>
          <w:szCs w:val="22"/>
        </w:rPr>
        <w:t>2002</w:t>
      </w:r>
      <w:r>
        <w:rPr>
          <w:rFonts w:cs="宋体" w:hint="eastAsia"/>
          <w:color w:val="3E3E3E"/>
          <w:kern w:val="0"/>
          <w:sz w:val="22"/>
          <w:szCs w:val="22"/>
        </w:rPr>
        <w:t>年</w:t>
      </w:r>
      <w:r>
        <w:rPr>
          <w:color w:val="3E3E3E"/>
          <w:kern w:val="0"/>
          <w:sz w:val="22"/>
          <w:szCs w:val="22"/>
        </w:rPr>
        <w:t>10</w:t>
      </w:r>
      <w:r>
        <w:rPr>
          <w:rFonts w:cs="宋体" w:hint="eastAsia"/>
          <w:color w:val="3E3E3E"/>
          <w:kern w:val="0"/>
          <w:sz w:val="22"/>
          <w:szCs w:val="22"/>
        </w:rPr>
        <w:t>月</w:t>
      </w:r>
      <w:r>
        <w:rPr>
          <w:color w:val="3E3E3E"/>
          <w:kern w:val="0"/>
          <w:sz w:val="22"/>
          <w:szCs w:val="22"/>
        </w:rPr>
        <w:t>1</w:t>
      </w:r>
      <w:r>
        <w:rPr>
          <w:rFonts w:cs="宋体" w:hint="eastAsia"/>
          <w:color w:val="3E3E3E"/>
          <w:kern w:val="0"/>
          <w:sz w:val="22"/>
          <w:szCs w:val="22"/>
        </w:rPr>
        <w:t>日起施行。</w:t>
      </w:r>
      <w:bookmarkStart w:id="36" w:name="ref__1__2810269"/>
      <w:r>
        <w:rPr>
          <w:color w:val="3E3E3E"/>
          <w:kern w:val="0"/>
          <w:sz w:val="22"/>
          <w:szCs w:val="22"/>
        </w:rPr>
        <w:t> </w:t>
      </w:r>
      <w:bookmarkEnd w:id="36"/>
    </w:p>
    <w:p w:rsidR="00A32067" w:rsidRDefault="00A32067">
      <w:pPr>
        <w:spacing w:line="360" w:lineRule="auto"/>
        <w:jc w:val="center"/>
        <w:outlineLvl w:val="2"/>
        <w:rPr>
          <w:b/>
          <w:bCs/>
          <w:color w:val="000000"/>
          <w:sz w:val="44"/>
          <w:szCs w:val="44"/>
        </w:rPr>
      </w:pPr>
      <w:bookmarkStart w:id="37" w:name="_Toc519872278"/>
      <w:r>
        <w:rPr>
          <w:rFonts w:cs="宋体" w:hint="eastAsia"/>
          <w:b/>
          <w:bCs/>
          <w:color w:val="000000"/>
          <w:sz w:val="44"/>
          <w:szCs w:val="44"/>
        </w:rPr>
        <w:t>河北省地方税务局关于征收耕地</w:t>
      </w:r>
      <w:r>
        <w:rPr>
          <w:b/>
          <w:bCs/>
          <w:color w:val="000000"/>
          <w:sz w:val="44"/>
          <w:szCs w:val="44"/>
        </w:rPr>
        <w:br/>
      </w:r>
      <w:r>
        <w:rPr>
          <w:rFonts w:cs="宋体" w:hint="eastAsia"/>
          <w:b/>
          <w:bCs/>
          <w:color w:val="000000"/>
          <w:sz w:val="44"/>
          <w:szCs w:val="44"/>
        </w:rPr>
        <w:t>占用税契税的通知</w:t>
      </w:r>
      <w:bookmarkEnd w:id="37"/>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根据《中华人民共和国耕地占用税暂行条例》</w:t>
      </w:r>
      <w:r>
        <w:rPr>
          <w:color w:val="3E3E3E"/>
          <w:kern w:val="0"/>
          <w:sz w:val="22"/>
          <w:szCs w:val="22"/>
        </w:rPr>
        <w:t>(</w:t>
      </w:r>
      <w:r>
        <w:rPr>
          <w:rFonts w:cs="宋体" w:hint="eastAsia"/>
          <w:color w:val="3E3E3E"/>
          <w:kern w:val="0"/>
          <w:sz w:val="22"/>
          <w:szCs w:val="22"/>
        </w:rPr>
        <w:t>国务院令第</w:t>
      </w:r>
      <w:r>
        <w:rPr>
          <w:color w:val="3E3E3E"/>
          <w:kern w:val="0"/>
          <w:sz w:val="22"/>
          <w:szCs w:val="22"/>
        </w:rPr>
        <w:t>511</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、《中华人民共和国耕地占用税暂行条例实施细则》</w:t>
      </w:r>
      <w:r>
        <w:rPr>
          <w:color w:val="3E3E3E"/>
          <w:kern w:val="0"/>
          <w:sz w:val="22"/>
          <w:szCs w:val="22"/>
        </w:rPr>
        <w:t>(</w:t>
      </w:r>
      <w:r>
        <w:rPr>
          <w:rFonts w:cs="宋体" w:hint="eastAsia"/>
          <w:color w:val="3E3E3E"/>
          <w:kern w:val="0"/>
          <w:sz w:val="22"/>
          <w:szCs w:val="22"/>
        </w:rPr>
        <w:t>财政部国家税务总局令第</w:t>
      </w:r>
      <w:r>
        <w:rPr>
          <w:color w:val="3E3E3E"/>
          <w:kern w:val="0"/>
          <w:sz w:val="22"/>
          <w:szCs w:val="22"/>
        </w:rPr>
        <w:t>49</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、《河北省人民政府关于各县</w:t>
      </w:r>
      <w:r>
        <w:rPr>
          <w:color w:val="3E3E3E"/>
          <w:kern w:val="0"/>
          <w:sz w:val="22"/>
          <w:szCs w:val="22"/>
        </w:rPr>
        <w:t>(</w:t>
      </w:r>
      <w:r>
        <w:rPr>
          <w:rFonts w:cs="宋体" w:hint="eastAsia"/>
          <w:color w:val="3E3E3E"/>
          <w:kern w:val="0"/>
          <w:sz w:val="22"/>
          <w:szCs w:val="22"/>
        </w:rPr>
        <w:t>市、区</w:t>
      </w:r>
      <w:r>
        <w:rPr>
          <w:color w:val="3E3E3E"/>
          <w:kern w:val="0"/>
          <w:sz w:val="22"/>
          <w:szCs w:val="22"/>
        </w:rPr>
        <w:t>)</w:t>
      </w:r>
      <w:r>
        <w:rPr>
          <w:rFonts w:cs="宋体" w:hint="eastAsia"/>
          <w:color w:val="3E3E3E"/>
          <w:kern w:val="0"/>
          <w:sz w:val="22"/>
          <w:szCs w:val="22"/>
        </w:rPr>
        <w:t>耕地占用税适用税额的通知》</w:t>
      </w:r>
      <w:r>
        <w:rPr>
          <w:color w:val="3E3E3E"/>
          <w:kern w:val="0"/>
          <w:sz w:val="22"/>
          <w:szCs w:val="22"/>
        </w:rPr>
        <w:t>(</w:t>
      </w:r>
      <w:r>
        <w:rPr>
          <w:rFonts w:cs="宋体" w:hint="eastAsia"/>
          <w:color w:val="3E3E3E"/>
          <w:kern w:val="0"/>
          <w:sz w:val="22"/>
          <w:szCs w:val="22"/>
        </w:rPr>
        <w:t>冀政函〔</w:t>
      </w:r>
      <w:r>
        <w:rPr>
          <w:color w:val="3E3E3E"/>
          <w:kern w:val="0"/>
          <w:sz w:val="22"/>
          <w:szCs w:val="22"/>
        </w:rPr>
        <w:t>2008</w:t>
      </w:r>
      <w:r>
        <w:rPr>
          <w:rFonts w:cs="宋体" w:hint="eastAsia"/>
          <w:color w:val="3E3E3E"/>
          <w:kern w:val="0"/>
          <w:sz w:val="22"/>
          <w:szCs w:val="22"/>
        </w:rPr>
        <w:t>〕第</w:t>
      </w:r>
      <w:r>
        <w:rPr>
          <w:color w:val="3E3E3E"/>
          <w:kern w:val="0"/>
          <w:sz w:val="22"/>
          <w:szCs w:val="22"/>
        </w:rPr>
        <w:t>91</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、《中华人民共和国契税暂行条例》</w:t>
      </w:r>
      <w:r>
        <w:rPr>
          <w:color w:val="3E3E3E"/>
          <w:kern w:val="0"/>
          <w:sz w:val="22"/>
          <w:szCs w:val="22"/>
        </w:rPr>
        <w:t>(</w:t>
      </w:r>
      <w:r>
        <w:rPr>
          <w:rFonts w:cs="宋体" w:hint="eastAsia"/>
          <w:color w:val="3E3E3E"/>
          <w:kern w:val="0"/>
          <w:sz w:val="22"/>
          <w:szCs w:val="22"/>
        </w:rPr>
        <w:t>国务院令第</w:t>
      </w:r>
      <w:r>
        <w:rPr>
          <w:color w:val="3E3E3E"/>
          <w:kern w:val="0"/>
          <w:sz w:val="22"/>
          <w:szCs w:val="22"/>
        </w:rPr>
        <w:t>224</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、《中华人民共和国契税暂行条例细则》</w:t>
      </w:r>
      <w:r>
        <w:rPr>
          <w:color w:val="3E3E3E"/>
          <w:kern w:val="0"/>
          <w:sz w:val="22"/>
          <w:szCs w:val="22"/>
        </w:rPr>
        <w:t>(</w:t>
      </w:r>
      <w:r>
        <w:rPr>
          <w:rFonts w:cs="宋体" w:hint="eastAsia"/>
          <w:color w:val="3E3E3E"/>
          <w:kern w:val="0"/>
          <w:sz w:val="22"/>
          <w:szCs w:val="22"/>
        </w:rPr>
        <w:t>财法字</w:t>
      </w:r>
      <w:r>
        <w:rPr>
          <w:color w:val="3E3E3E"/>
          <w:kern w:val="0"/>
          <w:sz w:val="22"/>
          <w:szCs w:val="22"/>
        </w:rPr>
        <w:t>[1997]52</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、《河北省契税实施办法》</w:t>
      </w:r>
      <w:r>
        <w:rPr>
          <w:color w:val="3E3E3E"/>
          <w:kern w:val="0"/>
          <w:sz w:val="22"/>
          <w:szCs w:val="22"/>
        </w:rPr>
        <w:t>(</w:t>
      </w:r>
      <w:r>
        <w:rPr>
          <w:rFonts w:cs="宋体" w:hint="eastAsia"/>
          <w:color w:val="3E3E3E"/>
          <w:kern w:val="0"/>
          <w:sz w:val="22"/>
          <w:szCs w:val="22"/>
        </w:rPr>
        <w:t>省政府令〔</w:t>
      </w:r>
      <w:r>
        <w:rPr>
          <w:color w:val="3E3E3E"/>
          <w:kern w:val="0"/>
          <w:sz w:val="22"/>
          <w:szCs w:val="22"/>
        </w:rPr>
        <w:t>2002</w:t>
      </w:r>
      <w:r>
        <w:rPr>
          <w:rFonts w:cs="宋体" w:hint="eastAsia"/>
          <w:color w:val="3E3E3E"/>
          <w:kern w:val="0"/>
          <w:sz w:val="22"/>
          <w:szCs w:val="22"/>
        </w:rPr>
        <w:t>〕第</w:t>
      </w:r>
      <w:r>
        <w:rPr>
          <w:color w:val="3E3E3E"/>
          <w:kern w:val="0"/>
          <w:sz w:val="22"/>
          <w:szCs w:val="22"/>
        </w:rPr>
        <w:t>14</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以及《关于划转耕地占用税和契税征管职能有关事宜的通知》</w:t>
      </w:r>
      <w:r>
        <w:rPr>
          <w:color w:val="3E3E3E"/>
          <w:kern w:val="0"/>
          <w:sz w:val="22"/>
          <w:szCs w:val="22"/>
        </w:rPr>
        <w:t>(</w:t>
      </w:r>
      <w:r>
        <w:rPr>
          <w:rFonts w:cs="宋体" w:hint="eastAsia"/>
          <w:color w:val="3E3E3E"/>
          <w:kern w:val="0"/>
          <w:sz w:val="22"/>
          <w:szCs w:val="22"/>
        </w:rPr>
        <w:t>冀机编办</w:t>
      </w:r>
      <w:r>
        <w:rPr>
          <w:color w:val="3E3E3E"/>
          <w:kern w:val="0"/>
          <w:sz w:val="22"/>
          <w:szCs w:val="22"/>
        </w:rPr>
        <w:t>[2010]1</w:t>
      </w:r>
      <w:r>
        <w:rPr>
          <w:rFonts w:cs="宋体" w:hint="eastAsia"/>
          <w:color w:val="3E3E3E"/>
          <w:kern w:val="0"/>
          <w:sz w:val="22"/>
          <w:szCs w:val="22"/>
        </w:rPr>
        <w:t>号</w:t>
      </w:r>
      <w:r>
        <w:rPr>
          <w:color w:val="3E3E3E"/>
          <w:kern w:val="0"/>
          <w:sz w:val="22"/>
          <w:szCs w:val="22"/>
        </w:rPr>
        <w:t>)</w:t>
      </w:r>
      <w:r>
        <w:rPr>
          <w:rFonts w:cs="宋体" w:hint="eastAsia"/>
          <w:color w:val="3E3E3E"/>
          <w:kern w:val="0"/>
          <w:sz w:val="22"/>
          <w:szCs w:val="22"/>
        </w:rPr>
        <w:t>规定，我省自</w:t>
      </w:r>
      <w:r>
        <w:rPr>
          <w:color w:val="3E3E3E"/>
          <w:kern w:val="0"/>
          <w:sz w:val="22"/>
          <w:szCs w:val="22"/>
        </w:rPr>
        <w:t>2010</w:t>
      </w:r>
      <w:r>
        <w:rPr>
          <w:rFonts w:cs="宋体" w:hint="eastAsia"/>
          <w:color w:val="3E3E3E"/>
          <w:kern w:val="0"/>
          <w:sz w:val="22"/>
          <w:szCs w:val="22"/>
        </w:rPr>
        <w:t>年</w:t>
      </w:r>
      <w:r>
        <w:rPr>
          <w:color w:val="3E3E3E"/>
          <w:kern w:val="0"/>
          <w:sz w:val="22"/>
          <w:szCs w:val="22"/>
        </w:rPr>
        <w:t>3</w:t>
      </w:r>
      <w:r>
        <w:rPr>
          <w:rFonts w:cs="宋体" w:hint="eastAsia"/>
          <w:color w:val="3E3E3E"/>
          <w:kern w:val="0"/>
          <w:sz w:val="22"/>
          <w:szCs w:val="22"/>
        </w:rPr>
        <w:t>月</w:t>
      </w:r>
      <w:r>
        <w:rPr>
          <w:color w:val="3E3E3E"/>
          <w:kern w:val="0"/>
          <w:sz w:val="22"/>
          <w:szCs w:val="22"/>
        </w:rPr>
        <w:t>1</w:t>
      </w:r>
      <w:r>
        <w:rPr>
          <w:rFonts w:cs="宋体" w:hint="eastAsia"/>
          <w:color w:val="3E3E3E"/>
          <w:kern w:val="0"/>
          <w:sz w:val="22"/>
          <w:szCs w:val="22"/>
        </w:rPr>
        <w:t>日起由地方税务机关负责耕地占用税和契税的征收管理工作。现将有关事项通告如下：</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一、在我省行政区域内，耕地占用税、契税由地方税务机关负责征收管理。</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二、占用耕地建房或者从事非农业建设的单位和个人，应当按照规定缴纳耕地占用税。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承受转移土地、房屋权属的单位和个人，应当按照规定缴纳契税。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三、耕地占用税以纳税人实际占用的耕地面积为计税依据，按照规定的适用税额一次性征收。</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契税以土地、房屋权属转移当事人签订的合同成交价格或者核定的市场价格为计税依据，按照规定的适用税率征收。</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四、耕地占用税实行定额税率，按照省政府核定的各县</w:t>
      </w:r>
      <w:r>
        <w:rPr>
          <w:color w:val="3E3E3E"/>
          <w:kern w:val="0"/>
          <w:sz w:val="22"/>
          <w:szCs w:val="22"/>
        </w:rPr>
        <w:t>(</w:t>
      </w:r>
      <w:r>
        <w:rPr>
          <w:rFonts w:cs="宋体" w:hint="eastAsia"/>
          <w:color w:val="3E3E3E"/>
          <w:kern w:val="0"/>
          <w:sz w:val="22"/>
          <w:szCs w:val="22"/>
        </w:rPr>
        <w:t>市、区</w:t>
      </w:r>
      <w:r>
        <w:rPr>
          <w:color w:val="3E3E3E"/>
          <w:kern w:val="0"/>
          <w:sz w:val="22"/>
          <w:szCs w:val="22"/>
        </w:rPr>
        <w:t>)</w:t>
      </w:r>
      <w:r>
        <w:rPr>
          <w:rFonts w:cs="宋体" w:hint="eastAsia"/>
          <w:color w:val="3E3E3E"/>
          <w:kern w:val="0"/>
          <w:sz w:val="22"/>
          <w:szCs w:val="22"/>
        </w:rPr>
        <w:t>适用税额执行。</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我省契税税率为</w:t>
      </w:r>
      <w:r>
        <w:rPr>
          <w:color w:val="3E3E3E"/>
          <w:kern w:val="0"/>
          <w:sz w:val="22"/>
          <w:szCs w:val="22"/>
        </w:rPr>
        <w:t>4%</w:t>
      </w:r>
      <w:r>
        <w:rPr>
          <w:rFonts w:cs="宋体" w:hint="eastAsia"/>
          <w:color w:val="3E3E3E"/>
          <w:kern w:val="0"/>
          <w:sz w:val="22"/>
          <w:szCs w:val="22"/>
        </w:rPr>
        <w:t>；个人购买自用普通住房的税率为</w:t>
      </w:r>
      <w:r>
        <w:rPr>
          <w:color w:val="3E3E3E"/>
          <w:kern w:val="0"/>
          <w:sz w:val="22"/>
          <w:szCs w:val="22"/>
        </w:rPr>
        <w:t>3%</w:t>
      </w:r>
      <w:r>
        <w:rPr>
          <w:rFonts w:cs="宋体" w:hint="eastAsia"/>
          <w:color w:val="3E3E3E"/>
          <w:kern w:val="0"/>
          <w:sz w:val="22"/>
          <w:szCs w:val="22"/>
        </w:rPr>
        <w:t>，目前，对个人购买自用普通住房和经济适用住房的，实行减半征收；个人首次购买</w:t>
      </w:r>
      <w:r>
        <w:rPr>
          <w:color w:val="3E3E3E"/>
          <w:kern w:val="0"/>
          <w:sz w:val="22"/>
          <w:szCs w:val="22"/>
        </w:rPr>
        <w:t>90</w:t>
      </w:r>
      <w:r>
        <w:rPr>
          <w:rFonts w:cs="宋体" w:hint="eastAsia"/>
          <w:color w:val="3E3E3E"/>
          <w:kern w:val="0"/>
          <w:sz w:val="22"/>
          <w:szCs w:val="22"/>
        </w:rPr>
        <w:t>平方米及以下普通住房的税率为</w:t>
      </w:r>
      <w:r>
        <w:rPr>
          <w:color w:val="3E3E3E"/>
          <w:kern w:val="0"/>
          <w:sz w:val="22"/>
          <w:szCs w:val="22"/>
        </w:rPr>
        <w:t>1%</w:t>
      </w:r>
      <w:r>
        <w:rPr>
          <w:rFonts w:cs="宋体" w:hint="eastAsia"/>
          <w:color w:val="3E3E3E"/>
          <w:kern w:val="0"/>
          <w:sz w:val="22"/>
          <w:szCs w:val="22"/>
        </w:rPr>
        <w:t>。</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五、经批准占用耕地的，耕地占用税纳税义务发生时间为纳税人收到土地管理部门办理占用农用地手续通知的当天；未经批准占用耕地的，耕地占用税纳税义务发生时间为实际占用耕地的当天。</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契税的纳税义务发生时间，为纳税人签订土地、房屋权属转移合同的当天，或者纳税人取得其他具有土地、房屋权属转移合同性质凭证的当天。</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六、耕地占用税的纳税人应当自纳税义务发生之日起</w:t>
      </w:r>
      <w:r>
        <w:rPr>
          <w:color w:val="3E3E3E"/>
          <w:kern w:val="0"/>
          <w:sz w:val="22"/>
          <w:szCs w:val="22"/>
        </w:rPr>
        <w:t>30</w:t>
      </w:r>
      <w:r>
        <w:rPr>
          <w:rFonts w:cs="宋体" w:hint="eastAsia"/>
          <w:color w:val="3E3E3E"/>
          <w:kern w:val="0"/>
          <w:sz w:val="22"/>
          <w:szCs w:val="22"/>
        </w:rPr>
        <w:t>日内，向耕地或其他农用地所在地的地方税务机关缴纳税款。</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契税的纳税人应当自纳税义务发生之日起</w:t>
      </w:r>
      <w:r>
        <w:rPr>
          <w:color w:val="3E3E3E"/>
          <w:kern w:val="0"/>
          <w:sz w:val="22"/>
          <w:szCs w:val="22"/>
        </w:rPr>
        <w:t>10</w:t>
      </w:r>
      <w:r>
        <w:rPr>
          <w:rFonts w:cs="宋体" w:hint="eastAsia"/>
          <w:color w:val="3E3E3E"/>
          <w:kern w:val="0"/>
          <w:sz w:val="22"/>
          <w:szCs w:val="22"/>
        </w:rPr>
        <w:t>日内，向土地、房屋所在地的地方税务机关办理纳税申报，并在地方税务机关核定的期限内缴纳税款。</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七、有下列情形之一的，减征或者免征耕地占用税：军事设施占用耕地的，免征；学校、幼儿园、养老院、医院占用耕地的，免征；农村居民占用耕地新建住宅，按照当地适用税额减半征收；农村烈士家属、残疾军人、鳏寡孤独以及革命老根据地、少数民族聚居区和边远贫困山区生活困难的农村居民，在规定用地标准以内新建住宅纳税确有困难的，经批准可以免征或者减征；铁路线路、公路线路、飞机场跑道、停机坪、港口、航道占用耕地，减按每平方米</w:t>
      </w:r>
      <w:r>
        <w:rPr>
          <w:color w:val="3E3E3E"/>
          <w:kern w:val="0"/>
          <w:sz w:val="22"/>
          <w:szCs w:val="22"/>
        </w:rPr>
        <w:t>2</w:t>
      </w:r>
      <w:r>
        <w:rPr>
          <w:rFonts w:cs="宋体" w:hint="eastAsia"/>
          <w:color w:val="3E3E3E"/>
          <w:kern w:val="0"/>
          <w:sz w:val="22"/>
          <w:szCs w:val="22"/>
        </w:rPr>
        <w:t>元的税额征收耕地占用税。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有下列情形之一的，减征或者免征契税：国家机关、事业单位、社会团体、军事单位承受土地、房屋用于办公、教学、医疗、科研和军事设施的，免征；城镇职工按规定第一次购买公有住房的，免征；因不可抗力灭失住房而重新购买住房的，酌情准予减征或者免征；财政部规定的其他减征、免征契税的项目。</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八、申报耕地占用税减免的纳税人应在用地申请获得批准后的</w:t>
      </w:r>
      <w:r>
        <w:rPr>
          <w:color w:val="3E3E3E"/>
          <w:kern w:val="0"/>
          <w:sz w:val="22"/>
          <w:szCs w:val="22"/>
        </w:rPr>
        <w:t>30</w:t>
      </w:r>
      <w:r>
        <w:rPr>
          <w:rFonts w:cs="宋体" w:hint="eastAsia"/>
          <w:color w:val="3E3E3E"/>
          <w:kern w:val="0"/>
          <w:sz w:val="22"/>
          <w:szCs w:val="22"/>
        </w:rPr>
        <w:t>日内，向与批准其占用耕地的土地管理机关同级的地方税务机关提出减免申报。由国务院或国土资源部批准占用耕地的，其耕地占用税的减免手续由省级征收机关办理。</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申报契税减免的纳税人应在签订土地、房屋权属转移合同或取得其他具有土地、房屋权属转移合同性质的凭证后</w:t>
      </w:r>
      <w:r>
        <w:rPr>
          <w:color w:val="3E3E3E"/>
          <w:kern w:val="0"/>
          <w:sz w:val="22"/>
          <w:szCs w:val="22"/>
        </w:rPr>
        <w:t>10</w:t>
      </w:r>
      <w:r>
        <w:rPr>
          <w:rFonts w:cs="宋体" w:hint="eastAsia"/>
          <w:color w:val="3E3E3E"/>
          <w:kern w:val="0"/>
          <w:sz w:val="22"/>
          <w:szCs w:val="22"/>
        </w:rPr>
        <w:t>日内，向土地、房屋所在地的地方税务机关提出减免申报。其减免税计税金额不足</w:t>
      </w:r>
      <w:r>
        <w:rPr>
          <w:color w:val="3E3E3E"/>
          <w:kern w:val="0"/>
          <w:sz w:val="22"/>
          <w:szCs w:val="22"/>
        </w:rPr>
        <w:t>5000</w:t>
      </w:r>
      <w:r>
        <w:rPr>
          <w:rFonts w:cs="宋体" w:hint="eastAsia"/>
          <w:color w:val="3E3E3E"/>
          <w:kern w:val="0"/>
          <w:sz w:val="22"/>
          <w:szCs w:val="22"/>
        </w:rPr>
        <w:t>万元的，由县级地方税务机关办理减免手续；计税金额</w:t>
      </w:r>
      <w:r>
        <w:rPr>
          <w:color w:val="3E3E3E"/>
          <w:kern w:val="0"/>
          <w:sz w:val="22"/>
          <w:szCs w:val="22"/>
        </w:rPr>
        <w:t>5000</w:t>
      </w:r>
      <w:r>
        <w:rPr>
          <w:rFonts w:cs="宋体" w:hint="eastAsia"/>
          <w:color w:val="3E3E3E"/>
          <w:kern w:val="0"/>
          <w:sz w:val="22"/>
          <w:szCs w:val="22"/>
        </w:rPr>
        <w:t>万元以上</w:t>
      </w:r>
      <w:r>
        <w:rPr>
          <w:color w:val="3E3E3E"/>
          <w:kern w:val="0"/>
          <w:sz w:val="22"/>
          <w:szCs w:val="22"/>
        </w:rPr>
        <w:t>(</w:t>
      </w:r>
      <w:r>
        <w:rPr>
          <w:rFonts w:cs="宋体" w:hint="eastAsia"/>
          <w:color w:val="3E3E3E"/>
          <w:kern w:val="0"/>
          <w:sz w:val="22"/>
          <w:szCs w:val="22"/>
        </w:rPr>
        <w:t>含</w:t>
      </w:r>
      <w:r>
        <w:rPr>
          <w:color w:val="3E3E3E"/>
          <w:kern w:val="0"/>
          <w:sz w:val="22"/>
          <w:szCs w:val="22"/>
        </w:rPr>
        <w:t>5000</w:t>
      </w:r>
      <w:r>
        <w:rPr>
          <w:rFonts w:cs="宋体" w:hint="eastAsia"/>
          <w:color w:val="3E3E3E"/>
          <w:kern w:val="0"/>
          <w:sz w:val="22"/>
          <w:szCs w:val="22"/>
        </w:rPr>
        <w:t>万元</w:t>
      </w:r>
      <w:r>
        <w:rPr>
          <w:color w:val="3E3E3E"/>
          <w:kern w:val="0"/>
          <w:sz w:val="22"/>
          <w:szCs w:val="22"/>
        </w:rPr>
        <w:t>)</w:t>
      </w:r>
      <w:r>
        <w:rPr>
          <w:rFonts w:cs="宋体" w:hint="eastAsia"/>
          <w:color w:val="3E3E3E"/>
          <w:kern w:val="0"/>
          <w:sz w:val="22"/>
          <w:szCs w:val="22"/>
        </w:rPr>
        <w:t>、不足</w:t>
      </w:r>
      <w:r>
        <w:rPr>
          <w:color w:val="3E3E3E"/>
          <w:kern w:val="0"/>
          <w:sz w:val="22"/>
          <w:szCs w:val="22"/>
        </w:rPr>
        <w:t>1</w:t>
      </w:r>
      <w:r>
        <w:rPr>
          <w:rFonts w:cs="宋体" w:hint="eastAsia"/>
          <w:color w:val="3E3E3E"/>
          <w:kern w:val="0"/>
          <w:sz w:val="22"/>
          <w:szCs w:val="22"/>
        </w:rPr>
        <w:t>亿元的，由设区市地方税务机关办理减免手续；计税金额</w:t>
      </w:r>
      <w:r>
        <w:rPr>
          <w:color w:val="3E3E3E"/>
          <w:kern w:val="0"/>
          <w:sz w:val="22"/>
          <w:szCs w:val="22"/>
        </w:rPr>
        <w:t>1</w:t>
      </w:r>
      <w:r>
        <w:rPr>
          <w:rFonts w:cs="宋体" w:hint="eastAsia"/>
          <w:color w:val="3E3E3E"/>
          <w:kern w:val="0"/>
          <w:sz w:val="22"/>
          <w:szCs w:val="22"/>
        </w:rPr>
        <w:t>亿元以上</w:t>
      </w:r>
      <w:r>
        <w:rPr>
          <w:color w:val="3E3E3E"/>
          <w:kern w:val="0"/>
          <w:sz w:val="22"/>
          <w:szCs w:val="22"/>
        </w:rPr>
        <w:t>(</w:t>
      </w:r>
      <w:r>
        <w:rPr>
          <w:rFonts w:cs="宋体" w:hint="eastAsia"/>
          <w:color w:val="3E3E3E"/>
          <w:kern w:val="0"/>
          <w:sz w:val="22"/>
          <w:szCs w:val="22"/>
        </w:rPr>
        <w:t>含</w:t>
      </w:r>
      <w:r>
        <w:rPr>
          <w:color w:val="3E3E3E"/>
          <w:kern w:val="0"/>
          <w:sz w:val="22"/>
          <w:szCs w:val="22"/>
        </w:rPr>
        <w:t>1</w:t>
      </w:r>
      <w:r>
        <w:rPr>
          <w:rFonts w:cs="宋体" w:hint="eastAsia"/>
          <w:color w:val="3E3E3E"/>
          <w:kern w:val="0"/>
          <w:sz w:val="22"/>
          <w:szCs w:val="22"/>
        </w:rPr>
        <w:t>亿元</w:t>
      </w:r>
      <w:r>
        <w:rPr>
          <w:color w:val="3E3E3E"/>
          <w:kern w:val="0"/>
          <w:sz w:val="22"/>
          <w:szCs w:val="22"/>
        </w:rPr>
        <w:t>)</w:t>
      </w:r>
      <w:r>
        <w:rPr>
          <w:rFonts w:cs="宋体" w:hint="eastAsia"/>
          <w:color w:val="3E3E3E"/>
          <w:kern w:val="0"/>
          <w:sz w:val="22"/>
          <w:szCs w:val="22"/>
        </w:rPr>
        <w:t>的，由省级地方税务机关办理减免手续。</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九、纳税人临时占用耕地的，应当依照规定缴纳耕地占用税。纳税人在批准临时占用耕地的期限内恢复所占用耕地原状的，全额退还已经缴纳的耕地占用税。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纳税人已缴纳契税，但未履行所签订土地、房屋权属转移合同，申请退税的，经征收机关审核确认后，准予退税。</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十、耕地占用税、契税的征收管理，按照《中华人民共和国税收征收管理法》和《中华人民共和国税收征收管理法实施细则》的规定办理。</w:t>
      </w:r>
    </w:p>
    <w:p w:rsidR="00A32067" w:rsidRDefault="00A32067">
      <w:pPr>
        <w:shd w:val="clear" w:color="auto" w:fill="FFFFFF"/>
        <w:spacing w:line="360" w:lineRule="auto"/>
        <w:ind w:firstLine="482"/>
        <w:rPr>
          <w:color w:val="3E3E3E"/>
          <w:kern w:val="0"/>
          <w:sz w:val="22"/>
          <w:szCs w:val="22"/>
        </w:rPr>
      </w:pPr>
      <w:r>
        <w:rPr>
          <w:rFonts w:cs="宋体" w:hint="eastAsia"/>
          <w:color w:val="3E3E3E"/>
          <w:kern w:val="0"/>
          <w:sz w:val="22"/>
          <w:szCs w:val="22"/>
        </w:rPr>
        <w:t>十一、纳税人对税务机关的处理有异议的，可以依法申请行政复议或提起行政诉讼。</w:t>
      </w:r>
    </w:p>
    <w:p w:rsidR="00A32067" w:rsidRDefault="00A32067" w:rsidP="005431C7">
      <w:pPr>
        <w:shd w:val="clear" w:color="auto" w:fill="FFFFFF"/>
        <w:spacing w:line="360" w:lineRule="auto"/>
        <w:ind w:firstLineChars="3300" w:firstLine="31680"/>
        <w:rPr>
          <w:color w:val="3E3E3E"/>
          <w:kern w:val="0"/>
          <w:sz w:val="22"/>
          <w:szCs w:val="22"/>
        </w:rPr>
      </w:pPr>
    </w:p>
    <w:p w:rsidR="00A32067" w:rsidRDefault="00A32067" w:rsidP="005431C7">
      <w:pPr>
        <w:shd w:val="clear" w:color="auto" w:fill="FFFFFF"/>
        <w:spacing w:line="360" w:lineRule="auto"/>
        <w:ind w:firstLineChars="3300" w:firstLine="31680"/>
        <w:rPr>
          <w:color w:val="3E3E3E"/>
          <w:kern w:val="0"/>
          <w:sz w:val="22"/>
          <w:szCs w:val="22"/>
        </w:rPr>
      </w:pPr>
      <w:r>
        <w:rPr>
          <w:rFonts w:cs="宋体" w:hint="eastAsia"/>
          <w:color w:val="3E3E3E"/>
          <w:kern w:val="0"/>
          <w:sz w:val="22"/>
          <w:szCs w:val="22"/>
        </w:rPr>
        <w:t>特此通告</w:t>
      </w:r>
    </w:p>
    <w:p w:rsidR="00A32067" w:rsidRDefault="00A32067">
      <w:pPr>
        <w:shd w:val="clear" w:color="auto" w:fill="FFFFFF"/>
        <w:spacing w:line="360" w:lineRule="auto"/>
        <w:ind w:firstLine="482"/>
        <w:rPr>
          <w:color w:val="3E3E3E"/>
          <w:kern w:val="0"/>
          <w:sz w:val="22"/>
          <w:szCs w:val="22"/>
        </w:rPr>
      </w:pPr>
    </w:p>
    <w:p w:rsidR="00A32067" w:rsidRDefault="00A32067">
      <w:pPr>
        <w:shd w:val="clear" w:color="auto" w:fill="FFFFFF"/>
        <w:spacing w:line="360" w:lineRule="auto"/>
        <w:ind w:firstLine="482"/>
        <w:rPr>
          <w:color w:val="3E3E3E"/>
          <w:kern w:val="0"/>
          <w:sz w:val="22"/>
          <w:szCs w:val="22"/>
        </w:rPr>
      </w:pPr>
    </w:p>
    <w:p w:rsidR="00A32067" w:rsidRDefault="00A32067">
      <w:pPr>
        <w:shd w:val="clear" w:color="auto" w:fill="FFFFFF"/>
        <w:spacing w:line="360" w:lineRule="auto"/>
        <w:ind w:firstLine="482"/>
        <w:jc w:val="right"/>
        <w:rPr>
          <w:color w:val="3E3E3E"/>
          <w:kern w:val="0"/>
          <w:sz w:val="22"/>
          <w:szCs w:val="22"/>
        </w:rPr>
      </w:pPr>
      <w:r>
        <w:rPr>
          <w:rFonts w:cs="宋体" w:hint="eastAsia"/>
          <w:color w:val="3E3E3E"/>
          <w:kern w:val="0"/>
          <w:sz w:val="22"/>
          <w:szCs w:val="22"/>
        </w:rPr>
        <w:t>二〇一〇年三月一日</w:t>
      </w: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widowControl/>
        <w:shd w:val="clear" w:color="auto" w:fill="FFFFFF"/>
        <w:spacing w:after="300"/>
        <w:ind w:firstLine="465"/>
        <w:jc w:val="right"/>
        <w:rPr>
          <w:rFonts w:eastAsia="微软雅黑"/>
          <w:color w:val="333333"/>
          <w:kern w:val="0"/>
          <w:sz w:val="24"/>
          <w:szCs w:val="24"/>
        </w:rPr>
      </w:pPr>
    </w:p>
    <w:p w:rsidR="00A32067" w:rsidRDefault="00A32067">
      <w:pPr>
        <w:spacing w:line="360" w:lineRule="auto"/>
        <w:jc w:val="center"/>
        <w:outlineLvl w:val="2"/>
        <w:rPr>
          <w:b/>
          <w:bCs/>
          <w:color w:val="000000"/>
          <w:sz w:val="44"/>
          <w:szCs w:val="44"/>
        </w:rPr>
        <w:sectPr w:rsidR="00A32067">
          <w:pgSz w:w="11907" w:h="16840"/>
          <w:pgMar w:top="1134" w:right="1077" w:bottom="1134" w:left="1077" w:header="794" w:footer="567" w:gutter="284"/>
          <w:cols w:space="720"/>
          <w:docGrid w:linePitch="312"/>
        </w:sectPr>
      </w:pPr>
      <w:bookmarkStart w:id="38" w:name="_Toc519872279"/>
    </w:p>
    <w:p w:rsidR="00A32067" w:rsidRDefault="00A32067">
      <w:pPr>
        <w:spacing w:line="360" w:lineRule="auto"/>
        <w:jc w:val="center"/>
        <w:outlineLvl w:val="2"/>
        <w:rPr>
          <w:b/>
          <w:bCs/>
          <w:color w:val="000000"/>
          <w:sz w:val="44"/>
          <w:szCs w:val="44"/>
        </w:rPr>
      </w:pPr>
      <w:r>
        <w:rPr>
          <w:rFonts w:cs="宋体" w:hint="eastAsia"/>
          <w:b/>
          <w:bCs/>
          <w:color w:val="000000"/>
          <w:sz w:val="44"/>
          <w:szCs w:val="44"/>
        </w:rPr>
        <w:t>关于取消、停征和免征一批</w:t>
      </w:r>
      <w:r>
        <w:rPr>
          <w:b/>
          <w:bCs/>
          <w:color w:val="000000"/>
          <w:sz w:val="44"/>
          <w:szCs w:val="44"/>
        </w:rPr>
        <w:br/>
      </w:r>
      <w:r>
        <w:rPr>
          <w:rFonts w:cs="宋体" w:hint="eastAsia"/>
          <w:b/>
          <w:bCs/>
          <w:color w:val="000000"/>
          <w:sz w:val="44"/>
          <w:szCs w:val="44"/>
        </w:rPr>
        <w:t>行政事业性收费的通知</w:t>
      </w:r>
      <w:r>
        <w:rPr>
          <w:b/>
          <w:bCs/>
          <w:color w:val="000000"/>
          <w:sz w:val="44"/>
          <w:szCs w:val="44"/>
        </w:rPr>
        <w:br/>
      </w:r>
      <w:r>
        <w:rPr>
          <w:rFonts w:cs="宋体" w:hint="eastAsia"/>
          <w:kern w:val="0"/>
          <w:sz w:val="22"/>
          <w:szCs w:val="22"/>
        </w:rPr>
        <w:t>财税</w:t>
      </w:r>
      <w:r>
        <w:rPr>
          <w:kern w:val="0"/>
          <w:sz w:val="22"/>
          <w:szCs w:val="22"/>
        </w:rPr>
        <w:t>[2014]101</w:t>
      </w:r>
      <w:r>
        <w:rPr>
          <w:rFonts w:cs="宋体" w:hint="eastAsia"/>
          <w:kern w:val="0"/>
          <w:sz w:val="22"/>
          <w:szCs w:val="22"/>
        </w:rPr>
        <w:t>号</w:t>
      </w:r>
      <w:bookmarkEnd w:id="38"/>
    </w:p>
    <w:p w:rsidR="00A32067" w:rsidRDefault="00A32067">
      <w:pPr>
        <w:shd w:val="clear" w:color="auto" w:fill="FFFFFF"/>
        <w:spacing w:line="400" w:lineRule="atLeast"/>
        <w:rPr>
          <w:color w:val="3E3E3E"/>
          <w:kern w:val="0"/>
          <w:sz w:val="22"/>
          <w:szCs w:val="22"/>
        </w:rPr>
      </w:pPr>
      <w:r>
        <w:rPr>
          <w:rFonts w:cs="宋体" w:hint="eastAsia"/>
          <w:color w:val="3E3E3E"/>
          <w:kern w:val="0"/>
          <w:sz w:val="22"/>
          <w:szCs w:val="22"/>
        </w:rPr>
        <w:t>各省、自治区、直辖市人民政府，国务院各部委、各直属机构：</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为进一步减轻企业特别是小微企业负担，经国务院批准，现将取消、停征和免征一批行政事业性收费政策通知如下：</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一、自</w:t>
      </w:r>
      <w:r>
        <w:rPr>
          <w:color w:val="3E3E3E"/>
          <w:kern w:val="0"/>
          <w:sz w:val="22"/>
          <w:szCs w:val="22"/>
        </w:rPr>
        <w:t>2015</w:t>
      </w:r>
      <w:r>
        <w:rPr>
          <w:rFonts w:cs="宋体" w:hint="eastAsia"/>
          <w:color w:val="3E3E3E"/>
          <w:kern w:val="0"/>
          <w:sz w:val="22"/>
          <w:szCs w:val="22"/>
        </w:rPr>
        <w:t>年</w:t>
      </w:r>
      <w:r>
        <w:rPr>
          <w:color w:val="3E3E3E"/>
          <w:kern w:val="0"/>
          <w:sz w:val="22"/>
          <w:szCs w:val="22"/>
        </w:rPr>
        <w:t>1</w:t>
      </w:r>
      <w:r>
        <w:rPr>
          <w:rFonts w:cs="宋体" w:hint="eastAsia"/>
          <w:color w:val="3E3E3E"/>
          <w:kern w:val="0"/>
          <w:sz w:val="22"/>
          <w:szCs w:val="22"/>
        </w:rPr>
        <w:t>月</w:t>
      </w:r>
      <w:r>
        <w:rPr>
          <w:color w:val="3E3E3E"/>
          <w:kern w:val="0"/>
          <w:sz w:val="22"/>
          <w:szCs w:val="22"/>
        </w:rPr>
        <w:t>1</w:t>
      </w:r>
      <w:r>
        <w:rPr>
          <w:rFonts w:cs="宋体" w:hint="eastAsia"/>
          <w:color w:val="3E3E3E"/>
          <w:kern w:val="0"/>
          <w:sz w:val="22"/>
          <w:szCs w:val="22"/>
        </w:rPr>
        <w:t>日起，取消或暂停征收</w:t>
      </w:r>
      <w:r>
        <w:rPr>
          <w:color w:val="3E3E3E"/>
          <w:kern w:val="0"/>
          <w:sz w:val="22"/>
          <w:szCs w:val="22"/>
        </w:rPr>
        <w:t>12</w:t>
      </w:r>
      <w:r>
        <w:rPr>
          <w:rFonts w:cs="宋体" w:hint="eastAsia"/>
          <w:color w:val="3E3E3E"/>
          <w:kern w:val="0"/>
          <w:sz w:val="22"/>
          <w:szCs w:val="22"/>
        </w:rPr>
        <w:t>项中央级设立的行政事业性收费。（见附件</w:t>
      </w:r>
      <w:r>
        <w:rPr>
          <w:color w:val="3E3E3E"/>
          <w:kern w:val="0"/>
          <w:sz w:val="22"/>
          <w:szCs w:val="22"/>
        </w:rPr>
        <w:t>1</w:t>
      </w:r>
      <w:r>
        <w:rPr>
          <w:rFonts w:cs="宋体" w:hint="eastAsia"/>
          <w:color w:val="3E3E3E"/>
          <w:kern w:val="0"/>
          <w:sz w:val="22"/>
          <w:szCs w:val="22"/>
        </w:rPr>
        <w:t>）</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各省（区、市）要全面清理省级设立的行政事业性收费项目，取消重复设置、收费养人以及违背市场经济基本原则的不合理收费。</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二、自</w:t>
      </w:r>
      <w:r>
        <w:rPr>
          <w:color w:val="3E3E3E"/>
          <w:kern w:val="0"/>
          <w:sz w:val="22"/>
          <w:szCs w:val="22"/>
        </w:rPr>
        <w:t>2015</w:t>
      </w:r>
      <w:r>
        <w:rPr>
          <w:rFonts w:cs="宋体" w:hint="eastAsia"/>
          <w:color w:val="3E3E3E"/>
          <w:kern w:val="0"/>
          <w:sz w:val="22"/>
          <w:szCs w:val="22"/>
        </w:rPr>
        <w:t>年</w:t>
      </w:r>
      <w:r>
        <w:rPr>
          <w:color w:val="3E3E3E"/>
          <w:kern w:val="0"/>
          <w:sz w:val="22"/>
          <w:szCs w:val="22"/>
        </w:rPr>
        <w:t>1</w:t>
      </w:r>
      <w:r>
        <w:rPr>
          <w:rFonts w:cs="宋体" w:hint="eastAsia"/>
          <w:color w:val="3E3E3E"/>
          <w:kern w:val="0"/>
          <w:sz w:val="22"/>
          <w:szCs w:val="22"/>
        </w:rPr>
        <w:t>月</w:t>
      </w:r>
      <w:r>
        <w:rPr>
          <w:color w:val="3E3E3E"/>
          <w:kern w:val="0"/>
          <w:sz w:val="22"/>
          <w:szCs w:val="22"/>
        </w:rPr>
        <w:t>1</w:t>
      </w:r>
      <w:r>
        <w:rPr>
          <w:rFonts w:cs="宋体" w:hint="eastAsia"/>
          <w:color w:val="3E3E3E"/>
          <w:kern w:val="0"/>
          <w:sz w:val="22"/>
          <w:szCs w:val="22"/>
        </w:rPr>
        <w:t>日起，对小微企业（含个体工商户，下同）免征</w:t>
      </w:r>
      <w:r>
        <w:rPr>
          <w:color w:val="3E3E3E"/>
          <w:kern w:val="0"/>
          <w:sz w:val="22"/>
          <w:szCs w:val="22"/>
        </w:rPr>
        <w:t>42</w:t>
      </w:r>
      <w:r>
        <w:rPr>
          <w:rFonts w:cs="宋体" w:hint="eastAsia"/>
          <w:color w:val="3E3E3E"/>
          <w:kern w:val="0"/>
          <w:sz w:val="22"/>
          <w:szCs w:val="22"/>
        </w:rPr>
        <w:t>项中央级设立的行政事业性收费。（见附件</w:t>
      </w:r>
      <w:r>
        <w:rPr>
          <w:color w:val="3E3E3E"/>
          <w:kern w:val="0"/>
          <w:sz w:val="22"/>
          <w:szCs w:val="22"/>
        </w:rPr>
        <w:t>2</w:t>
      </w:r>
      <w:r>
        <w:rPr>
          <w:rFonts w:cs="宋体" w:hint="eastAsia"/>
          <w:color w:val="3E3E3E"/>
          <w:kern w:val="0"/>
          <w:sz w:val="22"/>
          <w:szCs w:val="22"/>
        </w:rPr>
        <w:t>）</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各省（区、市）要对小微企业免征省级设立的行政事业性收费，具体免征项目由各省（区、市）人民政府确定。</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免征有关行政事业性收费的小微企业范围，由相关部门参照《中小企业划型标准规定》（工信部联企业</w:t>
      </w:r>
      <w:r>
        <w:rPr>
          <w:color w:val="3E3E3E"/>
          <w:kern w:val="0"/>
          <w:sz w:val="22"/>
          <w:szCs w:val="22"/>
        </w:rPr>
        <w:t>[2011]300</w:t>
      </w:r>
      <w:r>
        <w:rPr>
          <w:rFonts w:cs="宋体" w:hint="eastAsia"/>
          <w:color w:val="3E3E3E"/>
          <w:kern w:val="0"/>
          <w:sz w:val="22"/>
          <w:szCs w:val="22"/>
        </w:rPr>
        <w:t>号）具体确定。</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三、取消、停征和免征上述行政事业性收费后，有关部门和单位依法履行职能所需经费，由同级财政预算予以统筹安排。其中，行政机关和财政补助事业单位的经费支出，通过部门预算予以安排；自收自支事业单位的经费支出，通过安排其上级主管部门项目支出予以解决。各级财政部门要按照上述要求，妥善安排有关部门和单位预算，保障工作正常开展。</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四、有关部门和单位要按规定到价格主管部门办理《收费许可证》注销手续，并到财政部门办理财政票据缴销手续。有关行政事业性收费的清欠收入，应当按照财政部门规定的渠道全额上缴国库。</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五、对上述取消、停征和免征的行政事业性收费，各地区和有关部门不得以任何理由拖延或者拒绝执行，不得以其他名目或者转为经营服务性收费方式变相继续收费。</w:t>
      </w:r>
    </w:p>
    <w:p w:rsidR="00A32067" w:rsidRDefault="00A32067">
      <w:pPr>
        <w:shd w:val="clear" w:color="auto" w:fill="FFFFFF"/>
        <w:spacing w:line="400" w:lineRule="atLeast"/>
        <w:ind w:firstLine="480"/>
        <w:rPr>
          <w:color w:val="3E3E3E"/>
          <w:kern w:val="0"/>
          <w:sz w:val="22"/>
          <w:szCs w:val="22"/>
        </w:rPr>
      </w:pPr>
      <w:r>
        <w:rPr>
          <w:rFonts w:cs="宋体" w:hint="eastAsia"/>
          <w:color w:val="3E3E3E"/>
          <w:kern w:val="0"/>
          <w:sz w:val="22"/>
          <w:szCs w:val="22"/>
        </w:rPr>
        <w:t>六、坚决取缔各种乱收费。凡未经国务院和省级人民政府及其财政、价格主管部门批准，越权设立的行政事业性收费项目一律取消。对按照法律法规和国家有关政策规定设立的行政事业性收费，实行目录清单管理。所有收费目录清单及其具体实施情况纳入各地区、各部门政务公开范畴，通过政府网站和公共媒体实时对外公开，接受社会监督。各地区、各部门必须严格执行目录清单，目录清单之外的收费，一律不得执行。各级财政、价格、审计部门要加强监督检查，对继续违规收费的部门和单位，要予以严肃查处，并追究责任人的行政责任。</w:t>
      </w:r>
    </w:p>
    <w:p w:rsidR="00A32067" w:rsidRDefault="00A32067">
      <w:pPr>
        <w:pStyle w:val="NormalWeb"/>
        <w:shd w:val="clear" w:color="auto" w:fill="FFFFFF"/>
        <w:spacing w:before="0" w:beforeAutospacing="0" w:after="0" w:afterAutospacing="0" w:line="360" w:lineRule="auto"/>
        <w:ind w:right="480" w:firstLine="465"/>
        <w:jc w:val="right"/>
        <w:rPr>
          <w:rFonts w:ascii="Times New Roman" w:hAnsi="Times New Roman" w:cs="Times New Roman"/>
          <w:color w:val="3E3E3E"/>
          <w:sz w:val="22"/>
          <w:szCs w:val="22"/>
        </w:rPr>
      </w:pPr>
      <w:r>
        <w:rPr>
          <w:rFonts w:ascii="Times New Roman" w:hAnsi="Times New Roman" w:hint="eastAsia"/>
          <w:color w:val="3E3E3E"/>
          <w:sz w:val="22"/>
          <w:szCs w:val="22"/>
        </w:rPr>
        <w:t>财政部</w:t>
      </w:r>
    </w:p>
    <w:p w:rsidR="00A32067" w:rsidRDefault="00A32067">
      <w:pPr>
        <w:pStyle w:val="NormalWeb"/>
        <w:shd w:val="clear" w:color="auto" w:fill="FFFFFF"/>
        <w:spacing w:before="0" w:beforeAutospacing="0" w:after="0" w:afterAutospacing="0" w:line="360" w:lineRule="auto"/>
        <w:ind w:firstLine="465"/>
        <w:jc w:val="right"/>
        <w:rPr>
          <w:rFonts w:ascii="Times New Roman" w:hAnsi="Times New Roman" w:cs="Times New Roman"/>
          <w:color w:val="3E3E3E"/>
          <w:sz w:val="22"/>
          <w:szCs w:val="22"/>
        </w:rPr>
      </w:pPr>
      <w:r>
        <w:rPr>
          <w:rFonts w:ascii="Times New Roman" w:hAnsi="Times New Roman" w:hint="eastAsia"/>
          <w:color w:val="3E3E3E"/>
          <w:sz w:val="22"/>
          <w:szCs w:val="22"/>
        </w:rPr>
        <w:t>国家发展改革委</w:t>
      </w:r>
    </w:p>
    <w:p w:rsidR="00A32067" w:rsidRDefault="00A32067">
      <w:pPr>
        <w:pStyle w:val="customunionstyle"/>
        <w:spacing w:line="360" w:lineRule="auto"/>
        <w:jc w:val="right"/>
        <w:rPr>
          <w:rFonts w:ascii="Times New Roman" w:hAnsi="Times New Roman" w:cs="Times New Roman"/>
          <w:color w:val="3E3E3E"/>
          <w:sz w:val="22"/>
          <w:szCs w:val="22"/>
        </w:rPr>
      </w:pPr>
      <w:r>
        <w:rPr>
          <w:rFonts w:ascii="Times New Roman" w:hAnsi="Times New Roman" w:hint="eastAsia"/>
          <w:color w:val="3E3E3E"/>
          <w:sz w:val="22"/>
          <w:szCs w:val="22"/>
        </w:rPr>
        <w:t xml:space="preserve">　　</w:t>
      </w:r>
      <w:r>
        <w:rPr>
          <w:rFonts w:ascii="Times New Roman" w:hAnsi="Times New Roman" w:cs="Times New Roman"/>
          <w:color w:val="3E3E3E"/>
          <w:sz w:val="22"/>
          <w:szCs w:val="22"/>
        </w:rPr>
        <w:t>2014</w:t>
      </w:r>
      <w:r>
        <w:rPr>
          <w:rFonts w:ascii="Times New Roman" w:hAnsi="Times New Roman" w:hint="eastAsia"/>
          <w:color w:val="3E3E3E"/>
          <w:sz w:val="22"/>
          <w:szCs w:val="22"/>
        </w:rPr>
        <w:t>年</w:t>
      </w:r>
      <w:r>
        <w:rPr>
          <w:rFonts w:ascii="Times New Roman" w:hAnsi="Times New Roman" w:cs="Times New Roman"/>
          <w:color w:val="3E3E3E"/>
          <w:sz w:val="22"/>
          <w:szCs w:val="22"/>
        </w:rPr>
        <w:t>12</w:t>
      </w:r>
      <w:r>
        <w:rPr>
          <w:rFonts w:ascii="Times New Roman" w:hAnsi="Times New Roman" w:hint="eastAsia"/>
          <w:color w:val="3E3E3E"/>
          <w:sz w:val="22"/>
          <w:szCs w:val="22"/>
        </w:rPr>
        <w:t>月</w:t>
      </w:r>
      <w:r>
        <w:rPr>
          <w:rFonts w:ascii="Times New Roman" w:hAnsi="Times New Roman" w:cs="Times New Roman"/>
          <w:color w:val="3E3E3E"/>
          <w:sz w:val="22"/>
          <w:szCs w:val="22"/>
        </w:rPr>
        <w:t>23</w:t>
      </w:r>
      <w:r>
        <w:rPr>
          <w:rFonts w:ascii="Times New Roman" w:hAnsi="Times New Roman" w:hint="eastAsia"/>
          <w:color w:val="3E3E3E"/>
          <w:sz w:val="22"/>
          <w:szCs w:val="22"/>
        </w:rPr>
        <w:t>日</w:t>
      </w:r>
    </w:p>
    <w:p w:rsidR="00A32067" w:rsidRDefault="00A32067">
      <w:pPr>
        <w:pStyle w:val="customunionstyle"/>
        <w:spacing w:line="360" w:lineRule="exact"/>
        <w:rPr>
          <w:rFonts w:ascii="Times New Roman" w:hAnsi="Times New Roman" w:cs="Times New Roman"/>
          <w:b/>
          <w:bCs/>
        </w:rPr>
      </w:pPr>
      <w:r>
        <w:rPr>
          <w:rFonts w:ascii="Times New Roman" w:eastAsia="微软雅黑" w:hAnsi="Times New Roman" w:cs="微软雅黑" w:hint="eastAsia"/>
        </w:rPr>
        <w:t xml:space="preserve">　　</w:t>
      </w:r>
      <w:r>
        <w:rPr>
          <w:rFonts w:ascii="Times New Roman" w:hAnsi="Times New Roman" w:hint="eastAsia"/>
          <w:b/>
          <w:bCs/>
        </w:rPr>
        <w:t>附件</w:t>
      </w:r>
      <w:r>
        <w:rPr>
          <w:rFonts w:ascii="Times New Roman" w:hAnsi="Times New Roman" w:cs="Times New Roman"/>
          <w:b/>
          <w:bCs/>
        </w:rPr>
        <w:t>1 </w:t>
      </w:r>
    </w:p>
    <w:p w:rsidR="00A32067" w:rsidRDefault="00A32067">
      <w:pPr>
        <w:pStyle w:val="customunionstyle"/>
        <w:spacing w:line="360" w:lineRule="exact"/>
        <w:jc w:val="center"/>
        <w:rPr>
          <w:rFonts w:ascii="Times New Roman" w:hAnsi="Times New Roman" w:cs="Times New Roman"/>
        </w:rPr>
      </w:pPr>
      <w:r>
        <w:rPr>
          <w:rFonts w:ascii="Times New Roman" w:eastAsia="微软雅黑" w:hAnsi="Times New Roman" w:cs="微软雅黑" w:hint="eastAsia"/>
        </w:rPr>
        <w:t xml:space="preserve">　　</w:t>
      </w:r>
      <w:r>
        <w:rPr>
          <w:rStyle w:val="Strong"/>
          <w:rFonts w:ascii="Times New Roman" w:hAnsi="Times New Roman" w:hint="eastAsia"/>
        </w:rPr>
        <w:t>取消或暂停征收的行政事业性收费项目</w:t>
      </w:r>
      <w:r>
        <w:rPr>
          <w:rStyle w:val="Strong"/>
          <w:rFonts w:ascii="Times New Roman" w:hAnsi="Times New Roman" w:cs="Times New Roman"/>
        </w:rPr>
        <w:t> </w:t>
      </w:r>
    </w:p>
    <w:p w:rsidR="00A32067" w:rsidRDefault="00A32067">
      <w:pPr>
        <w:pStyle w:val="customunionstyle"/>
        <w:spacing w:line="360" w:lineRule="exact"/>
        <w:jc w:val="center"/>
        <w:rPr>
          <w:rFonts w:ascii="Times New Roman" w:hAnsi="Times New Roman" w:cs="Times New Roman"/>
          <w:sz w:val="22"/>
          <w:szCs w:val="22"/>
        </w:rPr>
      </w:pPr>
      <w:r>
        <w:rPr>
          <w:rStyle w:val="Strong"/>
          <w:rFonts w:ascii="Times New Roman" w:hAnsi="Times New Roman" w:hint="eastAsia"/>
          <w:sz w:val="22"/>
          <w:szCs w:val="22"/>
        </w:rPr>
        <w:t xml:space="preserve">　　（共</w:t>
      </w:r>
      <w:r>
        <w:rPr>
          <w:rStyle w:val="Strong"/>
          <w:rFonts w:ascii="Times New Roman" w:hAnsi="Times New Roman" w:cs="Times New Roman"/>
          <w:sz w:val="22"/>
          <w:szCs w:val="22"/>
        </w:rPr>
        <w:t>12</w:t>
      </w:r>
      <w:r>
        <w:rPr>
          <w:rStyle w:val="Strong"/>
          <w:rFonts w:ascii="Times New Roman" w:hAnsi="Times New Roman" w:hint="eastAsia"/>
          <w:sz w:val="22"/>
          <w:szCs w:val="22"/>
        </w:rPr>
        <w:t>项）</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360" w:lineRule="auto"/>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一、取消的行政事业性收费项目（共</w:t>
      </w:r>
      <w:r>
        <w:rPr>
          <w:rStyle w:val="Strong"/>
          <w:rFonts w:ascii="Times New Roman" w:hAnsi="Times New Roman" w:cs="Times New Roman"/>
          <w:sz w:val="22"/>
          <w:szCs w:val="22"/>
        </w:rPr>
        <w:t>5</w:t>
      </w:r>
      <w:r>
        <w:rPr>
          <w:rStyle w:val="Strong"/>
          <w:rFonts w:ascii="Times New Roman" w:hAnsi="Times New Roman" w:hint="eastAsia"/>
          <w:sz w:val="22"/>
          <w:szCs w:val="22"/>
        </w:rPr>
        <w:t>项）</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Style w:val="Strong"/>
          <w:rFonts w:ascii="Times New Roman" w:hAnsi="Times New Roman" w:hint="eastAsia"/>
          <w:sz w:val="22"/>
          <w:szCs w:val="22"/>
        </w:rPr>
        <w:t xml:space="preserve">　　国土资源部门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w:t>
      </w:r>
      <w:r>
        <w:rPr>
          <w:rFonts w:ascii="Times New Roman" w:hAnsi="Times New Roman" w:hint="eastAsia"/>
          <w:sz w:val="22"/>
          <w:szCs w:val="22"/>
        </w:rPr>
        <w:t>．征地管理费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人力资源社会保障部门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w:t>
      </w:r>
      <w:r>
        <w:rPr>
          <w:rFonts w:ascii="Times New Roman" w:hAnsi="Times New Roman" w:hint="eastAsia"/>
          <w:sz w:val="22"/>
          <w:szCs w:val="22"/>
        </w:rPr>
        <w:t>．保存人事关系及档案费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w:t>
      </w:r>
      <w:r>
        <w:rPr>
          <w:rFonts w:ascii="Times New Roman" w:hAnsi="Times New Roman" w:hint="eastAsia"/>
          <w:sz w:val="22"/>
          <w:szCs w:val="22"/>
        </w:rPr>
        <w:t>．国际商务师执业资格考试考务费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商务部门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w:t>
      </w:r>
      <w:r>
        <w:rPr>
          <w:rFonts w:ascii="Times New Roman" w:hAnsi="Times New Roman" w:hint="eastAsia"/>
          <w:sz w:val="22"/>
          <w:szCs w:val="22"/>
        </w:rPr>
        <w:t>．纺织品原产地证明书费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中国贸促会和地方贸促会</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5</w:t>
      </w:r>
      <w:r>
        <w:rPr>
          <w:rFonts w:ascii="Times New Roman" w:hAnsi="Times New Roman" w:hint="eastAsia"/>
          <w:sz w:val="22"/>
          <w:szCs w:val="22"/>
        </w:rPr>
        <w:t>．货物原产地证书费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二、暂停征收的行政事业性收费项目（共</w:t>
      </w:r>
      <w:r>
        <w:rPr>
          <w:rStyle w:val="Strong"/>
          <w:rFonts w:ascii="Times New Roman" w:hAnsi="Times New Roman" w:cs="Times New Roman"/>
          <w:sz w:val="22"/>
          <w:szCs w:val="22"/>
        </w:rPr>
        <w:t>7</w:t>
      </w:r>
      <w:r>
        <w:rPr>
          <w:rStyle w:val="Strong"/>
          <w:rFonts w:ascii="Times New Roman" w:hAnsi="Times New Roman" w:hint="eastAsia"/>
          <w:sz w:val="22"/>
          <w:szCs w:val="22"/>
        </w:rPr>
        <w:t>项）</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Style w:val="Strong"/>
          <w:rFonts w:ascii="Times New Roman" w:hAnsi="Times New Roman" w:hint="eastAsia"/>
          <w:sz w:val="22"/>
          <w:szCs w:val="22"/>
        </w:rPr>
        <w:t xml:space="preserve">　　国土资源部门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w:t>
      </w:r>
      <w:r>
        <w:rPr>
          <w:rFonts w:ascii="Times New Roman" w:hAnsi="Times New Roman" w:hint="eastAsia"/>
          <w:sz w:val="22"/>
          <w:szCs w:val="22"/>
        </w:rPr>
        <w:t>．石油（天然气）勘查、开采登记费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w:t>
      </w:r>
      <w:r>
        <w:rPr>
          <w:rFonts w:ascii="Times New Roman" w:hAnsi="Times New Roman" w:hint="eastAsia"/>
          <w:sz w:val="22"/>
          <w:szCs w:val="22"/>
        </w:rPr>
        <w:t>．矿产资源勘查登记费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w:t>
      </w:r>
      <w:r>
        <w:rPr>
          <w:rFonts w:ascii="Times New Roman" w:hAnsi="Times New Roman" w:hint="eastAsia"/>
          <w:sz w:val="22"/>
          <w:szCs w:val="22"/>
        </w:rPr>
        <w:t>．采矿登记费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工商行政管理部门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w:t>
      </w:r>
      <w:r>
        <w:rPr>
          <w:rFonts w:ascii="Times New Roman" w:hAnsi="Times New Roman" w:hint="eastAsia"/>
          <w:sz w:val="22"/>
          <w:szCs w:val="22"/>
        </w:rPr>
        <w:t>．企业注册登记费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5</w:t>
      </w:r>
      <w:r>
        <w:rPr>
          <w:rFonts w:ascii="Times New Roman" w:hAnsi="Times New Roman" w:hint="eastAsia"/>
          <w:sz w:val="22"/>
          <w:szCs w:val="22"/>
        </w:rPr>
        <w:t>．个体工商户注册登记费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质量监督检验检疫部门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6</w:t>
      </w:r>
      <w:r>
        <w:rPr>
          <w:rFonts w:ascii="Times New Roman" w:hAnsi="Times New Roman" w:hint="eastAsia"/>
          <w:sz w:val="22"/>
          <w:szCs w:val="22"/>
        </w:rPr>
        <w:t>．工业产品许可证审查费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7</w:t>
      </w:r>
      <w:r>
        <w:rPr>
          <w:rFonts w:ascii="Times New Roman" w:hAnsi="Times New Roman" w:hint="eastAsia"/>
          <w:sz w:val="22"/>
          <w:szCs w:val="22"/>
        </w:rPr>
        <w:t>．出口商品检验检疫费</w:t>
      </w:r>
      <w:r>
        <w:rPr>
          <w:rFonts w:ascii="Times New Roman" w:hAnsi="Times New Roman" w:cs="Times New Roman"/>
          <w:sz w:val="22"/>
          <w:szCs w:val="22"/>
        </w:rPr>
        <w:t> </w:t>
      </w:r>
    </w:p>
    <w:p w:rsidR="00A32067" w:rsidRDefault="00A32067">
      <w:pPr>
        <w:pStyle w:val="customunionstyle"/>
        <w:spacing w:line="360" w:lineRule="exact"/>
        <w:rPr>
          <w:rFonts w:ascii="Times New Roman" w:hAnsi="Times New Roman" w:cs="Times New Roman"/>
          <w:sz w:val="22"/>
          <w:szCs w:val="22"/>
        </w:rPr>
      </w:pPr>
      <w:r>
        <w:rPr>
          <w:rFonts w:ascii="Times New Roman" w:hAnsi="Times New Roman" w:cs="Times New Roman"/>
          <w:sz w:val="22"/>
          <w:szCs w:val="22"/>
        </w:rPr>
        <w:t> </w:t>
      </w:r>
      <w:r>
        <w:rPr>
          <w:rFonts w:ascii="Times New Roman" w:hAnsi="Times New Roman" w:hint="eastAsia"/>
          <w:sz w:val="22"/>
          <w:szCs w:val="22"/>
        </w:rPr>
        <w:t xml:space="preserve">　　</w:t>
      </w:r>
    </w:p>
    <w:p w:rsidR="00A32067" w:rsidRDefault="00A32067">
      <w:pPr>
        <w:pStyle w:val="customunionstyle"/>
        <w:spacing w:line="360" w:lineRule="exact"/>
        <w:rPr>
          <w:rFonts w:ascii="Times New Roman" w:hAnsi="Times New Roman" w:cs="Times New Roman"/>
          <w:sz w:val="22"/>
          <w:szCs w:val="22"/>
        </w:rPr>
      </w:pPr>
    </w:p>
    <w:p w:rsidR="00A32067" w:rsidRDefault="00A32067">
      <w:pPr>
        <w:pStyle w:val="customunionstyle"/>
        <w:spacing w:line="360" w:lineRule="exact"/>
        <w:rPr>
          <w:rFonts w:ascii="Times New Roman" w:hAnsi="Times New Roman" w:cs="Times New Roman"/>
          <w:sz w:val="22"/>
          <w:szCs w:val="22"/>
        </w:rPr>
      </w:pPr>
    </w:p>
    <w:p w:rsidR="00A32067" w:rsidRDefault="00A32067">
      <w:pPr>
        <w:pStyle w:val="customunionstyle"/>
        <w:spacing w:line="360" w:lineRule="exact"/>
        <w:rPr>
          <w:rFonts w:ascii="Times New Roman" w:hAnsi="Times New Roman" w:cs="Times New Roman"/>
          <w:b/>
          <w:bCs/>
        </w:rPr>
      </w:pPr>
      <w:r>
        <w:rPr>
          <w:rFonts w:ascii="Times New Roman" w:hAnsi="Times New Roman" w:hint="eastAsia"/>
          <w:b/>
          <w:bCs/>
        </w:rPr>
        <w:t>附件</w:t>
      </w:r>
      <w:r>
        <w:rPr>
          <w:rFonts w:ascii="Times New Roman" w:hAnsi="Times New Roman" w:cs="Times New Roman"/>
          <w:b/>
          <w:bCs/>
        </w:rPr>
        <w:t>2 </w:t>
      </w:r>
    </w:p>
    <w:p w:rsidR="00A32067" w:rsidRDefault="00A32067">
      <w:pPr>
        <w:pStyle w:val="customunionstyle"/>
        <w:spacing w:line="360" w:lineRule="exact"/>
        <w:jc w:val="center"/>
        <w:rPr>
          <w:rStyle w:val="Strong"/>
          <w:rFonts w:ascii="Times New Roman" w:hAnsi="Times New Roman" w:cs="Times New Roman"/>
        </w:rPr>
      </w:pPr>
      <w:r>
        <w:rPr>
          <w:rFonts w:ascii="Times New Roman" w:eastAsia="微软雅黑" w:hAnsi="Times New Roman" w:cs="微软雅黑" w:hint="eastAsia"/>
        </w:rPr>
        <w:t xml:space="preserve">　　</w:t>
      </w:r>
      <w:r>
        <w:rPr>
          <w:rStyle w:val="Strong"/>
          <w:rFonts w:ascii="Times New Roman" w:hAnsi="Times New Roman" w:hint="eastAsia"/>
        </w:rPr>
        <w:t>对小微企业免征的行政事业性收费项目</w:t>
      </w:r>
      <w:r>
        <w:rPr>
          <w:rStyle w:val="Strong"/>
          <w:rFonts w:ascii="Times New Roman" w:hAnsi="Times New Roman" w:cs="Times New Roman"/>
        </w:rPr>
        <w:t> </w:t>
      </w:r>
    </w:p>
    <w:p w:rsidR="00A32067" w:rsidRDefault="00A32067">
      <w:pPr>
        <w:pStyle w:val="customunionstyle"/>
        <w:spacing w:line="360" w:lineRule="exact"/>
        <w:jc w:val="center"/>
        <w:rPr>
          <w:rStyle w:val="Strong"/>
          <w:rFonts w:ascii="Times New Roman" w:hAnsi="Times New Roman" w:cs="Times New Roman"/>
        </w:rPr>
      </w:pPr>
      <w:r>
        <w:rPr>
          <w:rStyle w:val="Strong"/>
          <w:rFonts w:ascii="Times New Roman" w:eastAsia="微软雅黑" w:hAnsi="Times New Roman" w:cs="微软雅黑" w:hint="eastAsia"/>
        </w:rPr>
        <w:t xml:space="preserve">　　</w:t>
      </w:r>
      <w:r>
        <w:rPr>
          <w:rStyle w:val="Strong"/>
          <w:rFonts w:ascii="Times New Roman" w:hAnsi="Times New Roman" w:hint="eastAsia"/>
        </w:rPr>
        <w:t>（共</w:t>
      </w:r>
      <w:r>
        <w:rPr>
          <w:rStyle w:val="Strong"/>
          <w:rFonts w:ascii="Times New Roman" w:hAnsi="Times New Roman" w:cs="Times New Roman"/>
        </w:rPr>
        <w:t>42</w:t>
      </w:r>
      <w:r>
        <w:rPr>
          <w:rStyle w:val="Strong"/>
          <w:rFonts w:ascii="Times New Roman" w:hAnsi="Times New Roman" w:hint="eastAsia"/>
        </w:rPr>
        <w:t>项）</w:t>
      </w:r>
      <w:r>
        <w:rPr>
          <w:rStyle w:val="Strong"/>
          <w:rFonts w:ascii="Times New Roman" w:hAnsi="Times New Roman" w:cs="Times New Roman"/>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eastAsia="微软雅黑" w:hAnsi="Times New Roman" w:cs="微软雅黑" w:hint="eastAsia"/>
        </w:rPr>
        <w:t xml:space="preserve">　</w:t>
      </w:r>
      <w:r>
        <w:rPr>
          <w:rStyle w:val="Strong"/>
          <w:rFonts w:ascii="Times New Roman" w:eastAsia="微软雅黑" w:hAnsi="Times New Roman" w:cs="微软雅黑" w:hint="eastAsia"/>
        </w:rPr>
        <w:t xml:space="preserve">　</w:t>
      </w:r>
      <w:r>
        <w:rPr>
          <w:rStyle w:val="Strong"/>
          <w:rFonts w:ascii="Times New Roman" w:hAnsi="Times New Roman" w:hint="eastAsia"/>
          <w:sz w:val="22"/>
          <w:szCs w:val="22"/>
        </w:rPr>
        <w:t>国土资源部门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w:t>
      </w:r>
      <w:r>
        <w:rPr>
          <w:rFonts w:ascii="Times New Roman" w:hAnsi="Times New Roman" w:hint="eastAsia"/>
          <w:sz w:val="22"/>
          <w:szCs w:val="22"/>
        </w:rPr>
        <w:t>．土地登记费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住房城乡建设部门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w:t>
      </w:r>
      <w:r>
        <w:rPr>
          <w:rFonts w:ascii="Times New Roman" w:hAnsi="Times New Roman" w:hint="eastAsia"/>
          <w:sz w:val="22"/>
          <w:szCs w:val="22"/>
        </w:rPr>
        <w:t>．房屋登记费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w:t>
      </w:r>
      <w:r>
        <w:rPr>
          <w:rFonts w:ascii="Times New Roman" w:hAnsi="Times New Roman" w:hint="eastAsia"/>
          <w:sz w:val="22"/>
          <w:szCs w:val="22"/>
        </w:rPr>
        <w:t>．住房交易手续费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交通运输部门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w:t>
      </w:r>
      <w:r>
        <w:rPr>
          <w:rFonts w:ascii="Times New Roman" w:hAnsi="Times New Roman" w:hint="eastAsia"/>
          <w:sz w:val="22"/>
          <w:szCs w:val="22"/>
        </w:rPr>
        <w:t>．船舶港务费（对</w:t>
      </w:r>
      <w:r>
        <w:rPr>
          <w:rFonts w:ascii="Times New Roman" w:hAnsi="Times New Roman" w:cs="Times New Roman"/>
          <w:sz w:val="22"/>
          <w:szCs w:val="22"/>
        </w:rPr>
        <w:t>100</w:t>
      </w:r>
      <w:r>
        <w:rPr>
          <w:rFonts w:ascii="Times New Roman" w:hAnsi="Times New Roman" w:hint="eastAsia"/>
          <w:sz w:val="22"/>
          <w:szCs w:val="22"/>
        </w:rPr>
        <w:t>总吨以下内河船和</w:t>
      </w:r>
      <w:r>
        <w:rPr>
          <w:rFonts w:ascii="Times New Roman" w:hAnsi="Times New Roman" w:cs="Times New Roman"/>
          <w:sz w:val="22"/>
          <w:szCs w:val="22"/>
        </w:rPr>
        <w:t>500</w:t>
      </w:r>
      <w:r>
        <w:rPr>
          <w:rFonts w:ascii="Times New Roman" w:hAnsi="Times New Roman" w:hint="eastAsia"/>
          <w:sz w:val="22"/>
          <w:szCs w:val="22"/>
        </w:rPr>
        <w:t>总吨以下海船予以免收）</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5</w:t>
      </w:r>
      <w:r>
        <w:rPr>
          <w:rFonts w:ascii="Times New Roman" w:hAnsi="Times New Roman" w:hint="eastAsia"/>
          <w:sz w:val="22"/>
          <w:szCs w:val="22"/>
        </w:rPr>
        <w:t>．船舶登记费（对</w:t>
      </w:r>
      <w:r>
        <w:rPr>
          <w:rFonts w:ascii="Times New Roman" w:hAnsi="Times New Roman" w:cs="Times New Roman"/>
          <w:sz w:val="22"/>
          <w:szCs w:val="22"/>
        </w:rPr>
        <w:t>100</w:t>
      </w:r>
      <w:r>
        <w:rPr>
          <w:rFonts w:ascii="Times New Roman" w:hAnsi="Times New Roman" w:hint="eastAsia"/>
          <w:sz w:val="22"/>
          <w:szCs w:val="22"/>
        </w:rPr>
        <w:t>总吨以下内河船和</w:t>
      </w:r>
      <w:r>
        <w:rPr>
          <w:rFonts w:ascii="Times New Roman" w:hAnsi="Times New Roman" w:cs="Times New Roman"/>
          <w:sz w:val="22"/>
          <w:szCs w:val="22"/>
        </w:rPr>
        <w:t>500</w:t>
      </w:r>
      <w:r>
        <w:rPr>
          <w:rFonts w:ascii="Times New Roman" w:hAnsi="Times New Roman" w:hint="eastAsia"/>
          <w:sz w:val="22"/>
          <w:szCs w:val="22"/>
        </w:rPr>
        <w:t>总吨以下海船予以免收）</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6</w:t>
      </w:r>
      <w:r>
        <w:rPr>
          <w:rFonts w:ascii="Times New Roman" w:hAnsi="Times New Roman" w:hint="eastAsia"/>
          <w:sz w:val="22"/>
          <w:szCs w:val="22"/>
        </w:rPr>
        <w:t>．沿海港口和长江干线船舶引航收费（对</w:t>
      </w:r>
      <w:r>
        <w:rPr>
          <w:rFonts w:ascii="Times New Roman" w:hAnsi="Times New Roman" w:cs="Times New Roman"/>
          <w:sz w:val="22"/>
          <w:szCs w:val="22"/>
        </w:rPr>
        <w:t>100</w:t>
      </w:r>
      <w:r>
        <w:rPr>
          <w:rFonts w:ascii="Times New Roman" w:hAnsi="Times New Roman" w:hint="eastAsia"/>
          <w:sz w:val="22"/>
          <w:szCs w:val="22"/>
        </w:rPr>
        <w:t>总吨以下内河船和</w:t>
      </w:r>
      <w:r>
        <w:rPr>
          <w:rFonts w:ascii="Times New Roman" w:hAnsi="Times New Roman" w:cs="Times New Roman"/>
          <w:sz w:val="22"/>
          <w:szCs w:val="22"/>
        </w:rPr>
        <w:t>500</w:t>
      </w:r>
      <w:r>
        <w:rPr>
          <w:rFonts w:ascii="Times New Roman" w:hAnsi="Times New Roman" w:hint="eastAsia"/>
          <w:sz w:val="22"/>
          <w:szCs w:val="22"/>
        </w:rPr>
        <w:t>总吨以下海船予以免收）</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 xml:space="preserve">　农业部门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7</w:t>
      </w:r>
      <w:r>
        <w:rPr>
          <w:rFonts w:ascii="Times New Roman" w:hAnsi="Times New Roman" w:hint="eastAsia"/>
          <w:sz w:val="22"/>
          <w:szCs w:val="22"/>
        </w:rPr>
        <w:t>．国内植物检疫费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8</w:t>
      </w:r>
      <w:r>
        <w:rPr>
          <w:rFonts w:ascii="Times New Roman" w:hAnsi="Times New Roman" w:hint="eastAsia"/>
          <w:sz w:val="22"/>
          <w:szCs w:val="22"/>
        </w:rPr>
        <w:t>．动物及动物产品检疫费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9</w:t>
      </w:r>
      <w:r>
        <w:rPr>
          <w:rFonts w:ascii="Times New Roman" w:hAnsi="Times New Roman" w:hint="eastAsia"/>
          <w:sz w:val="22"/>
          <w:szCs w:val="22"/>
        </w:rPr>
        <w:t>．新兽药审批费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10</w:t>
      </w:r>
      <w:r>
        <w:rPr>
          <w:rFonts w:ascii="Times New Roman" w:hAnsi="Times New Roman" w:hint="eastAsia"/>
          <w:sz w:val="22"/>
          <w:szCs w:val="22"/>
        </w:rPr>
        <w:t>．《进口兽药许可证》审批费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11</w:t>
      </w:r>
      <w:r>
        <w:rPr>
          <w:rFonts w:ascii="Times New Roman" w:hAnsi="Times New Roman" w:hint="eastAsia"/>
          <w:sz w:val="22"/>
          <w:szCs w:val="22"/>
        </w:rPr>
        <w:t>．《兽药典》、《兽药规范》和兽药专业标准收载品种生产审批费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12</w:t>
      </w:r>
      <w:r>
        <w:rPr>
          <w:rFonts w:ascii="Times New Roman" w:hAnsi="Times New Roman" w:hint="eastAsia"/>
          <w:sz w:val="22"/>
          <w:szCs w:val="22"/>
        </w:rPr>
        <w:t>．已生产兽药品种注册登记费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13</w:t>
      </w:r>
      <w:r>
        <w:rPr>
          <w:rFonts w:ascii="Times New Roman" w:hAnsi="Times New Roman" w:hint="eastAsia"/>
          <w:sz w:val="22"/>
          <w:szCs w:val="22"/>
        </w:rPr>
        <w:t>．拖拉机号牌（含号牌架、固定封装置）费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14</w:t>
      </w:r>
      <w:r>
        <w:rPr>
          <w:rFonts w:ascii="Times New Roman" w:hAnsi="Times New Roman" w:hint="eastAsia"/>
          <w:sz w:val="22"/>
          <w:szCs w:val="22"/>
        </w:rPr>
        <w:t>．拖拉机行驶证费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15</w:t>
      </w:r>
      <w:r>
        <w:rPr>
          <w:rFonts w:ascii="Times New Roman" w:hAnsi="Times New Roman" w:hint="eastAsia"/>
          <w:sz w:val="22"/>
          <w:szCs w:val="22"/>
        </w:rPr>
        <w:t>．拖拉机登记证费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16</w:t>
      </w:r>
      <w:r>
        <w:rPr>
          <w:rFonts w:ascii="Times New Roman" w:hAnsi="Times New Roman" w:hint="eastAsia"/>
          <w:sz w:val="22"/>
          <w:szCs w:val="22"/>
        </w:rPr>
        <w:t>．拖拉机驾驶证费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17</w:t>
      </w:r>
      <w:r>
        <w:rPr>
          <w:rFonts w:ascii="Times New Roman" w:hAnsi="Times New Roman" w:hint="eastAsia"/>
          <w:sz w:val="22"/>
          <w:szCs w:val="22"/>
        </w:rPr>
        <w:t>．拖拉机安全技术检验费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18</w:t>
      </w:r>
      <w:r>
        <w:rPr>
          <w:rFonts w:ascii="Times New Roman" w:hAnsi="Times New Roman" w:hint="eastAsia"/>
          <w:sz w:val="22"/>
          <w:szCs w:val="22"/>
        </w:rPr>
        <w:t>．拖拉机驾驶许可考试费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19</w:t>
      </w:r>
      <w:r>
        <w:rPr>
          <w:rFonts w:ascii="Times New Roman" w:hAnsi="Times New Roman" w:hint="eastAsia"/>
          <w:sz w:val="22"/>
          <w:szCs w:val="22"/>
        </w:rPr>
        <w:t>．渔业资源增殖保护费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20</w:t>
      </w:r>
      <w:r>
        <w:rPr>
          <w:rFonts w:ascii="Times New Roman" w:hAnsi="Times New Roman" w:hint="eastAsia"/>
          <w:sz w:val="22"/>
          <w:szCs w:val="22"/>
        </w:rPr>
        <w:t>．渔业船舶登记（含变更登记）费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质量监督检验检疫部门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21</w:t>
      </w:r>
      <w:r>
        <w:rPr>
          <w:rFonts w:ascii="Times New Roman" w:hAnsi="Times New Roman" w:hint="eastAsia"/>
          <w:sz w:val="22"/>
          <w:szCs w:val="22"/>
        </w:rPr>
        <w:t>．组织机构代码证书收费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22</w:t>
      </w:r>
      <w:r>
        <w:rPr>
          <w:rFonts w:ascii="Times New Roman" w:hAnsi="Times New Roman" w:hint="eastAsia"/>
          <w:sz w:val="22"/>
          <w:szCs w:val="22"/>
        </w:rPr>
        <w:t>．社会公用计量标准证书费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23</w:t>
      </w:r>
      <w:r>
        <w:rPr>
          <w:rFonts w:ascii="Times New Roman" w:hAnsi="Times New Roman" w:hint="eastAsia"/>
          <w:sz w:val="22"/>
          <w:szCs w:val="22"/>
        </w:rPr>
        <w:t>．标准物质定级证书费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24</w:t>
      </w:r>
      <w:r>
        <w:rPr>
          <w:rFonts w:ascii="Times New Roman" w:hAnsi="Times New Roman" w:hint="eastAsia"/>
          <w:sz w:val="22"/>
          <w:szCs w:val="22"/>
        </w:rPr>
        <w:t>．国内计量器具新产品型式批准证书费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25</w:t>
      </w:r>
      <w:r>
        <w:rPr>
          <w:rFonts w:ascii="Times New Roman" w:hAnsi="Times New Roman" w:hint="eastAsia"/>
          <w:sz w:val="22"/>
          <w:szCs w:val="22"/>
        </w:rPr>
        <w:t>．修理计量器具许可证考核费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26</w:t>
      </w:r>
      <w:r>
        <w:rPr>
          <w:rFonts w:ascii="Times New Roman" w:hAnsi="Times New Roman" w:hint="eastAsia"/>
          <w:sz w:val="22"/>
          <w:szCs w:val="22"/>
        </w:rPr>
        <w:t>．计量考评员证书费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27</w:t>
      </w:r>
      <w:r>
        <w:rPr>
          <w:rFonts w:ascii="Times New Roman" w:hAnsi="Times New Roman" w:hint="eastAsia"/>
          <w:sz w:val="22"/>
          <w:szCs w:val="22"/>
        </w:rPr>
        <w:t>．计量考评员考核费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28</w:t>
      </w:r>
      <w:r>
        <w:rPr>
          <w:rFonts w:ascii="Times New Roman" w:hAnsi="Times New Roman" w:hint="eastAsia"/>
          <w:sz w:val="22"/>
          <w:szCs w:val="22"/>
        </w:rPr>
        <w:t>．计量授权考核费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环保部门</w:t>
      </w:r>
      <w:r>
        <w:rPr>
          <w:rStyle w:val="Strong"/>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29</w:t>
      </w:r>
      <w:r>
        <w:rPr>
          <w:rFonts w:ascii="Times New Roman" w:hAnsi="Times New Roman" w:hint="eastAsia"/>
          <w:sz w:val="22"/>
          <w:szCs w:val="22"/>
        </w:rPr>
        <w:t>．环境监测服务费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新闻出版部门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30</w:t>
      </w:r>
      <w:r>
        <w:rPr>
          <w:rFonts w:ascii="Times New Roman" w:hAnsi="Times New Roman" w:hint="eastAsia"/>
          <w:sz w:val="22"/>
          <w:szCs w:val="22"/>
        </w:rPr>
        <w:t>．计算机软件著作权登记费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林业部门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31</w:t>
      </w:r>
      <w:r>
        <w:rPr>
          <w:rFonts w:ascii="Times New Roman" w:hAnsi="Times New Roman" w:hint="eastAsia"/>
          <w:sz w:val="22"/>
          <w:szCs w:val="22"/>
        </w:rPr>
        <w:t>．森林植物检疫费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32</w:t>
      </w:r>
      <w:r>
        <w:rPr>
          <w:rFonts w:ascii="Times New Roman" w:hAnsi="Times New Roman" w:hint="eastAsia"/>
          <w:sz w:val="22"/>
          <w:szCs w:val="22"/>
        </w:rPr>
        <w:t>．林权勘测费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33</w:t>
      </w:r>
      <w:r>
        <w:rPr>
          <w:rFonts w:ascii="Times New Roman" w:hAnsi="Times New Roman" w:hint="eastAsia"/>
          <w:sz w:val="22"/>
          <w:szCs w:val="22"/>
        </w:rPr>
        <w:t>．林权证工本费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食品药品监督管理部门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34</w:t>
      </w:r>
      <w:r>
        <w:rPr>
          <w:rFonts w:ascii="Times New Roman" w:hAnsi="Times New Roman" w:hint="eastAsia"/>
          <w:sz w:val="22"/>
          <w:szCs w:val="22"/>
        </w:rPr>
        <w:t>．已生产药品登记费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35</w:t>
      </w:r>
      <w:r>
        <w:rPr>
          <w:rFonts w:ascii="Times New Roman" w:hAnsi="Times New Roman" w:hint="eastAsia"/>
          <w:sz w:val="22"/>
          <w:szCs w:val="22"/>
        </w:rPr>
        <w:t>．药品行政保护费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36</w:t>
      </w:r>
      <w:r>
        <w:rPr>
          <w:rFonts w:ascii="Times New Roman" w:hAnsi="Times New Roman" w:hint="eastAsia"/>
          <w:sz w:val="22"/>
          <w:szCs w:val="22"/>
        </w:rPr>
        <w:t>．生产药典、标准品种审批费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37</w:t>
      </w:r>
      <w:r>
        <w:rPr>
          <w:rFonts w:ascii="Times New Roman" w:hAnsi="Times New Roman" w:hint="eastAsia"/>
          <w:sz w:val="22"/>
          <w:szCs w:val="22"/>
        </w:rPr>
        <w:t>．中药品种保护费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38</w:t>
      </w:r>
      <w:r>
        <w:rPr>
          <w:rFonts w:ascii="Times New Roman" w:hAnsi="Times New Roman" w:hint="eastAsia"/>
          <w:sz w:val="22"/>
          <w:szCs w:val="22"/>
        </w:rPr>
        <w:t>．新药审批费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39</w:t>
      </w:r>
      <w:r>
        <w:rPr>
          <w:rFonts w:ascii="Times New Roman" w:hAnsi="Times New Roman" w:hint="eastAsia"/>
          <w:sz w:val="22"/>
          <w:szCs w:val="22"/>
        </w:rPr>
        <w:t>．新药开发评审费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Style w:val="Strong"/>
          <w:rFonts w:ascii="Times New Roman" w:hAnsi="Times New Roman" w:hint="eastAsia"/>
          <w:sz w:val="22"/>
          <w:szCs w:val="22"/>
        </w:rPr>
        <w:t>旅游部门</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40</w:t>
      </w:r>
      <w:r>
        <w:rPr>
          <w:rFonts w:ascii="Times New Roman" w:hAnsi="Times New Roman" w:hint="eastAsia"/>
          <w:sz w:val="22"/>
          <w:szCs w:val="22"/>
        </w:rPr>
        <w:t>．星级标牌（含星级证书）工本费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41</w:t>
      </w:r>
      <w:r>
        <w:rPr>
          <w:rFonts w:ascii="Times New Roman" w:hAnsi="Times New Roman" w:hint="eastAsia"/>
          <w:sz w:val="22"/>
          <w:szCs w:val="22"/>
        </w:rPr>
        <w:t>．</w:t>
      </w:r>
      <w:r>
        <w:rPr>
          <w:rFonts w:ascii="Times New Roman" w:hAnsi="Times New Roman" w:cs="Times New Roman"/>
          <w:sz w:val="22"/>
          <w:szCs w:val="22"/>
        </w:rPr>
        <w:t>A</w:t>
      </w:r>
      <w:r>
        <w:rPr>
          <w:rFonts w:ascii="Times New Roman" w:hAnsi="Times New Roman" w:hint="eastAsia"/>
          <w:sz w:val="22"/>
          <w:szCs w:val="22"/>
        </w:rPr>
        <w:t>级旅游景区标牌（含证书）工本费</w:t>
      </w:r>
      <w:r>
        <w:rPr>
          <w:rFonts w:ascii="Times New Roman" w:hAnsi="Times New Roman" w:cs="Times New Roman"/>
          <w:sz w:val="22"/>
          <w:szCs w:val="22"/>
        </w:rPr>
        <w:t> </w:t>
      </w:r>
    </w:p>
    <w:p w:rsidR="00A32067" w:rsidRDefault="00A32067">
      <w:pPr>
        <w:pStyle w:val="customunionstyle"/>
        <w:spacing w:before="0" w:beforeAutospacing="0" w:after="0" w:afterAutospacing="0" w:line="50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cs="Times New Roman"/>
          <w:sz w:val="22"/>
          <w:szCs w:val="22"/>
        </w:rPr>
        <w:t>42</w:t>
      </w:r>
      <w:r>
        <w:rPr>
          <w:rFonts w:ascii="Times New Roman" w:hAnsi="Times New Roman" w:hint="eastAsia"/>
          <w:sz w:val="22"/>
          <w:szCs w:val="22"/>
        </w:rPr>
        <w:t>．工农业旅游示范点标牌（含证书）工本费</w:t>
      </w:r>
      <w:r>
        <w:rPr>
          <w:rFonts w:ascii="Times New Roman" w:hAnsi="Times New Roman" w:cs="Times New Roman"/>
          <w:sz w:val="22"/>
          <w:szCs w:val="22"/>
        </w:rPr>
        <w:t> </w:t>
      </w:r>
    </w:p>
    <w:p w:rsidR="00A32067" w:rsidRDefault="00A32067">
      <w:pPr>
        <w:spacing w:line="360" w:lineRule="exact"/>
        <w:rPr>
          <w:sz w:val="24"/>
          <w:szCs w:val="24"/>
        </w:rPr>
      </w:pPr>
    </w:p>
    <w:p w:rsidR="00A32067" w:rsidRDefault="00A32067">
      <w:pPr>
        <w:rPr>
          <w:sz w:val="24"/>
          <w:szCs w:val="24"/>
        </w:rPr>
      </w:pPr>
    </w:p>
    <w:p w:rsidR="00A32067" w:rsidRDefault="00A32067">
      <w:pPr>
        <w:rPr>
          <w:sz w:val="24"/>
          <w:szCs w:val="24"/>
        </w:rPr>
      </w:pPr>
    </w:p>
    <w:p w:rsidR="00A32067" w:rsidRDefault="00A32067">
      <w:pPr>
        <w:spacing w:line="360" w:lineRule="auto"/>
        <w:jc w:val="center"/>
        <w:outlineLvl w:val="2"/>
        <w:rPr>
          <w:color w:val="000000"/>
          <w:sz w:val="22"/>
          <w:szCs w:val="22"/>
        </w:rPr>
      </w:pPr>
      <w:bookmarkStart w:id="39" w:name="_Toc519872280"/>
      <w:bookmarkStart w:id="40" w:name="bookmark1"/>
      <w:r>
        <w:rPr>
          <w:rFonts w:cs="宋体" w:hint="eastAsia"/>
          <w:b/>
          <w:bCs/>
          <w:color w:val="000000"/>
          <w:sz w:val="44"/>
          <w:szCs w:val="44"/>
        </w:rPr>
        <w:t>河北省人民政府关于实行征地区片价的通知</w:t>
      </w:r>
      <w:r>
        <w:rPr>
          <w:b/>
          <w:bCs/>
          <w:color w:val="000000"/>
          <w:sz w:val="44"/>
          <w:szCs w:val="44"/>
        </w:rPr>
        <w:br/>
      </w:r>
      <w:r>
        <w:rPr>
          <w:rFonts w:cs="宋体" w:hint="eastAsia"/>
          <w:color w:val="000000"/>
          <w:sz w:val="22"/>
          <w:szCs w:val="22"/>
        </w:rPr>
        <w:t>河北省人民政府文件冀政</w:t>
      </w:r>
      <w:r>
        <w:rPr>
          <w:color w:val="000000"/>
          <w:sz w:val="22"/>
          <w:szCs w:val="22"/>
        </w:rPr>
        <w:t>[2008]132</w:t>
      </w:r>
      <w:r>
        <w:rPr>
          <w:rFonts w:cs="宋体" w:hint="eastAsia"/>
          <w:color w:val="000000"/>
          <w:sz w:val="22"/>
          <w:szCs w:val="22"/>
        </w:rPr>
        <w:t>号</w:t>
      </w:r>
      <w:bookmarkEnd w:id="39"/>
    </w:p>
    <w:p w:rsidR="00A32067" w:rsidRDefault="00A32067">
      <w:pPr>
        <w:jc w:val="center"/>
        <w:outlineLvl w:val="0"/>
        <w:rPr>
          <w:b/>
          <w:bCs/>
          <w:color w:val="000000"/>
          <w:sz w:val="44"/>
          <w:szCs w:val="44"/>
        </w:rPr>
      </w:pPr>
    </w:p>
    <w:bookmarkEnd w:id="40"/>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各设区市人民政府，各县（市、区</w:t>
      </w:r>
      <w:r>
        <w:rPr>
          <w:rFonts w:ascii="Times New Roman" w:hAnsi="Times New Roman" w:cs="Times New Roman"/>
          <w:color w:val="333333"/>
          <w:sz w:val="22"/>
          <w:szCs w:val="22"/>
        </w:rPr>
        <w:t>)</w:t>
      </w:r>
      <w:r>
        <w:rPr>
          <w:rFonts w:ascii="Times New Roman" w:hAnsi="Times New Roman" w:hint="eastAsia"/>
          <w:color w:val="333333"/>
          <w:sz w:val="22"/>
          <w:szCs w:val="22"/>
        </w:rPr>
        <w:t>人民玫府，省政府各部门：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为做好土地征收工作，保障建设用地需要，维护被征地农民合法权益，确保被征地农民原有生活水平不降低、长远生计有保障，根据《国务院关于深化改革严格土地管理的决定》（国发〔</w:t>
      </w:r>
      <w:r>
        <w:rPr>
          <w:rFonts w:ascii="Times New Roman" w:hAnsi="Times New Roman" w:cs="Times New Roman"/>
          <w:color w:val="333333"/>
          <w:sz w:val="22"/>
          <w:szCs w:val="22"/>
        </w:rPr>
        <w:t>2004</w:t>
      </w:r>
      <w:r>
        <w:rPr>
          <w:rFonts w:ascii="Times New Roman" w:hAnsi="Times New Roman" w:hint="eastAsia"/>
          <w:color w:val="333333"/>
          <w:sz w:val="22"/>
          <w:szCs w:val="22"/>
        </w:rPr>
        <w:t>〕</w:t>
      </w:r>
      <w:r>
        <w:rPr>
          <w:rFonts w:ascii="Times New Roman" w:hAnsi="Times New Roman" w:cs="Times New Roman"/>
          <w:color w:val="333333"/>
          <w:sz w:val="22"/>
          <w:szCs w:val="22"/>
        </w:rPr>
        <w:t>28</w:t>
      </w:r>
      <w:r>
        <w:rPr>
          <w:rFonts w:ascii="Times New Roman" w:hAnsi="Times New Roman" w:hint="eastAsia"/>
          <w:color w:val="333333"/>
          <w:sz w:val="22"/>
          <w:szCs w:val="22"/>
        </w:rPr>
        <w:t>号），遵循同地同价的原则，制定了全省征地区片价标准（附后），现予公布，自</w:t>
      </w:r>
      <w:r>
        <w:rPr>
          <w:rFonts w:ascii="Times New Roman" w:hAnsi="Times New Roman" w:cs="Times New Roman"/>
          <w:color w:val="333333"/>
          <w:sz w:val="22"/>
          <w:szCs w:val="22"/>
        </w:rPr>
        <w:t>2009</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 xml:space="preserve">1 </w:t>
      </w:r>
      <w:r>
        <w:rPr>
          <w:rFonts w:ascii="Times New Roman" w:hAnsi="Times New Roman" w:hint="eastAsia"/>
          <w:color w:val="333333"/>
          <w:sz w:val="22"/>
          <w:szCs w:val="22"/>
        </w:rPr>
        <w:t>日起执行。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依法征收集体土地，要按被征土地的区片价乘以被征土地的面积计算土地补偿费。山区未利用地和坝上未利用地按征地区片价的</w:t>
      </w:r>
      <w:r>
        <w:rPr>
          <w:rFonts w:ascii="Times New Roman" w:hAnsi="Times New Roman" w:cs="Times New Roman"/>
          <w:color w:val="333333"/>
          <w:sz w:val="22"/>
          <w:szCs w:val="22"/>
        </w:rPr>
        <w:t>60%</w:t>
      </w:r>
      <w:r>
        <w:rPr>
          <w:rFonts w:ascii="Times New Roman" w:hAnsi="Times New Roman" w:hint="eastAsia"/>
          <w:color w:val="333333"/>
          <w:sz w:val="22"/>
          <w:szCs w:val="22"/>
        </w:rPr>
        <w:t>执行，任何单位和个人不得擅自提高或者降低土地补偿费标准。大中型水利、水电工程建设征地的补偿费标准和移民安置办法，由国务院另行规定，在国务院有关规定出台前，土地补偿费为被征土地所在乡（镇）耕地前三年平均年产值的</w:t>
      </w:r>
      <w:r>
        <w:rPr>
          <w:rFonts w:ascii="Times New Roman" w:hAnsi="Times New Roman" w:cs="Times New Roman"/>
          <w:color w:val="333333"/>
          <w:sz w:val="22"/>
          <w:szCs w:val="22"/>
        </w:rPr>
        <w:t>16</w:t>
      </w:r>
      <w:r>
        <w:rPr>
          <w:rFonts w:ascii="Times New Roman" w:hAnsi="Times New Roman" w:hint="eastAsia"/>
          <w:color w:val="333333"/>
          <w:sz w:val="22"/>
          <w:szCs w:val="22"/>
        </w:rPr>
        <w:t>倍，土地补偿费不能使被征地农民保持原有生活水平、需要提高标准的，由项目法人或者项目主管部门报项目审批或者核准部门批准。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土地补偿费</w:t>
      </w:r>
      <w:r>
        <w:rPr>
          <w:rFonts w:ascii="Times New Roman" w:hAnsi="Times New Roman" w:cs="Times New Roman"/>
          <w:color w:val="333333"/>
          <w:sz w:val="22"/>
          <w:szCs w:val="22"/>
        </w:rPr>
        <w:t>20%</w:t>
      </w:r>
      <w:r>
        <w:rPr>
          <w:rFonts w:ascii="Times New Roman" w:hAnsi="Times New Roman" w:hint="eastAsia"/>
          <w:color w:val="333333"/>
          <w:sz w:val="22"/>
          <w:szCs w:val="22"/>
        </w:rPr>
        <w:t>归集体经济组织，</w:t>
      </w:r>
      <w:r>
        <w:rPr>
          <w:rFonts w:ascii="Times New Roman" w:hAnsi="Times New Roman" w:cs="Times New Roman"/>
          <w:color w:val="333333"/>
          <w:sz w:val="22"/>
          <w:szCs w:val="22"/>
        </w:rPr>
        <w:t>80%</w:t>
      </w:r>
      <w:r>
        <w:rPr>
          <w:rFonts w:ascii="Times New Roman" w:hAnsi="Times New Roman" w:hint="eastAsia"/>
          <w:color w:val="333333"/>
          <w:sz w:val="22"/>
          <w:szCs w:val="22"/>
        </w:rPr>
        <w:t>归被征地的土地使用权人或者按照家庭承包方式承包土地的农户；被征土地没有土地使用权人和集体经济组织未发包以及实行其他方式承包的土地，土地补偿费全部归集体经济组织，由村集体经济组织依法分配或者使用。土地补偿费要及时足额到位，任何单位或者个人不得截留、挪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被征土地上有附着物和青苗的，对地上物和靑苗的所有权人要另行补偿。地上物补偿费标准由各设区市政府制订，青苗补偿费按征地时多季作物的产值计算。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征收农用地报批前，各市、县（市）政府要按照不低于征地区片价</w:t>
      </w:r>
      <w:r>
        <w:rPr>
          <w:rFonts w:ascii="Times New Roman" w:hAnsi="Times New Roman" w:cs="Times New Roman"/>
          <w:color w:val="333333"/>
          <w:sz w:val="22"/>
          <w:szCs w:val="22"/>
        </w:rPr>
        <w:t>10%</w:t>
      </w:r>
      <w:r>
        <w:rPr>
          <w:rFonts w:ascii="Times New Roman" w:hAnsi="Times New Roman" w:hint="eastAsia"/>
          <w:color w:val="333333"/>
          <w:sz w:val="22"/>
          <w:szCs w:val="22"/>
        </w:rPr>
        <w:t>的标准，确定被征地农民的社会保障费，划入本市、县（市、区</w:t>
      </w:r>
      <w:r>
        <w:rPr>
          <w:rFonts w:ascii="Times New Roman" w:hAnsi="Times New Roman" w:cs="Times New Roman"/>
          <w:color w:val="333333"/>
          <w:sz w:val="22"/>
          <w:szCs w:val="22"/>
        </w:rPr>
        <w:t>)</w:t>
      </w:r>
      <w:r>
        <w:rPr>
          <w:rFonts w:ascii="Times New Roman" w:hAnsi="Times New Roman" w:hint="eastAsia"/>
          <w:color w:val="333333"/>
          <w:sz w:val="22"/>
          <w:szCs w:val="22"/>
        </w:rPr>
        <w:t>被征地农民社会保障专用账户，专款用于被征地农民的社会保障。社会保障费到达专用账户后，省、市社会保障行政主管部门要及时出具被征地农民社会保障措施认定文件。社会保障费计入征地成本，以出让方式供地的在土地出让金中列支，以划拨方式供地的在供地时向土地使用者收缴。当所提取的社会保障费达不到参保人缴费需求时，差额部分由当地政府予以解决。</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各市、县（市）政府及其国土资源行政主管部门要广泛宣传征地区片价玫策，认真研究解决实行征地区片价工作中遇到的问题，确保征地区片价政策顺利实施。省政府将根据经济社会发展情况，适时对征地区片价进行修订。</w:t>
      </w:r>
    </w:p>
    <w:p w:rsidR="00A32067" w:rsidRDefault="00A32067">
      <w:pPr>
        <w:spacing w:line="360" w:lineRule="auto"/>
        <w:ind w:right="480"/>
        <w:jc w:val="right"/>
        <w:outlineLvl w:val="0"/>
        <w:rPr>
          <w:sz w:val="22"/>
          <w:szCs w:val="22"/>
          <w:lang w:val="zh-TW"/>
        </w:rPr>
      </w:pPr>
    </w:p>
    <w:p w:rsidR="00A32067" w:rsidRDefault="00A32067">
      <w:pPr>
        <w:spacing w:line="360" w:lineRule="auto"/>
        <w:ind w:right="482"/>
        <w:jc w:val="right"/>
        <w:rPr>
          <w:sz w:val="22"/>
          <w:szCs w:val="22"/>
          <w:lang w:val="zh-TW" w:eastAsia="zh-TW"/>
        </w:rPr>
      </w:pPr>
      <w:r>
        <w:rPr>
          <w:rFonts w:cs="宋体" w:hint="eastAsia"/>
          <w:sz w:val="22"/>
          <w:szCs w:val="22"/>
          <w:lang w:val="zh-TW" w:eastAsia="zh-TW"/>
        </w:rPr>
        <w:t>河北省人民政府</w:t>
      </w:r>
    </w:p>
    <w:p w:rsidR="00A32067" w:rsidRDefault="00A32067">
      <w:pPr>
        <w:spacing w:line="360" w:lineRule="auto"/>
        <w:jc w:val="right"/>
        <w:rPr>
          <w:sz w:val="22"/>
          <w:szCs w:val="22"/>
          <w:lang w:val="zh-TW" w:eastAsia="zh-TW"/>
        </w:rPr>
      </w:pPr>
      <w:r>
        <w:rPr>
          <w:rFonts w:cs="宋体" w:hint="eastAsia"/>
          <w:sz w:val="22"/>
          <w:szCs w:val="22"/>
          <w:lang w:val="zh-TW" w:eastAsia="zh-TW"/>
        </w:rPr>
        <w:t>二〇〇八年十二月三十一日</w:t>
      </w:r>
    </w:p>
    <w:p w:rsidR="00A32067" w:rsidRDefault="00A32067">
      <w:pPr>
        <w:spacing w:line="220" w:lineRule="atLeast"/>
        <w:rPr>
          <w:lang w:eastAsia="zh-TW"/>
        </w:rPr>
      </w:pPr>
    </w:p>
    <w:p w:rsidR="00A32067" w:rsidRDefault="00A32067">
      <w:pPr>
        <w:spacing w:line="360" w:lineRule="auto"/>
        <w:jc w:val="center"/>
        <w:outlineLvl w:val="2"/>
        <w:rPr>
          <w:color w:val="000000"/>
          <w:sz w:val="22"/>
          <w:szCs w:val="22"/>
        </w:rPr>
      </w:pPr>
      <w:bookmarkStart w:id="41" w:name="_Toc519872281"/>
      <w:r>
        <w:rPr>
          <w:rFonts w:cs="宋体" w:hint="eastAsia"/>
          <w:b/>
          <w:bCs/>
          <w:color w:val="000000"/>
          <w:sz w:val="44"/>
          <w:szCs w:val="44"/>
        </w:rPr>
        <w:t>河北省人民政府关于修订征</w:t>
      </w:r>
      <w:r>
        <w:rPr>
          <w:b/>
          <w:bCs/>
          <w:color w:val="000000"/>
          <w:sz w:val="44"/>
          <w:szCs w:val="44"/>
        </w:rPr>
        <w:br/>
      </w:r>
      <w:r>
        <w:rPr>
          <w:rFonts w:cs="宋体" w:hint="eastAsia"/>
          <w:b/>
          <w:bCs/>
          <w:color w:val="000000"/>
          <w:sz w:val="44"/>
          <w:szCs w:val="44"/>
        </w:rPr>
        <w:t>地区片价的通知</w:t>
      </w:r>
      <w:r>
        <w:rPr>
          <w:b/>
          <w:bCs/>
          <w:color w:val="000000"/>
          <w:sz w:val="44"/>
          <w:szCs w:val="44"/>
        </w:rPr>
        <w:br/>
      </w:r>
      <w:r>
        <w:rPr>
          <w:rFonts w:cs="宋体" w:hint="eastAsia"/>
          <w:color w:val="000000"/>
          <w:sz w:val="22"/>
          <w:szCs w:val="22"/>
        </w:rPr>
        <w:t>冀政〔</w:t>
      </w:r>
      <w:r>
        <w:rPr>
          <w:color w:val="000000"/>
          <w:sz w:val="22"/>
          <w:szCs w:val="22"/>
        </w:rPr>
        <w:t>2011</w:t>
      </w:r>
      <w:r>
        <w:rPr>
          <w:rFonts w:cs="宋体" w:hint="eastAsia"/>
          <w:color w:val="000000"/>
          <w:sz w:val="22"/>
          <w:szCs w:val="22"/>
        </w:rPr>
        <w:t>〕</w:t>
      </w:r>
      <w:r>
        <w:rPr>
          <w:color w:val="000000"/>
          <w:sz w:val="22"/>
          <w:szCs w:val="22"/>
        </w:rPr>
        <w:t>141</w:t>
      </w:r>
      <w:r>
        <w:rPr>
          <w:rFonts w:cs="宋体" w:hint="eastAsia"/>
          <w:color w:val="000000"/>
          <w:sz w:val="22"/>
          <w:szCs w:val="22"/>
        </w:rPr>
        <w:t>号</w:t>
      </w:r>
      <w:bookmarkEnd w:id="41"/>
    </w:p>
    <w:p w:rsidR="00A32067" w:rsidRDefault="00A32067">
      <w:pPr>
        <w:spacing w:line="360" w:lineRule="auto"/>
        <w:jc w:val="center"/>
        <w:outlineLvl w:val="1"/>
        <w:rPr>
          <w:color w:val="484848"/>
        </w:rPr>
      </w:pPr>
    </w:p>
    <w:p w:rsidR="00A32067" w:rsidRDefault="00A32067">
      <w:pPr>
        <w:spacing w:line="360" w:lineRule="auto"/>
        <w:rPr>
          <w:b/>
          <w:bCs/>
          <w:color w:val="000000"/>
          <w:sz w:val="44"/>
          <w:szCs w:val="44"/>
        </w:rPr>
      </w:pPr>
      <w:r>
        <w:rPr>
          <w:rFonts w:cs="宋体" w:hint="eastAsia"/>
          <w:color w:val="333333"/>
          <w:sz w:val="22"/>
          <w:szCs w:val="22"/>
        </w:rPr>
        <w:t>各设区市人民政府，各县（市、区）人民政府，省政府各部门：</w:t>
      </w:r>
      <w:r>
        <w:rPr>
          <w:color w:val="333333"/>
          <w:sz w:val="22"/>
          <w:szCs w:val="22"/>
        </w:rPr>
        <w:br/>
      </w:r>
      <w:r>
        <w:rPr>
          <w:rFonts w:cs="宋体" w:hint="eastAsia"/>
          <w:color w:val="333333"/>
          <w:sz w:val="22"/>
          <w:szCs w:val="22"/>
        </w:rPr>
        <w:t>为完善征地补偿机制，维护农民合法权益，保障发展建设用地，根据国家有关规定和各地经济社会发展情况，对《河北省人民政府关于实行征地区片价的通知》（冀政〔</w:t>
      </w:r>
      <w:r>
        <w:rPr>
          <w:color w:val="333333"/>
          <w:sz w:val="22"/>
          <w:szCs w:val="22"/>
        </w:rPr>
        <w:t>2008</w:t>
      </w:r>
      <w:r>
        <w:rPr>
          <w:rFonts w:cs="宋体" w:hint="eastAsia"/>
          <w:color w:val="333333"/>
          <w:sz w:val="22"/>
          <w:szCs w:val="22"/>
        </w:rPr>
        <w:t>〕</w:t>
      </w:r>
      <w:r>
        <w:rPr>
          <w:color w:val="333333"/>
          <w:sz w:val="22"/>
          <w:szCs w:val="22"/>
        </w:rPr>
        <w:t>132</w:t>
      </w:r>
      <w:r>
        <w:rPr>
          <w:rFonts w:cs="宋体" w:hint="eastAsia"/>
          <w:color w:val="333333"/>
          <w:sz w:val="22"/>
          <w:szCs w:val="22"/>
        </w:rPr>
        <w:t>号）确定的全省征地区片价标准进行了修订，现予公布，自</w:t>
      </w:r>
      <w:r>
        <w:rPr>
          <w:color w:val="333333"/>
          <w:sz w:val="22"/>
          <w:szCs w:val="22"/>
        </w:rPr>
        <w:t>2012</w:t>
      </w:r>
      <w:r>
        <w:rPr>
          <w:rFonts w:cs="宋体" w:hint="eastAsia"/>
          <w:color w:val="333333"/>
          <w:sz w:val="22"/>
          <w:szCs w:val="22"/>
        </w:rPr>
        <w:t>年</w:t>
      </w:r>
      <w:r>
        <w:rPr>
          <w:color w:val="333333"/>
          <w:sz w:val="22"/>
          <w:szCs w:val="22"/>
        </w:rPr>
        <w:t>1</w:t>
      </w:r>
      <w:r>
        <w:rPr>
          <w:rFonts w:cs="宋体" w:hint="eastAsia"/>
          <w:color w:val="333333"/>
          <w:sz w:val="22"/>
          <w:szCs w:val="22"/>
        </w:rPr>
        <w:t>月</w:t>
      </w:r>
      <w:r>
        <w:rPr>
          <w:color w:val="333333"/>
          <w:sz w:val="22"/>
          <w:szCs w:val="22"/>
        </w:rPr>
        <w:t>1</w:t>
      </w:r>
      <w:r>
        <w:rPr>
          <w:rFonts w:cs="宋体" w:hint="eastAsia"/>
          <w:color w:val="333333"/>
          <w:sz w:val="22"/>
          <w:szCs w:val="22"/>
        </w:rPr>
        <w:t>日起执行。</w:t>
      </w:r>
    </w:p>
    <w:p w:rsidR="00A32067" w:rsidRDefault="00A32067" w:rsidP="005431C7">
      <w:pPr>
        <w:pStyle w:val="NormalWeb"/>
        <w:shd w:val="clear" w:color="auto" w:fill="FFFFFF"/>
        <w:spacing w:before="0" w:beforeAutospacing="0" w:after="0" w:afterAutospacing="0" w:line="360" w:lineRule="auto"/>
        <w:ind w:firstLineChars="1650" w:firstLine="31680"/>
        <w:outlineLvl w:val="0"/>
        <w:rPr>
          <w:rFonts w:ascii="Times New Roman" w:hAnsi="Times New Roman" w:cs="Times New Roman"/>
          <w:color w:val="333333"/>
          <w:sz w:val="22"/>
          <w:szCs w:val="22"/>
        </w:rPr>
      </w:pPr>
    </w:p>
    <w:p w:rsidR="00A32067" w:rsidRDefault="00A32067" w:rsidP="005431C7">
      <w:pPr>
        <w:pStyle w:val="NormalWeb"/>
        <w:shd w:val="clear" w:color="auto" w:fill="FFFFFF"/>
        <w:spacing w:before="0" w:beforeAutospacing="0" w:after="0" w:afterAutospacing="0" w:line="360" w:lineRule="auto"/>
        <w:ind w:firstLineChars="1650" w:firstLine="31680"/>
        <w:outlineLvl w:val="0"/>
        <w:rPr>
          <w:rFonts w:ascii="Times New Roman" w:hAnsi="Times New Roman" w:cs="Times New Roman"/>
          <w:color w:val="333333"/>
          <w:sz w:val="22"/>
          <w:szCs w:val="22"/>
        </w:rPr>
      </w:pPr>
    </w:p>
    <w:p w:rsidR="00A32067" w:rsidRDefault="00A32067" w:rsidP="005431C7">
      <w:pPr>
        <w:pStyle w:val="NormalWeb"/>
        <w:shd w:val="clear" w:color="auto" w:fill="FFFFFF"/>
        <w:spacing w:before="0" w:beforeAutospacing="0" w:after="0" w:afterAutospacing="0" w:line="360" w:lineRule="auto"/>
        <w:ind w:firstLineChars="1650" w:firstLine="31680"/>
        <w:outlineLvl w:val="0"/>
        <w:rPr>
          <w:rFonts w:ascii="Times New Roman" w:hAnsi="Times New Roman" w:cs="Times New Roman"/>
          <w:color w:val="333333"/>
          <w:sz w:val="22"/>
          <w:szCs w:val="22"/>
        </w:rPr>
      </w:pPr>
    </w:p>
    <w:p w:rsidR="00A32067" w:rsidRDefault="00A32067" w:rsidP="005431C7">
      <w:pPr>
        <w:pStyle w:val="NormalWeb"/>
        <w:shd w:val="clear" w:color="auto" w:fill="FFFFFF"/>
        <w:spacing w:before="0" w:beforeAutospacing="0" w:after="0" w:afterAutospacing="0" w:line="360" w:lineRule="auto"/>
        <w:ind w:firstLineChars="1650" w:firstLine="31680"/>
        <w:outlineLvl w:val="0"/>
        <w:rPr>
          <w:rFonts w:ascii="Times New Roman" w:hAnsi="Times New Roman" w:cs="Times New Roman"/>
          <w:color w:val="000000"/>
          <w:kern w:val="2"/>
          <w:sz w:val="22"/>
          <w:szCs w:val="22"/>
        </w:rPr>
      </w:pPr>
    </w:p>
    <w:p w:rsidR="00A32067" w:rsidRDefault="00A32067">
      <w:pPr>
        <w:spacing w:line="360" w:lineRule="auto"/>
        <w:jc w:val="center"/>
        <w:outlineLvl w:val="2"/>
        <w:rPr>
          <w:color w:val="000000"/>
          <w:sz w:val="22"/>
          <w:szCs w:val="22"/>
        </w:rPr>
      </w:pPr>
      <w:bookmarkStart w:id="42" w:name="_Toc519872282"/>
      <w:r>
        <w:rPr>
          <w:rFonts w:cs="宋体" w:hint="eastAsia"/>
          <w:b/>
          <w:bCs/>
          <w:color w:val="000000"/>
          <w:sz w:val="44"/>
          <w:szCs w:val="44"/>
        </w:rPr>
        <w:t>河北省人民政府关于修订征</w:t>
      </w:r>
      <w:r>
        <w:rPr>
          <w:b/>
          <w:bCs/>
          <w:color w:val="000000"/>
          <w:sz w:val="44"/>
          <w:szCs w:val="44"/>
        </w:rPr>
        <w:br/>
      </w:r>
      <w:r>
        <w:rPr>
          <w:rFonts w:cs="宋体" w:hint="eastAsia"/>
          <w:b/>
          <w:bCs/>
          <w:color w:val="000000"/>
          <w:sz w:val="44"/>
          <w:szCs w:val="44"/>
        </w:rPr>
        <w:t>地区片价的通知</w:t>
      </w:r>
      <w:r>
        <w:rPr>
          <w:b/>
          <w:bCs/>
          <w:color w:val="000000"/>
          <w:sz w:val="44"/>
          <w:szCs w:val="44"/>
        </w:rPr>
        <w:br/>
      </w:r>
      <w:r>
        <w:rPr>
          <w:rFonts w:cs="宋体" w:hint="eastAsia"/>
          <w:color w:val="000000"/>
          <w:sz w:val="22"/>
          <w:szCs w:val="22"/>
        </w:rPr>
        <w:t>冀政发〔</w:t>
      </w:r>
      <w:r>
        <w:rPr>
          <w:color w:val="000000"/>
          <w:sz w:val="22"/>
          <w:szCs w:val="22"/>
        </w:rPr>
        <w:t>2015</w:t>
      </w:r>
      <w:r>
        <w:rPr>
          <w:rFonts w:cs="宋体" w:hint="eastAsia"/>
          <w:color w:val="000000"/>
          <w:sz w:val="22"/>
          <w:szCs w:val="22"/>
        </w:rPr>
        <w:t>〕</w:t>
      </w:r>
      <w:r>
        <w:rPr>
          <w:color w:val="000000"/>
          <w:sz w:val="22"/>
          <w:szCs w:val="22"/>
        </w:rPr>
        <w:t>28</w:t>
      </w:r>
      <w:r>
        <w:rPr>
          <w:rFonts w:cs="宋体" w:hint="eastAsia"/>
          <w:color w:val="000000"/>
          <w:sz w:val="22"/>
          <w:szCs w:val="22"/>
        </w:rPr>
        <w:t>号</w:t>
      </w:r>
      <w:bookmarkEnd w:id="42"/>
    </w:p>
    <w:p w:rsidR="00A32067" w:rsidRDefault="00A32067">
      <w:pPr>
        <w:jc w:val="center"/>
        <w:outlineLvl w:val="0"/>
        <w:rPr>
          <w:b/>
          <w:bCs/>
          <w:color w:val="000000"/>
          <w:sz w:val="44"/>
          <w:szCs w:val="44"/>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各设区市人民政府，各县（市、区）人民政府，省政府各部门：</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333333"/>
          <w:sz w:val="22"/>
          <w:szCs w:val="22"/>
        </w:rPr>
      </w:pPr>
      <w:r>
        <w:rPr>
          <w:rFonts w:ascii="Times New Roman" w:hAnsi="Times New Roman" w:hint="eastAsia"/>
          <w:color w:val="333333"/>
          <w:sz w:val="22"/>
          <w:szCs w:val="22"/>
        </w:rPr>
        <w:t xml:space="preserve">　　为维护农民合法权益，保障发展建设用地，根据国家有关规定和各地经济社会发展情况，对《河北省人民政府关于修订征地区片价的通知》（冀政〔</w:t>
      </w:r>
      <w:r>
        <w:rPr>
          <w:rFonts w:ascii="Times New Roman" w:hAnsi="Times New Roman" w:cs="Times New Roman"/>
          <w:color w:val="333333"/>
          <w:sz w:val="22"/>
          <w:szCs w:val="22"/>
        </w:rPr>
        <w:t>2011</w:t>
      </w:r>
      <w:r>
        <w:rPr>
          <w:rFonts w:ascii="Times New Roman" w:hAnsi="Times New Roman" w:hint="eastAsia"/>
          <w:color w:val="333333"/>
          <w:sz w:val="22"/>
          <w:szCs w:val="22"/>
        </w:rPr>
        <w:t>〕</w:t>
      </w:r>
      <w:r>
        <w:rPr>
          <w:rFonts w:ascii="Times New Roman" w:hAnsi="Times New Roman" w:cs="Times New Roman"/>
          <w:color w:val="333333"/>
          <w:sz w:val="22"/>
          <w:szCs w:val="22"/>
        </w:rPr>
        <w:t>141</w:t>
      </w:r>
      <w:r>
        <w:rPr>
          <w:rFonts w:ascii="Times New Roman" w:hAnsi="Times New Roman" w:hint="eastAsia"/>
          <w:color w:val="333333"/>
          <w:sz w:val="22"/>
          <w:szCs w:val="22"/>
        </w:rPr>
        <w:t>号）确定的全省征地区片价标准进行了修订，现予公布，自</w:t>
      </w:r>
      <w:r>
        <w:rPr>
          <w:rFonts w:ascii="Times New Roman" w:hAnsi="Times New Roman" w:cs="Times New Roman"/>
          <w:color w:val="333333"/>
          <w:sz w:val="22"/>
          <w:szCs w:val="22"/>
        </w:rPr>
        <w:t>2015</w:t>
      </w:r>
      <w:r>
        <w:rPr>
          <w:rFonts w:ascii="Times New Roman" w:hAnsi="Times New Roman" w:hint="eastAsia"/>
          <w:color w:val="333333"/>
          <w:sz w:val="22"/>
          <w:szCs w:val="22"/>
        </w:rPr>
        <w:t>年</w:t>
      </w:r>
      <w:r>
        <w:rPr>
          <w:rFonts w:ascii="Times New Roman" w:hAnsi="Times New Roman" w:cs="Times New Roman"/>
          <w:color w:val="333333"/>
          <w:sz w:val="22"/>
          <w:szCs w:val="22"/>
        </w:rPr>
        <w:t>6</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日起执行。</w:t>
      </w: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z w:val="22"/>
          <w:szCs w:val="22"/>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                           </w:t>
      </w: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z w:val="22"/>
          <w:szCs w:val="22"/>
        </w:rPr>
      </w:pPr>
      <w:r>
        <w:rPr>
          <w:rFonts w:ascii="Times New Roman" w:hAnsi="Times New Roman" w:cs="Times New Roman"/>
          <w:color w:val="333333"/>
          <w:sz w:val="22"/>
          <w:szCs w:val="22"/>
        </w:rPr>
        <w:t> </w:t>
      </w:r>
      <w:r>
        <w:rPr>
          <w:rFonts w:ascii="Times New Roman" w:hAnsi="Times New Roman" w:hint="eastAsia"/>
          <w:color w:val="333333"/>
          <w:sz w:val="22"/>
          <w:szCs w:val="22"/>
        </w:rPr>
        <w:t>河北省人民政府</w:t>
      </w:r>
    </w:p>
    <w:p w:rsidR="00A32067" w:rsidRDefault="00A32067">
      <w:pPr>
        <w:pStyle w:val="NormalWeb"/>
        <w:shd w:val="clear" w:color="auto" w:fill="FFFFFF"/>
        <w:spacing w:before="0" w:beforeAutospacing="0" w:after="0" w:afterAutospacing="0" w:line="360" w:lineRule="auto"/>
        <w:ind w:firstLine="420"/>
        <w:jc w:val="right"/>
        <w:rPr>
          <w:rFonts w:ascii="Times New Roman" w:eastAsia="微软雅黑" w:hAnsi="Times New Roman" w:cs="Times New Roman"/>
          <w:color w:val="333333"/>
        </w:rPr>
      </w:pPr>
      <w:r>
        <w:rPr>
          <w:rFonts w:ascii="Times New Roman" w:hAnsi="Times New Roman" w:hint="eastAsia"/>
          <w:color w:val="333333"/>
          <w:sz w:val="22"/>
          <w:szCs w:val="22"/>
        </w:rPr>
        <w:t xml:space="preserve">　</w:t>
      </w:r>
      <w:r>
        <w:rPr>
          <w:rFonts w:ascii="Times New Roman" w:hAnsi="Times New Roman" w:cs="Times New Roman"/>
          <w:color w:val="333333"/>
          <w:sz w:val="22"/>
          <w:szCs w:val="22"/>
        </w:rPr>
        <w:t>                               </w:t>
      </w:r>
      <w:r>
        <w:rPr>
          <w:rFonts w:ascii="Times New Roman" w:hAnsi="Times New Roman" w:hint="eastAsia"/>
          <w:color w:val="333333"/>
          <w:sz w:val="22"/>
          <w:szCs w:val="22"/>
        </w:rPr>
        <w:t xml:space="preserve">　</w:t>
      </w:r>
      <w:r>
        <w:rPr>
          <w:rFonts w:ascii="Times New Roman" w:hAnsi="Times New Roman" w:cs="Times New Roman"/>
          <w:color w:val="333333"/>
          <w:sz w:val="22"/>
          <w:szCs w:val="22"/>
        </w:rPr>
        <w:t>2015</w:t>
      </w:r>
      <w:r>
        <w:rPr>
          <w:rFonts w:ascii="Times New Roman" w:hAnsi="Times New Roman" w:hint="eastAsia"/>
          <w:color w:val="333333"/>
          <w:sz w:val="22"/>
          <w:szCs w:val="22"/>
        </w:rPr>
        <w:t>年</w:t>
      </w:r>
      <w:r>
        <w:rPr>
          <w:rFonts w:ascii="Times New Roman" w:hAnsi="Times New Roman" w:cs="Times New Roman"/>
          <w:color w:val="333333"/>
          <w:sz w:val="22"/>
          <w:szCs w:val="22"/>
        </w:rPr>
        <w:t>5</w:t>
      </w:r>
      <w:r>
        <w:rPr>
          <w:rFonts w:ascii="Times New Roman" w:hAnsi="Times New Roman" w:hint="eastAsia"/>
          <w:color w:val="333333"/>
          <w:sz w:val="22"/>
          <w:szCs w:val="22"/>
        </w:rPr>
        <w:t>月</w:t>
      </w:r>
      <w:r>
        <w:rPr>
          <w:rFonts w:ascii="Times New Roman" w:hAnsi="Times New Roman" w:cs="Times New Roman"/>
          <w:color w:val="333333"/>
          <w:sz w:val="22"/>
          <w:szCs w:val="22"/>
        </w:rPr>
        <w:t>29</w:t>
      </w:r>
      <w:r>
        <w:rPr>
          <w:rFonts w:ascii="Times New Roman" w:hAnsi="Times New Roman" w:hint="eastAsia"/>
          <w:color w:val="333333"/>
          <w:sz w:val="22"/>
          <w:szCs w:val="22"/>
        </w:rPr>
        <w:t>日</w:t>
      </w:r>
    </w:p>
    <w:p w:rsidR="00A32067" w:rsidRDefault="00A32067">
      <w:pPr>
        <w:spacing w:line="220" w:lineRule="atLeast"/>
        <w:rPr>
          <w:b/>
          <w:bCs/>
          <w:sz w:val="24"/>
          <w:szCs w:val="24"/>
          <w:lang w:val="zh-TW"/>
        </w:rPr>
      </w:pPr>
      <w:r>
        <w:br w:type="page"/>
      </w:r>
      <w:r>
        <w:rPr>
          <w:rFonts w:cs="宋体" w:hint="eastAsia"/>
          <w:b/>
          <w:bCs/>
          <w:sz w:val="24"/>
          <w:szCs w:val="24"/>
          <w:lang w:val="zh-TW"/>
        </w:rPr>
        <w:t>附件</w:t>
      </w:r>
    </w:p>
    <w:p w:rsidR="00A32067" w:rsidRDefault="00A32067">
      <w:pPr>
        <w:spacing w:line="360" w:lineRule="auto"/>
        <w:jc w:val="center"/>
        <w:rPr>
          <w:b/>
          <w:bCs/>
          <w:sz w:val="24"/>
          <w:szCs w:val="24"/>
          <w:lang w:val="zh-TW"/>
        </w:rPr>
      </w:pPr>
      <w:r>
        <w:rPr>
          <w:rFonts w:cs="宋体" w:hint="eastAsia"/>
          <w:b/>
          <w:bCs/>
          <w:sz w:val="24"/>
          <w:szCs w:val="24"/>
          <w:lang w:val="zh-TW"/>
        </w:rPr>
        <w:t>河北省征地区片价表</w:t>
      </w:r>
    </w:p>
    <w:tbl>
      <w:tblPr>
        <w:tblW w:w="9180" w:type="dxa"/>
        <w:jc w:val="center"/>
        <w:tblLayout w:type="fixed"/>
        <w:tblLook w:val="00A0"/>
      </w:tblPr>
      <w:tblGrid>
        <w:gridCol w:w="1420"/>
        <w:gridCol w:w="860"/>
        <w:gridCol w:w="880"/>
        <w:gridCol w:w="860"/>
        <w:gridCol w:w="880"/>
        <w:gridCol w:w="880"/>
        <w:gridCol w:w="860"/>
        <w:gridCol w:w="880"/>
        <w:gridCol w:w="880"/>
        <w:gridCol w:w="780"/>
      </w:tblGrid>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全省</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67038</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石家庄市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90468</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301105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210000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藁城区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123003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149700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鹿泉区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108359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104000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栾城区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123069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井陉矿区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45664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86500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43800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高新技术产业开发区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195636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310000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晋州市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76711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新乐市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85981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井陉县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85218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正定县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121385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行唐县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64604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58950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灵寿县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79732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127000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105500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87800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79800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高邑县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66166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深泽县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73566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赞皇县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58116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55500</w:t>
            </w: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无极县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73986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128900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124900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81200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67900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53900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50900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平山县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81043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310000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167300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元氏县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74227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赵县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81105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84200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83500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79500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承德市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66893</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双桥区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136013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122500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rsidP="00A32067">
            <w:pPr>
              <w:ind w:firstLineChars="200" w:firstLine="31680"/>
              <w:jc w:val="center"/>
              <w:rPr>
                <w:sz w:val="18"/>
                <w:szCs w:val="18"/>
              </w:rPr>
            </w:pPr>
            <w:r>
              <w:rPr>
                <w:rFonts w:cs="宋体" w:hint="eastAsia"/>
                <w:sz w:val="18"/>
                <w:szCs w:val="18"/>
              </w:rPr>
              <w:t>双滦区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115246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154000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134000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105000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bl>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p w:rsidR="00A32067" w:rsidRDefault="00A32067">
      <w:pPr>
        <w:spacing w:line="220" w:lineRule="atLeast"/>
        <w:rPr>
          <w:lang w:val="zh-TW"/>
        </w:rPr>
      </w:pPr>
    </w:p>
    <w:tbl>
      <w:tblPr>
        <w:tblW w:w="9180" w:type="dxa"/>
        <w:jc w:val="center"/>
        <w:tblLayout w:type="fixed"/>
        <w:tblLook w:val="00A0"/>
      </w:tblPr>
      <w:tblGrid>
        <w:gridCol w:w="1420"/>
        <w:gridCol w:w="860"/>
        <w:gridCol w:w="880"/>
        <w:gridCol w:w="860"/>
        <w:gridCol w:w="880"/>
        <w:gridCol w:w="880"/>
        <w:gridCol w:w="860"/>
        <w:gridCol w:w="880"/>
        <w:gridCol w:w="880"/>
        <w:gridCol w:w="780"/>
      </w:tblGrid>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鹰手营子矿区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72021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67700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承德县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73921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兴隆县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62675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154200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97500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62000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滦平县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77367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隆化县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58288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丰宁满族自治县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69922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66500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宽城满族自治县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62906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58900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围场满族蒙古族自治县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57692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63000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48000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张家口市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51533</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桥东区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103992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98000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67630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桥西区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77848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146980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87420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52770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宣化区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101788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216000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156000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116000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72000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下花园区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63362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经济开发区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115898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128600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119900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109800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359"/>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察北管理区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43119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47400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37400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塞北管理区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42395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38800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宣化县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61284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92900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78400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60100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46500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张北县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38494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37610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康保县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37463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39600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37430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沽源县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37584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41200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37400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尚义县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39765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44874</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40792</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37314</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蔚县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59781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70700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52200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阳原县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60563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97467</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63767</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57520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53667</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怀安县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56918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59333</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56667</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万全县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105400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59800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52400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涿鹿县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61914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92191</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70800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62500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62000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61500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60965</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赤城县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61298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72700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66400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59900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崇礼县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47357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42000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秦皇岛市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66022</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bl>
    <w:p w:rsidR="00A32067" w:rsidRDefault="00A32067">
      <w:pPr>
        <w:spacing w:line="220" w:lineRule="atLeast"/>
        <w:rPr>
          <w:lang w:val="zh-TW"/>
        </w:rPr>
      </w:pPr>
    </w:p>
    <w:tbl>
      <w:tblPr>
        <w:tblW w:w="9180" w:type="dxa"/>
        <w:jc w:val="center"/>
        <w:tblLayout w:type="fixed"/>
        <w:tblLook w:val="00A0"/>
      </w:tblPr>
      <w:tblGrid>
        <w:gridCol w:w="1420"/>
        <w:gridCol w:w="860"/>
        <w:gridCol w:w="880"/>
        <w:gridCol w:w="860"/>
        <w:gridCol w:w="880"/>
        <w:gridCol w:w="880"/>
        <w:gridCol w:w="860"/>
        <w:gridCol w:w="880"/>
        <w:gridCol w:w="880"/>
        <w:gridCol w:w="780"/>
      </w:tblGrid>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海港区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191090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210000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86000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山海关区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89592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89100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北戴河区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187151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北戴河新区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经济技术开发区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56856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昌黎县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72289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抚宁县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65089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73100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57600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卢龙县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59631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青龙满族自治县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55532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52500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唐山市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83052</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161859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133000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古冶区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71500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开平区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124000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124000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丰南区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107800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107800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丰润区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107539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106000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曹妃甸区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84523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109600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汉沽管理区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72400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72400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芦台开发区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海港经济开发区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70600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70600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遵化市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88800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88800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377"/>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滦县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滦南县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291"/>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乐亭县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70600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70600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迁西县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72074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71600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92"/>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玉田县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53"/>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廊坊市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86428</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601"/>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139006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172800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144100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118400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86600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65"/>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安次区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84760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10"/>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广阳区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霸州市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85055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107000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三河市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111607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固安县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89525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永清县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85046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香河县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89572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88000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大城县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70037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文安县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70059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69300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大厂回族自治县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保定市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70462</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174572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306700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143300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106600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满城区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70888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63000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清苑区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94141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71000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徐水区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68307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安国市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80516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103000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72300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高碑店市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81900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涞水县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66611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82500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60900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阜平县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68424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定兴县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63630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唐县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62769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高阳县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83005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96600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83500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77600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容城县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67159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涞源县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64589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62000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望都县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62172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安新县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77843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72500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29"/>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易县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66166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67500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62800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曲阳县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56958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67500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52500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85"/>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蠡县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78614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96200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87200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78200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顺平县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62441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p w:rsidR="00A32067" w:rsidRDefault="00A32067">
            <w:pPr>
              <w:jc w:val="center"/>
              <w:rPr>
                <w:sz w:val="20"/>
                <w:szCs w:val="20"/>
              </w:rPr>
            </w:pPr>
          </w:p>
        </w:tc>
      </w:tr>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博野县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61953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96500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76100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61100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53600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雄县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64440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72000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69000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沧州市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59329</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142017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145000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119000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经济技术开发区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78815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119000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渤海新区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53368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58600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52600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泊头市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57538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71467</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64317</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59549</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54847</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黄骅市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57108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河间市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57297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56300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沧县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65480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119000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71000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青县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61953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81450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74450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67470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65800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东光县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55464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海兴县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51537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58100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55200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53600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52100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50460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盐山县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54671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69000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肃宁县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59458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南皮县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64504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75200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63980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吴桥县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52834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献县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53025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77700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66600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52300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孟村回族自治县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71703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72000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65450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衡水市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58260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87740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171000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137000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81000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68000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冀州市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58079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59900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59500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58500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57900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深州市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55173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56800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枣强县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53974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57900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54800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50200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武邑县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54004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54500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53540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15"/>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武强县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51001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55700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饶阳县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52873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51400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48400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安平县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73715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160000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94000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64000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49"/>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故城县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53094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58000</w:t>
            </w: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16"/>
                <w:szCs w:val="16"/>
              </w:rPr>
            </w:pPr>
            <w:r>
              <w:rPr>
                <w:sz w:val="16"/>
                <w:szCs w:val="16"/>
              </w:rPr>
              <w:t>51000</w:t>
            </w: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rsidP="00A32067">
            <w:pPr>
              <w:ind w:firstLineChars="100" w:firstLine="31680"/>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阜城县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51039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54150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邢台市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59910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桥东区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187151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210000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196667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132667</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桥西区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146171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经济技术产业开发区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92047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131000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80900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大曹庄管理区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49002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48100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南宫市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54022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50600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沙河市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88519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86200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邢台县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63719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51800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临城县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50832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63600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54100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47400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内丘县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51509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51200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49100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48400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柏乡县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50020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隆尧县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55014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54600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任县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54605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56900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54700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53800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南和县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54421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63000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巨鹿县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53501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81500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新河县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50027</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53300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49200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广宗县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50650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平乡县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50325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49100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威县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51515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54700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50340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清河县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61011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临西县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51495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51100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邯郸市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71047</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主城区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163962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180000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76000</w:t>
            </w:r>
          </w:p>
        </w:tc>
        <w:tc>
          <w:tcPr>
            <w:tcW w:w="7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r>
      <w:tr w:rsidR="00A32067">
        <w:trPr>
          <w:trHeight w:hRule="exac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峰峰矿区</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102638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138000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hRule="exac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武安市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73083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hRule="exac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邯郸县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155624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200000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150000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hRule="exact" w:val="633"/>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临漳县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55808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55320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549"/>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成安县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58280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59600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p w:rsidR="00A32067" w:rsidRDefault="00A32067">
            <w:pPr>
              <w:jc w:val="center"/>
              <w:rPr>
                <w:sz w:val="20"/>
                <w:szCs w:val="20"/>
              </w:rPr>
            </w:pPr>
          </w:p>
        </w:tc>
      </w:tr>
      <w:tr w:rsidR="00A32067">
        <w:trPr>
          <w:trHeight w:val="454"/>
          <w:jc w:val="center"/>
        </w:trPr>
        <w:tc>
          <w:tcPr>
            <w:tcW w:w="142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地区</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平均价</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1</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2</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3</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4</w:t>
            </w:r>
          </w:p>
        </w:tc>
        <w:tc>
          <w:tcPr>
            <w:tcW w:w="86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5</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6</w:t>
            </w:r>
          </w:p>
        </w:tc>
        <w:tc>
          <w:tcPr>
            <w:tcW w:w="8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7</w:t>
            </w:r>
          </w:p>
        </w:tc>
        <w:tc>
          <w:tcPr>
            <w:tcW w:w="780" w:type="dxa"/>
            <w:tcBorders>
              <w:top w:val="single" w:sz="4" w:space="0" w:color="auto"/>
              <w:left w:val="nil"/>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区片</w:t>
            </w:r>
            <w:r>
              <w:rPr>
                <w:sz w:val="16"/>
                <w:szCs w:val="16"/>
              </w:rPr>
              <w:t>8</w:t>
            </w: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大名县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55655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55100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72014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磁县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64071</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62350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永年县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87586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82000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肥乡县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54405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邱县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53562</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56960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53440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鸡泽县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53409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52500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广平县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56783</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馆陶县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54866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66500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58400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53700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曲周县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56476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57000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52000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定州市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76014</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195000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170000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74500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73400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辛集市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82035</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102940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80880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78680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迁安市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71376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79300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71200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宁晋县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61546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93000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61200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55000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涿州市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111209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126000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117000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106000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怀来县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70996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79800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75440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69700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62200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平泉县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58288</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140000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115000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50000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任丘市</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96869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128000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110400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89100</w:t>
            </w: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景县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58316</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60000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56000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r w:rsidR="00A32067">
        <w:trPr>
          <w:trHeight w:val="454"/>
          <w:jc w:val="center"/>
        </w:trPr>
        <w:tc>
          <w:tcPr>
            <w:tcW w:w="1420" w:type="dxa"/>
            <w:tcBorders>
              <w:top w:val="nil"/>
              <w:left w:val="single" w:sz="4" w:space="0" w:color="auto"/>
              <w:bottom w:val="single" w:sz="4" w:space="0" w:color="auto"/>
              <w:right w:val="single" w:sz="4" w:space="0" w:color="auto"/>
            </w:tcBorders>
            <w:vAlign w:val="center"/>
          </w:tcPr>
          <w:p w:rsidR="00A32067" w:rsidRDefault="00A32067">
            <w:pPr>
              <w:jc w:val="center"/>
              <w:rPr>
                <w:sz w:val="18"/>
                <w:szCs w:val="18"/>
              </w:rPr>
            </w:pPr>
            <w:r>
              <w:rPr>
                <w:rFonts w:cs="宋体" w:hint="eastAsia"/>
                <w:sz w:val="18"/>
                <w:szCs w:val="18"/>
              </w:rPr>
              <w:t>魏县</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58859</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70000</w:t>
            </w:r>
          </w:p>
        </w:tc>
        <w:tc>
          <w:tcPr>
            <w:tcW w:w="86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62000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53400</w:t>
            </w:r>
          </w:p>
        </w:tc>
        <w:tc>
          <w:tcPr>
            <w:tcW w:w="880" w:type="dxa"/>
            <w:tcBorders>
              <w:top w:val="nil"/>
              <w:left w:val="nil"/>
              <w:bottom w:val="single" w:sz="4" w:space="0" w:color="auto"/>
              <w:right w:val="single" w:sz="4" w:space="0" w:color="auto"/>
            </w:tcBorders>
            <w:vAlign w:val="center"/>
          </w:tcPr>
          <w:p w:rsidR="00A32067" w:rsidRDefault="00A32067">
            <w:pPr>
              <w:jc w:val="center"/>
              <w:rPr>
                <w:sz w:val="16"/>
                <w:szCs w:val="16"/>
              </w:rPr>
            </w:pPr>
            <w:r>
              <w:rPr>
                <w:sz w:val="16"/>
                <w:szCs w:val="16"/>
              </w:rPr>
              <w:t>47490</w:t>
            </w:r>
          </w:p>
        </w:tc>
        <w:tc>
          <w:tcPr>
            <w:tcW w:w="86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880" w:type="dxa"/>
            <w:tcBorders>
              <w:top w:val="nil"/>
              <w:left w:val="nil"/>
              <w:bottom w:val="single" w:sz="4" w:space="0" w:color="auto"/>
              <w:right w:val="single" w:sz="4" w:space="0" w:color="auto"/>
            </w:tcBorders>
            <w:vAlign w:val="center"/>
          </w:tcPr>
          <w:p w:rsidR="00A32067" w:rsidRDefault="00A32067">
            <w:pPr>
              <w:jc w:val="center"/>
              <w:rPr>
                <w:sz w:val="20"/>
                <w:szCs w:val="20"/>
              </w:rPr>
            </w:pPr>
          </w:p>
        </w:tc>
        <w:tc>
          <w:tcPr>
            <w:tcW w:w="780" w:type="dxa"/>
            <w:tcBorders>
              <w:top w:val="nil"/>
              <w:left w:val="nil"/>
              <w:bottom w:val="single" w:sz="4" w:space="0" w:color="auto"/>
              <w:right w:val="single" w:sz="4" w:space="0" w:color="auto"/>
            </w:tcBorders>
            <w:vAlign w:val="center"/>
          </w:tcPr>
          <w:p w:rsidR="00A32067" w:rsidRDefault="00A32067">
            <w:pPr>
              <w:jc w:val="center"/>
              <w:rPr>
                <w:sz w:val="20"/>
                <w:szCs w:val="20"/>
              </w:rPr>
            </w:pPr>
          </w:p>
        </w:tc>
      </w:tr>
    </w:tbl>
    <w:p w:rsidR="00A32067" w:rsidRDefault="00A32067">
      <w:pPr>
        <w:spacing w:line="220" w:lineRule="atLeast"/>
        <w:jc w:val="center"/>
      </w:pPr>
    </w:p>
    <w:p w:rsidR="00A32067" w:rsidRDefault="00A32067">
      <w:pPr>
        <w:tabs>
          <w:tab w:val="left" w:pos="7740"/>
        </w:tabs>
        <w:spacing w:line="220" w:lineRule="atLeast"/>
      </w:pPr>
      <w:r>
        <w:tab/>
      </w:r>
    </w:p>
    <w:p w:rsidR="00A32067" w:rsidRDefault="00A32067">
      <w:pPr>
        <w:spacing w:line="220" w:lineRule="atLeast"/>
        <w:jc w:val="center"/>
      </w:pPr>
      <w:r>
        <w:br w:type="page"/>
      </w: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pPr>
    </w:p>
    <w:p w:rsidR="00A32067" w:rsidRDefault="00A32067">
      <w:pPr>
        <w:spacing w:line="220" w:lineRule="atLeast"/>
        <w:jc w:val="center"/>
        <w:outlineLvl w:val="1"/>
        <w:rPr>
          <w:b/>
          <w:bCs/>
          <w:sz w:val="44"/>
          <w:szCs w:val="44"/>
        </w:rPr>
      </w:pPr>
      <w:bookmarkStart w:id="43" w:name="_Toc519872283"/>
      <w:r>
        <w:rPr>
          <w:rFonts w:cs="宋体" w:hint="eastAsia"/>
          <w:b/>
          <w:bCs/>
          <w:sz w:val="44"/>
          <w:szCs w:val="44"/>
        </w:rPr>
        <w:t>二、与整个工程项目建设有关的</w:t>
      </w:r>
      <w:r>
        <w:rPr>
          <w:b/>
          <w:bCs/>
          <w:sz w:val="44"/>
          <w:szCs w:val="44"/>
        </w:rPr>
        <w:br/>
      </w:r>
      <w:r>
        <w:rPr>
          <w:rFonts w:cs="宋体" w:hint="eastAsia"/>
          <w:b/>
          <w:bCs/>
          <w:sz w:val="44"/>
          <w:szCs w:val="44"/>
        </w:rPr>
        <w:t>法律、法规、政策文件</w:t>
      </w:r>
      <w:bookmarkEnd w:id="43"/>
    </w:p>
    <w:p w:rsidR="00A32067" w:rsidRDefault="00A32067">
      <w:pPr>
        <w:spacing w:line="360" w:lineRule="auto"/>
        <w:jc w:val="center"/>
        <w:outlineLvl w:val="2"/>
        <w:rPr>
          <w:b/>
          <w:bCs/>
          <w:color w:val="000000"/>
          <w:sz w:val="44"/>
          <w:szCs w:val="44"/>
        </w:rPr>
      </w:pPr>
      <w:r>
        <w:br w:type="page"/>
      </w:r>
      <w:bookmarkStart w:id="44" w:name="_Toc519872284"/>
      <w:r>
        <w:rPr>
          <w:rFonts w:cs="宋体" w:hint="eastAsia"/>
          <w:b/>
          <w:bCs/>
          <w:color w:val="000000"/>
          <w:sz w:val="44"/>
          <w:szCs w:val="44"/>
        </w:rPr>
        <w:t>关于印发《基本建设项目建设</w:t>
      </w:r>
      <w:r>
        <w:rPr>
          <w:b/>
          <w:bCs/>
          <w:color w:val="000000"/>
          <w:sz w:val="44"/>
          <w:szCs w:val="44"/>
        </w:rPr>
        <w:br/>
      </w:r>
      <w:r>
        <w:rPr>
          <w:rFonts w:cs="宋体" w:hint="eastAsia"/>
          <w:b/>
          <w:bCs/>
          <w:color w:val="000000"/>
          <w:sz w:val="44"/>
          <w:szCs w:val="44"/>
        </w:rPr>
        <w:t>成本管理规定》的通知</w:t>
      </w:r>
      <w:r>
        <w:rPr>
          <w:b/>
          <w:bCs/>
          <w:color w:val="000000"/>
          <w:sz w:val="44"/>
          <w:szCs w:val="44"/>
        </w:rPr>
        <w:br/>
      </w:r>
      <w:r>
        <w:rPr>
          <w:rFonts w:cs="宋体" w:hint="eastAsia"/>
          <w:color w:val="000000"/>
          <w:sz w:val="22"/>
          <w:szCs w:val="22"/>
        </w:rPr>
        <w:t>财建</w:t>
      </w:r>
      <w:r>
        <w:rPr>
          <w:color w:val="000000"/>
          <w:sz w:val="22"/>
          <w:szCs w:val="22"/>
        </w:rPr>
        <w:t>[2016]504</w:t>
      </w:r>
      <w:r>
        <w:rPr>
          <w:rFonts w:cs="宋体" w:hint="eastAsia"/>
          <w:color w:val="000000"/>
          <w:sz w:val="22"/>
          <w:szCs w:val="22"/>
        </w:rPr>
        <w:t>号</w:t>
      </w:r>
      <w:bookmarkEnd w:id="44"/>
    </w:p>
    <w:p w:rsidR="00A32067" w:rsidRDefault="00A32067" w:rsidP="0002085C">
      <w:pPr>
        <w:pStyle w:val="NormalWeb"/>
        <w:shd w:val="clear" w:color="auto" w:fill="FFFFFF"/>
        <w:spacing w:beforeLines="50" w:beforeAutospacing="0" w:afterLines="50" w:afterAutospacing="0" w:line="360" w:lineRule="auto"/>
        <w:ind w:firstLine="480"/>
        <w:rPr>
          <w:rFonts w:ascii="Times New Roman" w:hAnsi="Times New Roman" w:cs="Times New Roman"/>
          <w:color w:val="000000"/>
          <w:sz w:val="22"/>
          <w:szCs w:val="22"/>
        </w:rPr>
      </w:pPr>
      <w:r>
        <w:rPr>
          <w:rFonts w:ascii="Times New Roman" w:hAnsi="Times New Roman" w:hint="eastAsia"/>
          <w:color w:val="000000"/>
          <w:sz w:val="22"/>
          <w:szCs w:val="22"/>
        </w:rPr>
        <w:t>党中央有关部门，国务院各部委、各直属机构，军委后勤保障部，武警总部，全国人大常委会办公厅，全国政协办公厅，高法院，高检院，各民主党派中央，有关人民团体，各中央管理企业，各省、自治区、计划单列市财政厅（局），新疆生产建设兵团财务局：</w:t>
      </w:r>
    </w:p>
    <w:p w:rsidR="00A32067" w:rsidRDefault="00A32067" w:rsidP="0002085C">
      <w:pPr>
        <w:pStyle w:val="NormalWeb"/>
        <w:shd w:val="clear" w:color="auto" w:fill="FFFFFF"/>
        <w:spacing w:beforeLines="50" w:beforeAutospacing="0" w:afterLines="50" w:afterAutospacing="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为推动各部门、各地区进一步加强基本建设成本核算管理，提高资金使用效益，针对基本建设成本管理中反映出的主要问题，依据《基本建设财务规则》，现印发《基本建设项目建设成本管理规定》，请认真贯彻执行。</w:t>
      </w:r>
    </w:p>
    <w:p w:rsidR="00A32067" w:rsidRDefault="00A32067">
      <w:pPr>
        <w:pStyle w:val="NormalWeb"/>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附件：</w:t>
      </w:r>
      <w:r>
        <w:rPr>
          <w:rFonts w:ascii="Times New Roman" w:hAnsi="Times New Roman" w:cs="Times New Roman"/>
          <w:color w:val="000000"/>
          <w:sz w:val="22"/>
          <w:szCs w:val="22"/>
        </w:rPr>
        <w:t>1.</w:t>
      </w:r>
      <w:r>
        <w:rPr>
          <w:rFonts w:ascii="Times New Roman" w:hAnsi="Times New Roman" w:hint="eastAsia"/>
          <w:color w:val="000000"/>
          <w:sz w:val="22"/>
          <w:szCs w:val="22"/>
        </w:rPr>
        <w:t>基本建设项目建设成本管理规定</w:t>
      </w:r>
    </w:p>
    <w:p w:rsidR="00A32067" w:rsidRDefault="00A32067">
      <w:pPr>
        <w:pStyle w:val="NormalWeb"/>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cs="Times New Roman"/>
          <w:color w:val="000000"/>
          <w:sz w:val="22"/>
          <w:szCs w:val="22"/>
        </w:rPr>
        <w:t>   2.</w:t>
      </w:r>
      <w:r>
        <w:rPr>
          <w:rFonts w:ascii="Times New Roman" w:hAnsi="Times New Roman" w:hint="eastAsia"/>
          <w:color w:val="000000"/>
          <w:sz w:val="22"/>
          <w:szCs w:val="22"/>
        </w:rPr>
        <w:t>项目建设管理费总额控制数费率表</w:t>
      </w:r>
    </w:p>
    <w:p w:rsidR="00A32067" w:rsidRDefault="00A32067">
      <w:pPr>
        <w:pStyle w:val="NormalWeb"/>
        <w:shd w:val="clear" w:color="auto" w:fill="FFFFFF"/>
        <w:ind w:right="480"/>
        <w:jc w:val="right"/>
        <w:rPr>
          <w:rFonts w:ascii="Times New Roman" w:hAnsi="Times New Roman" w:cs="Times New Roman"/>
          <w:color w:val="000000"/>
          <w:sz w:val="22"/>
          <w:szCs w:val="22"/>
        </w:rPr>
      </w:pPr>
      <w:r>
        <w:rPr>
          <w:rFonts w:ascii="Times New Roman" w:hAnsi="Times New Roman" w:hint="eastAsia"/>
          <w:color w:val="000000"/>
          <w:sz w:val="22"/>
          <w:szCs w:val="22"/>
        </w:rPr>
        <w:t>财政部</w:t>
      </w:r>
    </w:p>
    <w:p w:rsidR="00A32067" w:rsidRDefault="00A32067">
      <w:pPr>
        <w:pStyle w:val="NormalWeb"/>
        <w:shd w:val="clear" w:color="auto" w:fill="FFFFFF"/>
        <w:jc w:val="right"/>
        <w:rPr>
          <w:rFonts w:ascii="Times New Roman" w:hAnsi="Times New Roman" w:cs="Times New Roman"/>
          <w:color w:val="000000"/>
          <w:sz w:val="22"/>
          <w:szCs w:val="22"/>
        </w:rPr>
      </w:pPr>
      <w:r>
        <w:rPr>
          <w:rFonts w:ascii="Times New Roman" w:hAnsi="Times New Roman" w:cs="Times New Roman"/>
          <w:color w:val="000000"/>
          <w:sz w:val="22"/>
          <w:szCs w:val="22"/>
        </w:rPr>
        <w:t>2016</w:t>
      </w:r>
      <w:r>
        <w:rPr>
          <w:rFonts w:ascii="Times New Roman" w:hAnsi="Times New Roman" w:hint="eastAsia"/>
          <w:color w:val="000000"/>
          <w:sz w:val="22"/>
          <w:szCs w:val="22"/>
        </w:rPr>
        <w:t>年</w:t>
      </w:r>
      <w:r>
        <w:rPr>
          <w:rFonts w:ascii="Times New Roman" w:hAnsi="Times New Roman" w:cs="Times New Roman"/>
          <w:color w:val="000000"/>
          <w:sz w:val="22"/>
          <w:szCs w:val="22"/>
        </w:rPr>
        <w:t>7</w:t>
      </w:r>
      <w:r>
        <w:rPr>
          <w:rFonts w:ascii="Times New Roman" w:hAnsi="Times New Roman" w:hint="eastAsia"/>
          <w:color w:val="000000"/>
          <w:sz w:val="22"/>
          <w:szCs w:val="22"/>
        </w:rPr>
        <w:t>月</w:t>
      </w:r>
      <w:r>
        <w:rPr>
          <w:rFonts w:ascii="Times New Roman" w:hAnsi="Times New Roman" w:cs="Times New Roman"/>
          <w:color w:val="000000"/>
          <w:sz w:val="22"/>
          <w:szCs w:val="22"/>
        </w:rPr>
        <w:t>6</w:t>
      </w:r>
      <w:r>
        <w:rPr>
          <w:rFonts w:ascii="Times New Roman" w:hAnsi="Times New Roman" w:hint="eastAsia"/>
          <w:color w:val="000000"/>
          <w:sz w:val="22"/>
          <w:szCs w:val="22"/>
        </w:rPr>
        <w:t>日</w:t>
      </w: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Style w:val="Strong"/>
          <w:rFonts w:ascii="Times New Roman" w:hAnsi="Times New Roman" w:cs="Times New Roman"/>
          <w:color w:val="000000"/>
          <w:sz w:val="28"/>
          <w:szCs w:val="28"/>
        </w:rPr>
      </w:pPr>
    </w:p>
    <w:p w:rsidR="00A32067" w:rsidRDefault="00A32067">
      <w:pPr>
        <w:pStyle w:val="NormalWeb"/>
        <w:shd w:val="clear" w:color="auto" w:fill="FFFFFF"/>
        <w:rPr>
          <w:rFonts w:ascii="Times New Roman" w:hAnsi="Times New Roman" w:cs="Times New Roman"/>
          <w:color w:val="000000"/>
        </w:rPr>
      </w:pPr>
      <w:r>
        <w:rPr>
          <w:rStyle w:val="Strong"/>
          <w:rFonts w:ascii="Times New Roman" w:hAnsi="Times New Roman" w:hint="eastAsia"/>
          <w:color w:val="000000"/>
        </w:rPr>
        <w:t>附件</w:t>
      </w:r>
      <w:r>
        <w:rPr>
          <w:rStyle w:val="Strong"/>
          <w:rFonts w:ascii="Times New Roman" w:hAnsi="Times New Roman" w:cs="Times New Roman"/>
          <w:color w:val="000000"/>
        </w:rPr>
        <w:t>1</w:t>
      </w:r>
    </w:p>
    <w:p w:rsidR="00A32067" w:rsidRDefault="00A32067">
      <w:pPr>
        <w:pStyle w:val="NormalWeb"/>
        <w:shd w:val="clear" w:color="auto" w:fill="FFFFFF"/>
        <w:jc w:val="center"/>
        <w:rPr>
          <w:rFonts w:ascii="Times New Roman" w:hAnsi="Times New Roman" w:cs="Times New Roman"/>
          <w:color w:val="000000"/>
        </w:rPr>
      </w:pPr>
      <w:r>
        <w:rPr>
          <w:rStyle w:val="Strong"/>
          <w:rFonts w:ascii="Times New Roman" w:hAnsi="Times New Roman" w:hint="eastAsia"/>
          <w:color w:val="000000"/>
        </w:rPr>
        <w:t>基本建设项目建设成本管理规定</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第一条</w:t>
      </w:r>
      <w:r>
        <w:rPr>
          <w:rFonts w:ascii="Times New Roman" w:hAnsi="Times New Roman" w:cs="Times New Roman"/>
          <w:color w:val="000000"/>
          <w:sz w:val="22"/>
          <w:szCs w:val="22"/>
        </w:rPr>
        <w:t> </w:t>
      </w:r>
      <w:r>
        <w:rPr>
          <w:rFonts w:ascii="Times New Roman" w:hAnsi="Times New Roman" w:hint="eastAsia"/>
          <w:color w:val="000000"/>
          <w:sz w:val="22"/>
          <w:szCs w:val="22"/>
        </w:rPr>
        <w:t>为了规范基本建设项目建设成本管理，提高建设资金使用效益，依据《基本建设财务规则》（财政部令第</w:t>
      </w:r>
      <w:r>
        <w:rPr>
          <w:rFonts w:ascii="Times New Roman" w:hAnsi="Times New Roman" w:cs="Times New Roman"/>
          <w:color w:val="000000"/>
          <w:sz w:val="22"/>
          <w:szCs w:val="22"/>
        </w:rPr>
        <w:t>81</w:t>
      </w:r>
      <w:r>
        <w:rPr>
          <w:rFonts w:ascii="Times New Roman" w:hAnsi="Times New Roman" w:hint="eastAsia"/>
          <w:color w:val="000000"/>
          <w:sz w:val="22"/>
          <w:szCs w:val="22"/>
        </w:rPr>
        <w:t>号），制定本规定。</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第二条</w:t>
      </w:r>
      <w:r>
        <w:rPr>
          <w:rFonts w:ascii="Times New Roman" w:hAnsi="Times New Roman" w:cs="Times New Roman"/>
          <w:color w:val="000000"/>
          <w:sz w:val="22"/>
          <w:szCs w:val="22"/>
        </w:rPr>
        <w:t> </w:t>
      </w:r>
      <w:r>
        <w:rPr>
          <w:rFonts w:ascii="Times New Roman" w:hAnsi="Times New Roman" w:hint="eastAsia"/>
          <w:color w:val="000000"/>
          <w:sz w:val="22"/>
          <w:szCs w:val="22"/>
        </w:rPr>
        <w:t>建筑安装工程投资支出是指基本建设项目（以下简称项目）建设单位按照批准的建设内容发生的建筑工程和安装工程的实际成本，其中不包括被安装设备本身的价值，以及按照合同规定支付给施工单位的预付备料款和预付工程款。</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第三条</w:t>
      </w:r>
      <w:r>
        <w:rPr>
          <w:rFonts w:ascii="Times New Roman" w:hAnsi="Times New Roman" w:cs="Times New Roman"/>
          <w:color w:val="000000"/>
          <w:sz w:val="22"/>
          <w:szCs w:val="22"/>
        </w:rPr>
        <w:t> </w:t>
      </w:r>
      <w:r>
        <w:rPr>
          <w:rFonts w:ascii="Times New Roman" w:hAnsi="Times New Roman" w:hint="eastAsia"/>
          <w:color w:val="000000"/>
          <w:sz w:val="22"/>
          <w:szCs w:val="22"/>
        </w:rPr>
        <w:t>设备投资支出是指项目建设单位按照批准的建设内容发生的各种设备的实际成本（不包括工程抵扣的增值税进项税额），包括需要安装设备、不需要安装设备和为生产准备的不够固定资产标准的工具、器具的实际成本。</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需要安装设备是指必须将其整体或几个部位装配起来，安装在基础上或建筑物支架上才能使用的设备。不需要安装设备是指不必固定在一定位置或支架上就可以使用的设备。</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第四条</w:t>
      </w:r>
      <w:r>
        <w:rPr>
          <w:rFonts w:ascii="Times New Roman" w:hAnsi="Times New Roman" w:cs="Times New Roman"/>
          <w:color w:val="000000"/>
          <w:sz w:val="22"/>
          <w:szCs w:val="22"/>
        </w:rPr>
        <w:t> </w:t>
      </w:r>
      <w:r>
        <w:rPr>
          <w:rFonts w:ascii="Times New Roman" w:hAnsi="Times New Roman" w:hint="eastAsia"/>
          <w:color w:val="000000"/>
          <w:sz w:val="22"/>
          <w:szCs w:val="22"/>
        </w:rPr>
        <w:t>待摊投资支出是指项目建设单位按照批准的建设内容发生的，应当分摊计入相关资产价值的各项费用和税金支出。主要包括：</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（一）勘察费、设计费、研究试验费、可行性研究费及项目其他前期费用；</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（二）土地征用及迁移补偿费、土地复垦及补偿费、森林植被恢复费及其他为取得或租用土地使用权而发生的费用；</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（三）土地使用税、耕地占用税、契税、车船税、印花税及按规定缴纳的其他税费；</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（四）项目建设管理费、代建管理费、临时设施费、监理费、招标投标费、社会中介机构审查费及其他管理性质的费用；</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（五）项目建设期间发生的各类借款利息、债券利息、贷款评估费、国外借款手续费及承诺费、汇兑损益、债券发行费用及其他债务利息支出或融资费用；</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（六）工程检测费、设备检验费、负荷联合试车费及其他检验检测类费用；</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（七）固定资产损失、器材处理亏损、设备盘亏及毁损、报废工程净损失及其他损失；</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（八）系统集成等信息工程的费用支出；</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（九）其他待摊投资性质支出。</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项目在建设期间的建设资金存款利息收入冲减债务利息支出，利息收入超过利息支出的部分，冲减待摊投资总支出。</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第五条</w:t>
      </w:r>
      <w:r>
        <w:rPr>
          <w:rFonts w:ascii="Times New Roman" w:hAnsi="Times New Roman" w:cs="Times New Roman"/>
          <w:color w:val="000000"/>
          <w:sz w:val="22"/>
          <w:szCs w:val="22"/>
        </w:rPr>
        <w:t> </w:t>
      </w:r>
      <w:r>
        <w:rPr>
          <w:rFonts w:ascii="Times New Roman" w:hAnsi="Times New Roman" w:hint="eastAsia"/>
          <w:color w:val="000000"/>
          <w:sz w:val="22"/>
          <w:szCs w:val="22"/>
        </w:rPr>
        <w:t>项目建设管理费是指项目建设单位从项目筹建之日起至办理竣工财务决算之日止发生的管理性质的支出。包括：不在原单位发工资的工作人员工资及相关费用、办公费、办公场地租用费、差旅交通费、劳动保护费、工具用具使用费、固定资产使用费、招募生产工人费、技术图书资料费（含软件）、业务招待费、施工现场津贴、竣工验收费和其他管理性质开支。</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项目建设单位应当严格执行《党政机关厉行节约反对浪费条例》，严格控制项目建设管理费。</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第六条</w:t>
      </w:r>
      <w:r>
        <w:rPr>
          <w:rFonts w:ascii="Times New Roman" w:hAnsi="Times New Roman" w:hint="eastAsia"/>
          <w:color w:val="000000"/>
          <w:sz w:val="22"/>
          <w:szCs w:val="22"/>
        </w:rPr>
        <w:t>行政事业单位项目建设管理费实行总额控制，分年度据实列支。总额控制数以项目审批部门批准的项目总投资（经批准的动态投资，不含项目建设管理费）扣除土地征用、迁移补偿等为取得或租用土地使用权而发生的费用为基数分档计算。具体计算方法见附件。</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建设地点分散、点多面广、建设工期长以及使用新技术、新工艺等的项目，项目建设管理费确需超过上述开支标准的，中央级项目</w:t>
      </w:r>
      <w:r>
        <w:rPr>
          <w:rFonts w:ascii="Times New Roman" w:hAnsi="Times New Roman" w:cs="Times New Roman"/>
          <w:color w:val="000000"/>
          <w:sz w:val="22"/>
          <w:szCs w:val="22"/>
        </w:rPr>
        <w:t>,</w:t>
      </w:r>
      <w:r>
        <w:rPr>
          <w:rFonts w:ascii="Times New Roman" w:hAnsi="Times New Roman" w:hint="eastAsia"/>
          <w:color w:val="000000"/>
          <w:sz w:val="22"/>
          <w:szCs w:val="22"/>
        </w:rPr>
        <w:t>应当事前报项目主管部门审核批准，并报财政部备案，未经批准的，超标准发生的项目建设管理费由项目建设单位用自有资金弥补；地方级项目，由同级财政部门确定审核批准的要求和程序。</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施工现场管理人员津贴标准比照当地财政部门制定的差旅费标准执行；一般不得发生业务招待费，确需列支的，项目业务招待费支出应当严格按照国家有关规定执行，并不得超过项目建设管理费的</w:t>
      </w:r>
      <w:r>
        <w:rPr>
          <w:rFonts w:ascii="Times New Roman" w:hAnsi="Times New Roman" w:cs="Times New Roman"/>
          <w:color w:val="000000"/>
          <w:sz w:val="22"/>
          <w:szCs w:val="22"/>
        </w:rPr>
        <w:t>5%</w:t>
      </w:r>
      <w:r>
        <w:rPr>
          <w:rFonts w:ascii="Times New Roman" w:hAnsi="Times New Roman" w:hint="eastAsia"/>
          <w:color w:val="000000"/>
          <w:sz w:val="22"/>
          <w:szCs w:val="22"/>
        </w:rPr>
        <w:t>。</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第七条</w:t>
      </w:r>
      <w:r>
        <w:rPr>
          <w:rFonts w:ascii="Times New Roman" w:hAnsi="Times New Roman" w:hint="eastAsia"/>
          <w:color w:val="000000"/>
          <w:sz w:val="22"/>
          <w:szCs w:val="22"/>
        </w:rPr>
        <w:t>使用财政资金的国有和国有控股企业的项目建设管理费，比照第六条规定执行。国有和国有控股企业经营性项目的项目资本中，财政资金所占比例未超过</w:t>
      </w:r>
      <w:r>
        <w:rPr>
          <w:rFonts w:ascii="Times New Roman" w:hAnsi="Times New Roman" w:cs="Times New Roman"/>
          <w:color w:val="000000"/>
          <w:sz w:val="22"/>
          <w:szCs w:val="22"/>
        </w:rPr>
        <w:t>50%</w:t>
      </w:r>
      <w:r>
        <w:rPr>
          <w:rFonts w:ascii="Times New Roman" w:hAnsi="Times New Roman" w:hint="eastAsia"/>
          <w:color w:val="000000"/>
          <w:sz w:val="22"/>
          <w:szCs w:val="22"/>
        </w:rPr>
        <w:t>的项目建设管理费可不执行第六条规定。</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第八条</w:t>
      </w:r>
      <w:r>
        <w:rPr>
          <w:rFonts w:ascii="Times New Roman" w:hAnsi="Times New Roman" w:cs="Times New Roman"/>
          <w:color w:val="000000"/>
          <w:sz w:val="22"/>
          <w:szCs w:val="22"/>
        </w:rPr>
        <w:t> </w:t>
      </w:r>
      <w:r>
        <w:rPr>
          <w:rFonts w:ascii="Times New Roman" w:hAnsi="Times New Roman" w:hint="eastAsia"/>
          <w:color w:val="000000"/>
          <w:sz w:val="22"/>
          <w:szCs w:val="22"/>
        </w:rPr>
        <w:t>政府设立（或授权）、政府招标产生的代建制项目，代建管理费由同级财政部门根据代建内容和要求，按照不高于本规定项目建设管理费标准核定，计入项目建设成本。</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实行代建制管理的项目，一般不得同时列支代建管理费和项目建设管理费，确需同时发生的，两项费用之和不得高于本规定的项目建设管理费限额。</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建设地点分散、点多面广以及使用新技术、新工艺等的项目，代建管理费确需超过本规定确定的开支标准的，行政单位和使用财政资金建设的事业单位中央项目</w:t>
      </w:r>
      <w:r>
        <w:rPr>
          <w:rFonts w:ascii="Times New Roman" w:hAnsi="Times New Roman" w:cs="Times New Roman"/>
          <w:color w:val="000000"/>
          <w:sz w:val="22"/>
          <w:szCs w:val="22"/>
        </w:rPr>
        <w:t>,</w:t>
      </w:r>
      <w:r>
        <w:rPr>
          <w:rFonts w:ascii="Times New Roman" w:hAnsi="Times New Roman" w:hint="eastAsia"/>
          <w:color w:val="000000"/>
          <w:sz w:val="22"/>
          <w:szCs w:val="22"/>
        </w:rPr>
        <w:t>应当事前报项目主管部门审核批准，并报财政部备案；地方项目，由同级财政部门确定审核批准的要求和程序。</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代建管理费核定和支付应当与工程进度、建设质量结合，与代建内容、代建绩效挂钩，实行奖优罚劣。同时满足按时完成项目代建任务、工程质量优良、项目投资控制在批准概算总投资范围</w:t>
      </w:r>
      <w:r>
        <w:rPr>
          <w:rFonts w:ascii="Times New Roman" w:hAnsi="Times New Roman" w:cs="Times New Roman"/>
          <w:color w:val="000000"/>
          <w:sz w:val="22"/>
          <w:szCs w:val="22"/>
        </w:rPr>
        <w:t>3</w:t>
      </w:r>
      <w:r>
        <w:rPr>
          <w:rFonts w:ascii="Times New Roman" w:hAnsi="Times New Roman" w:hint="eastAsia"/>
          <w:color w:val="000000"/>
          <w:sz w:val="22"/>
          <w:szCs w:val="22"/>
        </w:rPr>
        <w:t>个条件的，可以支付代建单位利润或奖励资金，代建单位利润或奖励资金一般不得超过代建管理费的</w:t>
      </w:r>
      <w:r>
        <w:rPr>
          <w:rFonts w:ascii="Times New Roman" w:hAnsi="Times New Roman" w:cs="Times New Roman"/>
          <w:color w:val="000000"/>
          <w:sz w:val="22"/>
          <w:szCs w:val="22"/>
        </w:rPr>
        <w:t>10%</w:t>
      </w:r>
      <w:r>
        <w:rPr>
          <w:rFonts w:ascii="Times New Roman" w:hAnsi="Times New Roman" w:hint="eastAsia"/>
          <w:color w:val="000000"/>
          <w:sz w:val="22"/>
          <w:szCs w:val="22"/>
        </w:rPr>
        <w:t>，需使用财政资金支付的，应当事前报同级财政部门审核批准；未完成代建任务的，应当扣减代建管理费。</w:t>
      </w:r>
      <w:r>
        <w:rPr>
          <w:rFonts w:ascii="Times New Roman" w:hAnsi="Times New Roman" w:cs="Times New Roman"/>
          <w:color w:val="000000"/>
          <w:sz w:val="22"/>
          <w:szCs w:val="22"/>
        </w:rPr>
        <w:t> </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第九条</w:t>
      </w:r>
      <w:r>
        <w:rPr>
          <w:rFonts w:ascii="Times New Roman" w:hAnsi="Times New Roman" w:cs="Times New Roman"/>
          <w:color w:val="000000"/>
          <w:sz w:val="22"/>
          <w:szCs w:val="22"/>
        </w:rPr>
        <w:t> </w:t>
      </w:r>
      <w:r>
        <w:rPr>
          <w:rFonts w:ascii="Times New Roman" w:hAnsi="Times New Roman" w:hint="eastAsia"/>
          <w:color w:val="000000"/>
          <w:sz w:val="22"/>
          <w:szCs w:val="22"/>
        </w:rPr>
        <w:t>项目单项工程报废净损失计入待摊投资支出。</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单项工程报废应当经有关部门或专业机构鉴定。非经营性项目以及使用财政资金所占比例超过项目资本</w:t>
      </w:r>
      <w:r>
        <w:rPr>
          <w:rFonts w:ascii="Times New Roman" w:hAnsi="Times New Roman" w:cs="Times New Roman"/>
          <w:color w:val="000000"/>
          <w:sz w:val="22"/>
          <w:szCs w:val="22"/>
        </w:rPr>
        <w:t>50%</w:t>
      </w:r>
      <w:r>
        <w:rPr>
          <w:rFonts w:ascii="Times New Roman" w:hAnsi="Times New Roman" w:hint="eastAsia"/>
          <w:color w:val="000000"/>
          <w:sz w:val="22"/>
          <w:szCs w:val="22"/>
        </w:rPr>
        <w:t>的经营性项目，发生的单项工程报废经鉴定后，报项目竣工财务决算批复部门审核批准。</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color w:val="000000"/>
          <w:sz w:val="22"/>
          <w:szCs w:val="22"/>
        </w:rPr>
        <w:t>因设计单位、施工单位、供货单位等原因造成的单项工程报废损失，由责任单位承担。</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第十条</w:t>
      </w:r>
      <w:r>
        <w:rPr>
          <w:rFonts w:ascii="Times New Roman" w:hAnsi="Times New Roman" w:cs="Times New Roman"/>
          <w:color w:val="000000"/>
          <w:sz w:val="22"/>
          <w:szCs w:val="22"/>
        </w:rPr>
        <w:t> </w:t>
      </w:r>
      <w:r>
        <w:rPr>
          <w:rFonts w:ascii="Times New Roman" w:hAnsi="Times New Roman" w:hint="eastAsia"/>
          <w:color w:val="000000"/>
          <w:sz w:val="22"/>
          <w:szCs w:val="22"/>
        </w:rPr>
        <w:t>其他投资支出是指项目建设单位按照批准的项目建设内容发生的房屋购置支出，基本畜禽、林木等的购置、饲养、培育支出，办公生活用家具、器具购置支出，软件研发及不能计入设备投资的软件购置等支出。</w:t>
      </w:r>
    </w:p>
    <w:p w:rsidR="00A32067" w:rsidRDefault="00A32067">
      <w:pPr>
        <w:pStyle w:val="NormalWeb"/>
        <w:shd w:val="clear" w:color="auto" w:fill="FFFFFF"/>
        <w:spacing w:before="0" w:beforeAutospacing="0" w:after="0" w:afterAutospacing="0" w:line="400" w:lineRule="exact"/>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cs="Times New Roman"/>
          <w:color w:val="000000"/>
          <w:sz w:val="22"/>
          <w:szCs w:val="22"/>
        </w:rPr>
        <w:t> </w:t>
      </w:r>
      <w:r>
        <w:rPr>
          <w:rFonts w:ascii="Times New Roman" w:hAnsi="Times New Roman" w:hint="eastAsia"/>
          <w:b/>
          <w:bCs/>
          <w:color w:val="000000"/>
          <w:sz w:val="22"/>
          <w:szCs w:val="22"/>
        </w:rPr>
        <w:t>第十一条</w:t>
      </w:r>
      <w:r>
        <w:rPr>
          <w:rFonts w:ascii="Times New Roman" w:hAnsi="Times New Roman" w:cs="Times New Roman"/>
          <w:color w:val="000000"/>
          <w:sz w:val="22"/>
          <w:szCs w:val="22"/>
        </w:rPr>
        <w:t> </w:t>
      </w:r>
      <w:r>
        <w:rPr>
          <w:rFonts w:ascii="Times New Roman" w:hAnsi="Times New Roman" w:hint="eastAsia"/>
          <w:color w:val="000000"/>
          <w:sz w:val="22"/>
          <w:szCs w:val="22"/>
        </w:rPr>
        <w:t>本规定自</w:t>
      </w:r>
      <w:r>
        <w:rPr>
          <w:rFonts w:ascii="Times New Roman" w:hAnsi="Times New Roman" w:cs="Times New Roman"/>
          <w:color w:val="000000"/>
          <w:sz w:val="22"/>
          <w:szCs w:val="22"/>
        </w:rPr>
        <w:t>2016</w:t>
      </w:r>
      <w:r>
        <w:rPr>
          <w:rFonts w:ascii="Times New Roman" w:hAnsi="Times New Roman" w:hint="eastAsia"/>
          <w:color w:val="000000"/>
          <w:sz w:val="22"/>
          <w:szCs w:val="22"/>
        </w:rPr>
        <w:t>年</w:t>
      </w:r>
      <w:r>
        <w:rPr>
          <w:rFonts w:ascii="Times New Roman" w:hAnsi="Times New Roman" w:cs="Times New Roman"/>
          <w:color w:val="000000"/>
          <w:sz w:val="22"/>
          <w:szCs w:val="22"/>
        </w:rPr>
        <w:t>9</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日起施行。《财政部关于切实加强政府投资项目代建制财政财务管理有关问题的指导意见》</w:t>
      </w:r>
      <w:r>
        <w:rPr>
          <w:rFonts w:ascii="Times New Roman" w:hAnsi="Times New Roman" w:cs="Times New Roman"/>
          <w:color w:val="000000"/>
          <w:sz w:val="22"/>
          <w:szCs w:val="22"/>
        </w:rPr>
        <w:t>(</w:t>
      </w:r>
      <w:r>
        <w:rPr>
          <w:rFonts w:ascii="Times New Roman" w:hAnsi="Times New Roman" w:hint="eastAsia"/>
          <w:color w:val="000000"/>
          <w:sz w:val="22"/>
          <w:szCs w:val="22"/>
        </w:rPr>
        <w:t>财建〔</w:t>
      </w:r>
      <w:r>
        <w:rPr>
          <w:rFonts w:ascii="Times New Roman" w:hAnsi="Times New Roman" w:cs="Times New Roman"/>
          <w:color w:val="000000"/>
          <w:sz w:val="22"/>
          <w:szCs w:val="22"/>
        </w:rPr>
        <w:t>2004</w:t>
      </w:r>
      <w:r>
        <w:rPr>
          <w:rFonts w:ascii="Times New Roman" w:hAnsi="Times New Roman" w:hint="eastAsia"/>
          <w:color w:val="000000"/>
          <w:sz w:val="22"/>
          <w:szCs w:val="22"/>
        </w:rPr>
        <w:t>〕</w:t>
      </w:r>
      <w:r>
        <w:rPr>
          <w:rFonts w:ascii="Times New Roman" w:hAnsi="Times New Roman" w:cs="Times New Roman"/>
          <w:color w:val="000000"/>
          <w:sz w:val="22"/>
          <w:szCs w:val="22"/>
        </w:rPr>
        <w:t>300</w:t>
      </w:r>
      <w:r>
        <w:rPr>
          <w:rFonts w:ascii="Times New Roman" w:hAnsi="Times New Roman" w:hint="eastAsia"/>
          <w:color w:val="000000"/>
          <w:sz w:val="22"/>
          <w:szCs w:val="22"/>
        </w:rPr>
        <w:t>号</w:t>
      </w:r>
      <w:r>
        <w:rPr>
          <w:rFonts w:ascii="Times New Roman" w:hAnsi="Times New Roman" w:cs="Times New Roman"/>
          <w:color w:val="000000"/>
          <w:sz w:val="22"/>
          <w:szCs w:val="22"/>
        </w:rPr>
        <w:t>)</w:t>
      </w:r>
      <w:r>
        <w:rPr>
          <w:rFonts w:ascii="Times New Roman" w:hAnsi="Times New Roman" w:hint="eastAsia"/>
          <w:color w:val="000000"/>
          <w:sz w:val="22"/>
          <w:szCs w:val="22"/>
        </w:rPr>
        <w:t>同时废止。</w:t>
      </w:r>
    </w:p>
    <w:p w:rsidR="00A32067" w:rsidRDefault="00A32067">
      <w:pPr>
        <w:spacing w:line="220" w:lineRule="atLeast"/>
        <w:rPr>
          <w:color w:val="000000"/>
          <w:sz w:val="24"/>
          <w:szCs w:val="24"/>
        </w:rPr>
      </w:pPr>
      <w:r>
        <w:rPr>
          <w:color w:val="000000"/>
        </w:rPr>
        <w:br w:type="page"/>
      </w:r>
    </w:p>
    <w:p w:rsidR="00A32067" w:rsidRDefault="00A32067">
      <w:pPr>
        <w:pStyle w:val="NormalWeb"/>
        <w:shd w:val="clear" w:color="auto" w:fill="FFFFFF"/>
        <w:rPr>
          <w:rStyle w:val="Strong"/>
          <w:rFonts w:ascii="Times New Roman" w:hAnsi="Times New Roman" w:cs="Times New Roman"/>
          <w:color w:val="000000"/>
        </w:rPr>
      </w:pPr>
      <w:r>
        <w:rPr>
          <w:rStyle w:val="Strong"/>
          <w:rFonts w:ascii="Times New Roman" w:hAnsi="Times New Roman" w:hint="eastAsia"/>
          <w:color w:val="000000"/>
        </w:rPr>
        <w:t>附件</w:t>
      </w:r>
      <w:r>
        <w:rPr>
          <w:rStyle w:val="Strong"/>
          <w:rFonts w:ascii="Times New Roman" w:hAnsi="Times New Roman" w:cs="Times New Roman"/>
          <w:color w:val="000000"/>
        </w:rPr>
        <w:t>2</w:t>
      </w:r>
    </w:p>
    <w:p w:rsidR="00A32067" w:rsidRDefault="00A32067">
      <w:pPr>
        <w:pStyle w:val="NormalWeb"/>
        <w:shd w:val="clear" w:color="auto" w:fill="FFFFFF"/>
        <w:jc w:val="center"/>
        <w:rPr>
          <w:rStyle w:val="Strong"/>
          <w:rFonts w:ascii="Times New Roman" w:hAnsi="Times New Roman" w:cs="Times New Roman"/>
          <w:color w:val="000000"/>
          <w:sz w:val="28"/>
          <w:szCs w:val="28"/>
        </w:rPr>
      </w:pPr>
      <w:r>
        <w:rPr>
          <w:rStyle w:val="Strong"/>
          <w:rFonts w:ascii="Times New Roman" w:hAnsi="Times New Roman" w:hint="eastAsia"/>
          <w:color w:val="000000"/>
          <w:sz w:val="28"/>
          <w:szCs w:val="28"/>
        </w:rPr>
        <w:t>项目建设管理费总额控制数费率表</w:t>
      </w:r>
    </w:p>
    <w:p w:rsidR="00A32067" w:rsidRDefault="00A32067">
      <w:pPr>
        <w:pStyle w:val="NormalWeb"/>
        <w:shd w:val="clear" w:color="auto" w:fill="FFFFFF"/>
        <w:ind w:right="480"/>
        <w:jc w:val="center"/>
        <w:rPr>
          <w:rFonts w:ascii="Times New Roman" w:hAnsi="Times New Roman" w:cs="Times New Roman"/>
          <w:b/>
          <w:bCs/>
          <w:color w:val="000000"/>
          <w:sz w:val="21"/>
          <w:szCs w:val="21"/>
        </w:rPr>
      </w:pPr>
      <w:r>
        <w:rPr>
          <w:rStyle w:val="Strong"/>
          <w:rFonts w:ascii="Times New Roman" w:hAnsi="Times New Roman" w:hint="eastAsia"/>
          <w:b w:val="0"/>
          <w:bCs w:val="0"/>
          <w:color w:val="000000"/>
          <w:sz w:val="21"/>
          <w:szCs w:val="21"/>
        </w:rPr>
        <w:t>单位：万元</w:t>
      </w:r>
    </w:p>
    <w:tbl>
      <w:tblPr>
        <w:tblW w:w="8238" w:type="dxa"/>
        <w:jc w:val="center"/>
        <w:tblLayout w:type="fixed"/>
        <w:tblLook w:val="00A0"/>
      </w:tblPr>
      <w:tblGrid>
        <w:gridCol w:w="1962"/>
        <w:gridCol w:w="910"/>
        <w:gridCol w:w="1538"/>
        <w:gridCol w:w="3828"/>
      </w:tblGrid>
      <w:tr w:rsidR="00A32067">
        <w:trPr>
          <w:trHeight w:val="544"/>
          <w:jc w:val="center"/>
        </w:trPr>
        <w:tc>
          <w:tcPr>
            <w:tcW w:w="1962"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r>
              <w:rPr>
                <w:rFonts w:cs="宋体" w:hint="eastAsia"/>
              </w:rPr>
              <w:t>工程总概算</w:t>
            </w:r>
          </w:p>
        </w:tc>
        <w:tc>
          <w:tcPr>
            <w:tcW w:w="910"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r>
              <w:rPr>
                <w:rFonts w:cs="宋体" w:hint="eastAsia"/>
              </w:rPr>
              <w:t>费率（</w:t>
            </w:r>
            <w:r>
              <w:t>%</w:t>
            </w:r>
            <w:r>
              <w:rPr>
                <w:rFonts w:cs="宋体" w:hint="eastAsia"/>
              </w:rPr>
              <w:t>）</w:t>
            </w:r>
          </w:p>
        </w:tc>
        <w:tc>
          <w:tcPr>
            <w:tcW w:w="5366" w:type="dxa"/>
            <w:gridSpan w:val="2"/>
            <w:tcBorders>
              <w:top w:val="single" w:sz="4" w:space="0" w:color="auto"/>
              <w:left w:val="nil"/>
              <w:bottom w:val="single" w:sz="4" w:space="0" w:color="auto"/>
              <w:right w:val="single" w:sz="4" w:space="0" w:color="auto"/>
            </w:tcBorders>
            <w:vAlign w:val="center"/>
          </w:tcPr>
          <w:p w:rsidR="00A32067" w:rsidRDefault="00A32067">
            <w:pPr>
              <w:jc w:val="center"/>
            </w:pPr>
            <w:r>
              <w:rPr>
                <w:rFonts w:cs="宋体" w:hint="eastAsia"/>
              </w:rPr>
              <w:t>算例</w:t>
            </w:r>
          </w:p>
        </w:tc>
      </w:tr>
      <w:tr w:rsidR="00A32067">
        <w:trPr>
          <w:trHeight w:val="544"/>
          <w:jc w:val="center"/>
        </w:trPr>
        <w:tc>
          <w:tcPr>
            <w:tcW w:w="1962"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p>
        </w:tc>
        <w:tc>
          <w:tcPr>
            <w:tcW w:w="910"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p>
        </w:tc>
        <w:tc>
          <w:tcPr>
            <w:tcW w:w="1538"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工程总概算</w:t>
            </w:r>
          </w:p>
        </w:tc>
        <w:tc>
          <w:tcPr>
            <w:tcW w:w="3828"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项目建设管理费</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1000</w:t>
            </w:r>
            <w:r>
              <w:rPr>
                <w:rFonts w:cs="宋体" w:hint="eastAsia"/>
              </w:rPr>
              <w:t>以下</w:t>
            </w:r>
          </w:p>
        </w:tc>
        <w:tc>
          <w:tcPr>
            <w:tcW w:w="910" w:type="dxa"/>
            <w:tcBorders>
              <w:top w:val="nil"/>
              <w:left w:val="nil"/>
              <w:bottom w:val="single" w:sz="4" w:space="0" w:color="auto"/>
              <w:right w:val="single" w:sz="4" w:space="0" w:color="auto"/>
            </w:tcBorders>
            <w:vAlign w:val="center"/>
          </w:tcPr>
          <w:p w:rsidR="00A32067" w:rsidRDefault="00A32067">
            <w:pPr>
              <w:jc w:val="center"/>
            </w:pPr>
            <w:r>
              <w:t>2</w:t>
            </w:r>
          </w:p>
        </w:tc>
        <w:tc>
          <w:tcPr>
            <w:tcW w:w="1538" w:type="dxa"/>
            <w:tcBorders>
              <w:top w:val="nil"/>
              <w:left w:val="nil"/>
              <w:bottom w:val="single" w:sz="4" w:space="0" w:color="auto"/>
              <w:right w:val="single" w:sz="4" w:space="0" w:color="auto"/>
            </w:tcBorders>
            <w:vAlign w:val="center"/>
          </w:tcPr>
          <w:p w:rsidR="00A32067" w:rsidRDefault="00A32067">
            <w:pPr>
              <w:jc w:val="center"/>
            </w:pPr>
            <w:r>
              <w:t>1000</w:t>
            </w:r>
          </w:p>
        </w:tc>
        <w:tc>
          <w:tcPr>
            <w:tcW w:w="3828" w:type="dxa"/>
            <w:tcBorders>
              <w:top w:val="nil"/>
              <w:left w:val="nil"/>
              <w:bottom w:val="single" w:sz="4" w:space="0" w:color="auto"/>
              <w:right w:val="single" w:sz="4" w:space="0" w:color="auto"/>
            </w:tcBorders>
            <w:vAlign w:val="center"/>
          </w:tcPr>
          <w:p w:rsidR="00A32067" w:rsidRDefault="00A32067">
            <w:pPr>
              <w:jc w:val="center"/>
            </w:pPr>
            <w:r>
              <w:t>1000X2%=20</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1001-5000</w:t>
            </w:r>
          </w:p>
        </w:tc>
        <w:tc>
          <w:tcPr>
            <w:tcW w:w="910" w:type="dxa"/>
            <w:tcBorders>
              <w:top w:val="nil"/>
              <w:left w:val="nil"/>
              <w:bottom w:val="single" w:sz="4" w:space="0" w:color="auto"/>
              <w:right w:val="single" w:sz="4" w:space="0" w:color="auto"/>
            </w:tcBorders>
            <w:vAlign w:val="center"/>
          </w:tcPr>
          <w:p w:rsidR="00A32067" w:rsidRDefault="00A32067">
            <w:pPr>
              <w:jc w:val="center"/>
            </w:pPr>
            <w:r>
              <w:t>1.5</w:t>
            </w:r>
          </w:p>
        </w:tc>
        <w:tc>
          <w:tcPr>
            <w:tcW w:w="1538" w:type="dxa"/>
            <w:tcBorders>
              <w:top w:val="nil"/>
              <w:left w:val="nil"/>
              <w:bottom w:val="single" w:sz="4" w:space="0" w:color="auto"/>
              <w:right w:val="single" w:sz="4" w:space="0" w:color="auto"/>
            </w:tcBorders>
            <w:vAlign w:val="center"/>
          </w:tcPr>
          <w:p w:rsidR="00A32067" w:rsidRDefault="00A32067">
            <w:pPr>
              <w:jc w:val="center"/>
            </w:pPr>
            <w:r>
              <w:t>5000</w:t>
            </w:r>
          </w:p>
        </w:tc>
        <w:tc>
          <w:tcPr>
            <w:tcW w:w="3828" w:type="dxa"/>
            <w:tcBorders>
              <w:top w:val="nil"/>
              <w:left w:val="nil"/>
              <w:bottom w:val="single" w:sz="4" w:space="0" w:color="auto"/>
              <w:right w:val="single" w:sz="4" w:space="0" w:color="auto"/>
            </w:tcBorders>
            <w:vAlign w:val="center"/>
          </w:tcPr>
          <w:p w:rsidR="00A32067" w:rsidRDefault="00A32067">
            <w:pPr>
              <w:jc w:val="center"/>
            </w:pPr>
            <w:r>
              <w:t>20+(5000-1000)X1.5%=80</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5001-10000</w:t>
            </w:r>
          </w:p>
        </w:tc>
        <w:tc>
          <w:tcPr>
            <w:tcW w:w="910" w:type="dxa"/>
            <w:tcBorders>
              <w:top w:val="nil"/>
              <w:left w:val="nil"/>
              <w:bottom w:val="single" w:sz="4" w:space="0" w:color="auto"/>
              <w:right w:val="single" w:sz="4" w:space="0" w:color="auto"/>
            </w:tcBorders>
            <w:vAlign w:val="center"/>
          </w:tcPr>
          <w:p w:rsidR="00A32067" w:rsidRDefault="00A32067">
            <w:pPr>
              <w:jc w:val="center"/>
            </w:pPr>
            <w:r>
              <w:t>1.2</w:t>
            </w:r>
          </w:p>
        </w:tc>
        <w:tc>
          <w:tcPr>
            <w:tcW w:w="1538" w:type="dxa"/>
            <w:tcBorders>
              <w:top w:val="nil"/>
              <w:left w:val="nil"/>
              <w:bottom w:val="single" w:sz="4" w:space="0" w:color="auto"/>
              <w:right w:val="single" w:sz="4" w:space="0" w:color="auto"/>
            </w:tcBorders>
            <w:vAlign w:val="center"/>
          </w:tcPr>
          <w:p w:rsidR="00A32067" w:rsidRDefault="00A32067">
            <w:pPr>
              <w:jc w:val="center"/>
            </w:pPr>
            <w:r>
              <w:t>10000</w:t>
            </w:r>
          </w:p>
        </w:tc>
        <w:tc>
          <w:tcPr>
            <w:tcW w:w="3828" w:type="dxa"/>
            <w:tcBorders>
              <w:top w:val="nil"/>
              <w:left w:val="nil"/>
              <w:bottom w:val="single" w:sz="4" w:space="0" w:color="auto"/>
              <w:right w:val="single" w:sz="4" w:space="0" w:color="auto"/>
            </w:tcBorders>
            <w:vAlign w:val="center"/>
          </w:tcPr>
          <w:p w:rsidR="00A32067" w:rsidRDefault="00A32067">
            <w:pPr>
              <w:jc w:val="center"/>
            </w:pPr>
            <w:r>
              <w:t>80+(10000-5000)X1.2%=140</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10001-50000</w:t>
            </w:r>
          </w:p>
        </w:tc>
        <w:tc>
          <w:tcPr>
            <w:tcW w:w="910" w:type="dxa"/>
            <w:tcBorders>
              <w:top w:val="nil"/>
              <w:left w:val="nil"/>
              <w:bottom w:val="single" w:sz="4" w:space="0" w:color="auto"/>
              <w:right w:val="single" w:sz="4" w:space="0" w:color="auto"/>
            </w:tcBorders>
            <w:vAlign w:val="center"/>
          </w:tcPr>
          <w:p w:rsidR="00A32067" w:rsidRDefault="00A32067">
            <w:pPr>
              <w:jc w:val="center"/>
            </w:pPr>
            <w:r>
              <w:t>1</w:t>
            </w:r>
          </w:p>
        </w:tc>
        <w:tc>
          <w:tcPr>
            <w:tcW w:w="1538" w:type="dxa"/>
            <w:tcBorders>
              <w:top w:val="nil"/>
              <w:left w:val="nil"/>
              <w:bottom w:val="single" w:sz="4" w:space="0" w:color="auto"/>
              <w:right w:val="single" w:sz="4" w:space="0" w:color="auto"/>
            </w:tcBorders>
            <w:vAlign w:val="center"/>
          </w:tcPr>
          <w:p w:rsidR="00A32067" w:rsidRDefault="00A32067">
            <w:pPr>
              <w:jc w:val="center"/>
            </w:pPr>
            <w:r>
              <w:t>50000</w:t>
            </w:r>
          </w:p>
        </w:tc>
        <w:tc>
          <w:tcPr>
            <w:tcW w:w="3828" w:type="dxa"/>
            <w:tcBorders>
              <w:top w:val="nil"/>
              <w:left w:val="nil"/>
              <w:bottom w:val="single" w:sz="4" w:space="0" w:color="auto"/>
              <w:right w:val="single" w:sz="4" w:space="0" w:color="auto"/>
            </w:tcBorders>
            <w:vAlign w:val="center"/>
          </w:tcPr>
          <w:p w:rsidR="00A32067" w:rsidRDefault="00A32067">
            <w:pPr>
              <w:jc w:val="center"/>
            </w:pPr>
            <w:r>
              <w:t>140+(50000-10000)X1%=540</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50001-100000</w:t>
            </w:r>
          </w:p>
        </w:tc>
        <w:tc>
          <w:tcPr>
            <w:tcW w:w="910" w:type="dxa"/>
            <w:tcBorders>
              <w:top w:val="nil"/>
              <w:left w:val="nil"/>
              <w:bottom w:val="single" w:sz="4" w:space="0" w:color="auto"/>
              <w:right w:val="single" w:sz="4" w:space="0" w:color="auto"/>
            </w:tcBorders>
            <w:vAlign w:val="center"/>
          </w:tcPr>
          <w:p w:rsidR="00A32067" w:rsidRDefault="00A32067">
            <w:pPr>
              <w:jc w:val="center"/>
            </w:pPr>
            <w:r>
              <w:t>0.8</w:t>
            </w:r>
          </w:p>
        </w:tc>
        <w:tc>
          <w:tcPr>
            <w:tcW w:w="1538" w:type="dxa"/>
            <w:tcBorders>
              <w:top w:val="nil"/>
              <w:left w:val="nil"/>
              <w:bottom w:val="single" w:sz="4" w:space="0" w:color="auto"/>
              <w:right w:val="single" w:sz="4" w:space="0" w:color="auto"/>
            </w:tcBorders>
            <w:vAlign w:val="center"/>
          </w:tcPr>
          <w:p w:rsidR="00A32067" w:rsidRDefault="00A32067">
            <w:pPr>
              <w:jc w:val="center"/>
            </w:pPr>
            <w:r>
              <w:t>100000</w:t>
            </w:r>
          </w:p>
        </w:tc>
        <w:tc>
          <w:tcPr>
            <w:tcW w:w="3828" w:type="dxa"/>
            <w:tcBorders>
              <w:top w:val="nil"/>
              <w:left w:val="nil"/>
              <w:bottom w:val="single" w:sz="4" w:space="0" w:color="auto"/>
              <w:right w:val="single" w:sz="4" w:space="0" w:color="auto"/>
            </w:tcBorders>
            <w:vAlign w:val="center"/>
          </w:tcPr>
          <w:p w:rsidR="00A32067" w:rsidRDefault="00A32067">
            <w:pPr>
              <w:jc w:val="center"/>
            </w:pPr>
            <w:r>
              <w:t>540+(100000-50000)X0.8%=940</w:t>
            </w:r>
          </w:p>
        </w:tc>
      </w:tr>
      <w:tr w:rsidR="00A32067">
        <w:trPr>
          <w:trHeight w:val="544"/>
          <w:jc w:val="center"/>
        </w:trPr>
        <w:tc>
          <w:tcPr>
            <w:tcW w:w="1962" w:type="dxa"/>
            <w:tcBorders>
              <w:top w:val="nil"/>
              <w:left w:val="single" w:sz="4" w:space="0" w:color="auto"/>
              <w:bottom w:val="single" w:sz="4" w:space="0" w:color="auto"/>
              <w:right w:val="single" w:sz="4" w:space="0" w:color="auto"/>
            </w:tcBorders>
            <w:vAlign w:val="center"/>
          </w:tcPr>
          <w:p w:rsidR="00A32067" w:rsidRDefault="00A32067">
            <w:pPr>
              <w:jc w:val="center"/>
            </w:pPr>
            <w:r>
              <w:t>100000</w:t>
            </w:r>
            <w:r>
              <w:rPr>
                <w:rFonts w:cs="宋体" w:hint="eastAsia"/>
              </w:rPr>
              <w:t>以上</w:t>
            </w:r>
          </w:p>
        </w:tc>
        <w:tc>
          <w:tcPr>
            <w:tcW w:w="910" w:type="dxa"/>
            <w:tcBorders>
              <w:top w:val="nil"/>
              <w:left w:val="nil"/>
              <w:bottom w:val="single" w:sz="4" w:space="0" w:color="auto"/>
              <w:right w:val="single" w:sz="4" w:space="0" w:color="auto"/>
            </w:tcBorders>
            <w:vAlign w:val="center"/>
          </w:tcPr>
          <w:p w:rsidR="00A32067" w:rsidRDefault="00A32067">
            <w:pPr>
              <w:jc w:val="center"/>
            </w:pPr>
            <w:r>
              <w:t>0.4</w:t>
            </w:r>
          </w:p>
        </w:tc>
        <w:tc>
          <w:tcPr>
            <w:tcW w:w="1538" w:type="dxa"/>
            <w:tcBorders>
              <w:top w:val="nil"/>
              <w:left w:val="nil"/>
              <w:bottom w:val="single" w:sz="4" w:space="0" w:color="auto"/>
              <w:right w:val="single" w:sz="4" w:space="0" w:color="auto"/>
            </w:tcBorders>
            <w:vAlign w:val="center"/>
          </w:tcPr>
          <w:p w:rsidR="00A32067" w:rsidRDefault="00A32067">
            <w:pPr>
              <w:jc w:val="center"/>
            </w:pPr>
            <w:r>
              <w:t>200000</w:t>
            </w:r>
          </w:p>
        </w:tc>
        <w:tc>
          <w:tcPr>
            <w:tcW w:w="3828" w:type="dxa"/>
            <w:tcBorders>
              <w:top w:val="nil"/>
              <w:left w:val="nil"/>
              <w:bottom w:val="single" w:sz="4" w:space="0" w:color="auto"/>
              <w:right w:val="single" w:sz="4" w:space="0" w:color="auto"/>
            </w:tcBorders>
            <w:vAlign w:val="center"/>
          </w:tcPr>
          <w:p w:rsidR="00A32067" w:rsidRDefault="00A32067">
            <w:pPr>
              <w:jc w:val="center"/>
            </w:pPr>
            <w:r>
              <w:t>940+(200000-100000)X0.4%=1340</w:t>
            </w:r>
          </w:p>
        </w:tc>
      </w:tr>
    </w:tbl>
    <w:p w:rsidR="00A32067" w:rsidRDefault="00A32067">
      <w:pPr>
        <w:rPr>
          <w:sz w:val="28"/>
          <w:szCs w:val="28"/>
        </w:rPr>
      </w:pPr>
    </w:p>
    <w:p w:rsidR="00A32067" w:rsidRDefault="00A32067">
      <w:pPr>
        <w:spacing w:line="220" w:lineRule="atLeast"/>
      </w:pPr>
    </w:p>
    <w:p w:rsidR="00A32067" w:rsidRDefault="00A32067">
      <w:pPr>
        <w:spacing w:line="220" w:lineRule="atLeast"/>
      </w:pPr>
      <w:r>
        <w:br w:type="page"/>
      </w:r>
    </w:p>
    <w:p w:rsidR="00A32067" w:rsidRDefault="00A32067" w:rsidP="0002085C">
      <w:pPr>
        <w:spacing w:afterLines="100" w:line="360" w:lineRule="auto"/>
        <w:jc w:val="center"/>
        <w:outlineLvl w:val="2"/>
        <w:rPr>
          <w:sz w:val="44"/>
          <w:szCs w:val="44"/>
        </w:rPr>
      </w:pPr>
      <w:bookmarkStart w:id="45" w:name="_Toc519872285"/>
      <w:r>
        <w:rPr>
          <w:rFonts w:cs="宋体" w:hint="eastAsia"/>
          <w:sz w:val="44"/>
          <w:szCs w:val="44"/>
        </w:rPr>
        <w:t>国家发展改革委关于进一步放开建设项目</w:t>
      </w:r>
      <w:r>
        <w:rPr>
          <w:sz w:val="44"/>
          <w:szCs w:val="44"/>
        </w:rPr>
        <w:br/>
      </w:r>
      <w:r>
        <w:rPr>
          <w:rFonts w:cs="宋体" w:hint="eastAsia"/>
          <w:sz w:val="44"/>
          <w:szCs w:val="44"/>
        </w:rPr>
        <w:t>专业服务价格的通知</w:t>
      </w:r>
      <w:r>
        <w:rPr>
          <w:sz w:val="44"/>
          <w:szCs w:val="44"/>
        </w:rPr>
        <w:br/>
      </w:r>
      <w:r>
        <w:rPr>
          <w:rFonts w:cs="宋体" w:hint="eastAsia"/>
          <w:color w:val="000000"/>
          <w:sz w:val="22"/>
          <w:szCs w:val="22"/>
        </w:rPr>
        <w:t>发改价格〔</w:t>
      </w:r>
      <w:r>
        <w:rPr>
          <w:color w:val="000000"/>
          <w:sz w:val="22"/>
          <w:szCs w:val="22"/>
        </w:rPr>
        <w:t>2015</w:t>
      </w:r>
      <w:r>
        <w:rPr>
          <w:rFonts w:cs="宋体" w:hint="eastAsia"/>
          <w:color w:val="000000"/>
          <w:sz w:val="22"/>
          <w:szCs w:val="22"/>
        </w:rPr>
        <w:t>〕</w:t>
      </w:r>
      <w:r>
        <w:rPr>
          <w:color w:val="000000"/>
          <w:sz w:val="22"/>
          <w:szCs w:val="22"/>
        </w:rPr>
        <w:t>299</w:t>
      </w:r>
      <w:r>
        <w:rPr>
          <w:rFonts w:cs="宋体" w:hint="eastAsia"/>
          <w:color w:val="000000"/>
          <w:sz w:val="22"/>
          <w:szCs w:val="22"/>
        </w:rPr>
        <w:t>号</w:t>
      </w:r>
      <w:bookmarkEnd w:id="45"/>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国务院有关部门、直属机构，各省、自治区、直辖市发展改革委、物价局：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为贯彻落实党的十八届三中全会精神，按照国务院部署，充分发挥市场在资源配置中的决定性作用，决定进一步放开建设项目专业服务价格。现将有关事项通知如下：</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一、在已放开非政府投资及非政府委托的建设项目专业服务价格的基础上，全面放开以下实行政府指导价管理的建设项目专业服务价格，实行市场调节价。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（一）建设项目前期工作咨询费，指工程咨询机构接受委托，提供建设项目专题研究、编制和评估项目建议书或者可行性研究报告，以及其它与建设项目前期工作有关的咨询等服务收取的费用。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工程勘察设计费，包括工程勘察收费和工程设计收费。工程勘察收费，指工程勘察机构接受委托，提供收集已有资料、现场踏勘、制定勘察纲要，进行测绘、勘探、取样、试验、测试、检测、监测等勘察作业，以及编制工程勘察文件和岩土工程设计文件等服务收取的费用；工程设计收费，指工程设计机构接受委托，提供编制建设项目初步设计文件、施工图设计文件、非标准设备设计文件、施工图预算文件、竣工图文件等服务收取的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招标代理费，指招标代理机构接受委托，提供代理工程、货物、服务招标，编制招标文件、审查投标人资格，组织投标人踏勘现场并答疑，组织开标、评标、定标，以及提供招标前期咨询、协调合同的签订等服务收取的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（四）工程监理费，指工程监理机构接受委托，提供建设工程施工阶段的质量、进度、费用控制管理和安全生产监督管理、合同、信息等方面协调管理等服务收取的费用。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（五）环境影响咨询费，指环境影响咨询机构接受委托，提供编制环境影响报告书、环境影响报告表和对环境影响报告书、环境影响报告表进行技术评估等服务收取的费用。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二、上述</w:t>
      </w:r>
      <w:r>
        <w:rPr>
          <w:rFonts w:ascii="Times New Roman" w:hAnsi="Times New Roman" w:cs="Times New Roman"/>
          <w:color w:val="000000"/>
          <w:sz w:val="22"/>
          <w:szCs w:val="22"/>
        </w:rPr>
        <w:t>5</w:t>
      </w:r>
      <w:r>
        <w:rPr>
          <w:rFonts w:ascii="Times New Roman" w:hAnsi="Times New Roman" w:hint="eastAsia"/>
          <w:color w:val="000000"/>
          <w:sz w:val="22"/>
          <w:szCs w:val="22"/>
        </w:rPr>
        <w:t>项服务价格实行市场调节价后，经营者应严格遵守《价格法》、《关于商品和服务实行明码标价的规定》等法律法规规定，告知委托人有关服务项目、服务内容、服务质量，以及服务价格等，并在相关服务合同中约定。经营者提供的服务，应当符合国家和行业有关标准规范，满足合同约定的服务内容和质量等要求。不得违反标准规范规定或合同约定，通过降低服务质量、减少服务内容等手段进行恶性竞争，扰乱正常市场秩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各有关行业主管部门要加强对本行业相关经营主体服务行为监管。要建立健全服务标准规范，进一步完善行业准入和退出机制，为市场主体创造公开、公平的市场竞争环境，引导行业健康发展；要制定市场主体和从业人员信用评价标准，推进工程建设服务市场信用体系建设，加大对有重大失信行为的企业及负有责任的从业人员的惩戒力度。充分发挥行业协会服务企业和行业自律作用，加强对本行业经营者的培训和指导。</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政府有关部门对建设项目实施审批、核准或备案管理，需委托专业服务机构等中介提供评估评审等服务的，有关评估评审费用等由委托评估评审的项目审批、核准或备案机关承担，评估评审机构不得向项目单位收取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五、各级价格主管部门要加强对建设项目服务市场价格行为监管，依法查处各种截留定价权，利用行政权力指定服务、转嫁成本，以及串通涨价、价格欺诈等行为，维护正常的市场秩序，保障市场主体合法权益。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六、本通知自</w:t>
      </w:r>
      <w:r>
        <w:rPr>
          <w:rFonts w:ascii="Times New Roman" w:hAnsi="Times New Roman" w:cs="Times New Roman"/>
          <w:color w:val="000000"/>
          <w:sz w:val="22"/>
          <w:szCs w:val="22"/>
        </w:rPr>
        <w:t>2015</w:t>
      </w:r>
      <w:r>
        <w:rPr>
          <w:rFonts w:ascii="Times New Roman" w:hAnsi="Times New Roman" w:hint="eastAsia"/>
          <w:color w:val="000000"/>
          <w:sz w:val="22"/>
          <w:szCs w:val="22"/>
        </w:rPr>
        <w:t>年</w:t>
      </w:r>
      <w:r>
        <w:rPr>
          <w:rFonts w:ascii="Times New Roman" w:hAnsi="Times New Roman" w:cs="Times New Roman"/>
          <w:color w:val="000000"/>
          <w:sz w:val="22"/>
          <w:szCs w:val="22"/>
        </w:rPr>
        <w:t>3</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日起执行。此前与本通知不符的有关规定，同时废止。</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r>
        <w:rPr>
          <w:rFonts w:ascii="Times New Roman" w:hAnsi="Times New Roman" w:hint="eastAsia"/>
          <w:color w:val="000000"/>
          <w:sz w:val="22"/>
          <w:szCs w:val="22"/>
        </w:rPr>
        <w:t>国家发展改革委</w:t>
      </w: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r>
        <w:rPr>
          <w:rFonts w:ascii="Times New Roman" w:hAnsi="Times New Roman" w:cs="Times New Roman"/>
          <w:color w:val="000000"/>
          <w:sz w:val="22"/>
          <w:szCs w:val="22"/>
        </w:rPr>
        <w:t>2015</w:t>
      </w:r>
      <w:r>
        <w:rPr>
          <w:rFonts w:ascii="Times New Roman" w:hAnsi="Times New Roman" w:hint="eastAsia"/>
          <w:color w:val="000000"/>
          <w:sz w:val="22"/>
          <w:szCs w:val="22"/>
        </w:rPr>
        <w:t>年</w:t>
      </w:r>
      <w:r>
        <w:rPr>
          <w:rFonts w:ascii="Times New Roman" w:hAnsi="Times New Roman" w:cs="Times New Roman"/>
          <w:color w:val="000000"/>
          <w:sz w:val="22"/>
          <w:szCs w:val="22"/>
        </w:rPr>
        <w:t>2</w:t>
      </w:r>
      <w:r>
        <w:rPr>
          <w:rFonts w:ascii="Times New Roman" w:hAnsi="Times New Roman" w:hint="eastAsia"/>
          <w:color w:val="000000"/>
          <w:sz w:val="22"/>
          <w:szCs w:val="22"/>
        </w:rPr>
        <w:t>月</w:t>
      </w:r>
      <w:r>
        <w:rPr>
          <w:rFonts w:ascii="Times New Roman" w:hAnsi="Times New Roman" w:cs="Times New Roman"/>
          <w:color w:val="000000"/>
          <w:sz w:val="22"/>
          <w:szCs w:val="22"/>
        </w:rPr>
        <w:t>11</w:t>
      </w:r>
      <w:r>
        <w:rPr>
          <w:rFonts w:ascii="Times New Roman" w:hAnsi="Times New Roman" w:hint="eastAsia"/>
          <w:color w:val="000000"/>
          <w:sz w:val="22"/>
          <w:szCs w:val="22"/>
        </w:rPr>
        <w:t>日</w:t>
      </w:r>
    </w:p>
    <w:p w:rsidR="00A32067" w:rsidRDefault="00A32067">
      <w:pPr>
        <w:jc w:val="center"/>
        <w:outlineLvl w:val="0"/>
      </w:pPr>
    </w:p>
    <w:p w:rsidR="00A32067" w:rsidRDefault="00A32067">
      <w:pPr>
        <w:spacing w:line="220" w:lineRule="atLeast"/>
      </w:pPr>
      <w:r>
        <w:br w:type="page"/>
      </w:r>
    </w:p>
    <w:p w:rsidR="00A32067" w:rsidRDefault="00A32067">
      <w:pPr>
        <w:spacing w:line="360" w:lineRule="auto"/>
        <w:jc w:val="center"/>
        <w:outlineLvl w:val="2"/>
        <w:rPr>
          <w:sz w:val="30"/>
          <w:szCs w:val="30"/>
        </w:rPr>
      </w:pPr>
      <w:bookmarkStart w:id="46" w:name="_Toc519872286"/>
      <w:r>
        <w:rPr>
          <w:rFonts w:cs="宋体" w:hint="eastAsia"/>
          <w:sz w:val="30"/>
          <w:szCs w:val="30"/>
        </w:rPr>
        <w:t>河北省物价局、计划委员会关于转发《国家计委关于印发</w:t>
      </w:r>
    </w:p>
    <w:p w:rsidR="00A32067" w:rsidRDefault="00A32067">
      <w:pPr>
        <w:spacing w:line="360" w:lineRule="auto"/>
        <w:jc w:val="center"/>
        <w:outlineLvl w:val="2"/>
        <w:rPr>
          <w:color w:val="000000"/>
          <w:sz w:val="22"/>
          <w:szCs w:val="22"/>
        </w:rPr>
      </w:pPr>
      <w:r>
        <w:rPr>
          <w:sz w:val="30"/>
          <w:szCs w:val="30"/>
        </w:rPr>
        <w:t>&lt;</w:t>
      </w:r>
      <w:r>
        <w:rPr>
          <w:rFonts w:cs="宋体" w:hint="eastAsia"/>
          <w:sz w:val="30"/>
          <w:szCs w:val="30"/>
        </w:rPr>
        <w:t>建设项目前期工作咨询收费暂行规定</w:t>
      </w:r>
      <w:r>
        <w:rPr>
          <w:sz w:val="30"/>
          <w:szCs w:val="30"/>
        </w:rPr>
        <w:t>&gt;</w:t>
      </w:r>
      <w:r>
        <w:rPr>
          <w:rFonts w:cs="宋体" w:hint="eastAsia"/>
          <w:sz w:val="30"/>
          <w:szCs w:val="30"/>
        </w:rPr>
        <w:t>的通知》的通知</w:t>
      </w:r>
      <w:r>
        <w:rPr>
          <w:sz w:val="30"/>
          <w:szCs w:val="30"/>
        </w:rPr>
        <w:br/>
      </w:r>
      <w:r>
        <w:rPr>
          <w:rFonts w:cs="宋体" w:hint="eastAsia"/>
          <w:color w:val="000000"/>
          <w:sz w:val="22"/>
          <w:szCs w:val="22"/>
        </w:rPr>
        <w:t>冀价经费字</w:t>
      </w:r>
      <w:r>
        <w:rPr>
          <w:color w:val="000000"/>
          <w:sz w:val="22"/>
          <w:szCs w:val="22"/>
        </w:rPr>
        <w:t>[2000]10</w:t>
      </w:r>
      <w:r>
        <w:rPr>
          <w:rFonts w:cs="宋体" w:hint="eastAsia"/>
          <w:color w:val="000000"/>
          <w:sz w:val="22"/>
          <w:szCs w:val="22"/>
        </w:rPr>
        <w:t>号</w:t>
      </w:r>
      <w:bookmarkEnd w:id="46"/>
    </w:p>
    <w:p w:rsidR="00A32067" w:rsidRDefault="00A32067">
      <w:pPr>
        <w:jc w:val="center"/>
        <w:outlineLvl w:val="2"/>
        <w:rPr>
          <w:color w:val="000000"/>
          <w:sz w:val="24"/>
          <w:szCs w:val="24"/>
        </w:rPr>
      </w:pPr>
    </w:p>
    <w:p w:rsidR="00A32067" w:rsidRDefault="00A32067">
      <w:pPr>
        <w:spacing w:line="480" w:lineRule="auto"/>
        <w:rPr>
          <w:color w:val="000000"/>
          <w:kern w:val="0"/>
          <w:sz w:val="22"/>
          <w:szCs w:val="22"/>
        </w:rPr>
      </w:pPr>
      <w:r>
        <w:rPr>
          <w:rFonts w:cs="宋体" w:hint="eastAsia"/>
          <w:color w:val="000000"/>
          <w:kern w:val="0"/>
          <w:sz w:val="22"/>
          <w:szCs w:val="22"/>
        </w:rPr>
        <w:t>各市区市物价局、计划委员会，省工程咨询协会：</w:t>
      </w:r>
      <w:r>
        <w:rPr>
          <w:color w:val="000000"/>
          <w:kern w:val="0"/>
          <w:sz w:val="22"/>
          <w:szCs w:val="22"/>
        </w:rPr>
        <w:br/>
      </w:r>
      <w:r>
        <w:rPr>
          <w:rFonts w:eastAsia="微软雅黑" w:cs="微软雅黑" w:hint="eastAsia"/>
          <w:color w:val="000000"/>
          <w:kern w:val="0"/>
          <w:sz w:val="24"/>
          <w:szCs w:val="24"/>
        </w:rPr>
        <w:t xml:space="preserve">　　</w:t>
      </w:r>
      <w:r>
        <w:rPr>
          <w:rFonts w:cs="宋体" w:hint="eastAsia"/>
          <w:color w:val="000000"/>
          <w:kern w:val="0"/>
          <w:sz w:val="22"/>
          <w:szCs w:val="22"/>
        </w:rPr>
        <w:t>现将国家计委《关于印发建设项目前期工作咨询收费暂行规定的通知》（计价格</w:t>
      </w:r>
      <w:r>
        <w:rPr>
          <w:color w:val="000000"/>
          <w:kern w:val="0"/>
          <w:sz w:val="22"/>
          <w:szCs w:val="22"/>
        </w:rPr>
        <w:t>[1999]1283</w:t>
      </w:r>
      <w:r>
        <w:rPr>
          <w:rFonts w:cs="宋体" w:hint="eastAsia"/>
          <w:color w:val="000000"/>
          <w:kern w:val="0"/>
          <w:sz w:val="22"/>
          <w:szCs w:val="22"/>
        </w:rPr>
        <w:t>号）转发给你们，并结合我省实际做如下补充规定，请一并贯彻执行。</w:t>
      </w:r>
      <w:r>
        <w:rPr>
          <w:color w:val="000000"/>
          <w:kern w:val="0"/>
          <w:sz w:val="22"/>
          <w:szCs w:val="22"/>
        </w:rPr>
        <w:br/>
      </w:r>
      <w:r>
        <w:rPr>
          <w:rFonts w:cs="宋体" w:hint="eastAsia"/>
          <w:color w:val="000000"/>
          <w:kern w:val="0"/>
          <w:sz w:val="22"/>
          <w:szCs w:val="22"/>
        </w:rPr>
        <w:t xml:space="preserve">　　一、</w:t>
      </w:r>
      <w:r>
        <w:rPr>
          <w:color w:val="000000"/>
          <w:kern w:val="0"/>
          <w:sz w:val="22"/>
          <w:szCs w:val="22"/>
        </w:rPr>
        <w:t> </w:t>
      </w:r>
      <w:r>
        <w:rPr>
          <w:rFonts w:cs="宋体" w:hint="eastAsia"/>
          <w:color w:val="000000"/>
          <w:kern w:val="0"/>
          <w:sz w:val="22"/>
          <w:szCs w:val="22"/>
        </w:rPr>
        <w:t>对建设项目投资额在</w:t>
      </w:r>
      <w:r>
        <w:rPr>
          <w:color w:val="000000"/>
          <w:kern w:val="0"/>
          <w:sz w:val="22"/>
          <w:szCs w:val="22"/>
        </w:rPr>
        <w:t>3000</w:t>
      </w:r>
      <w:r>
        <w:rPr>
          <w:rFonts w:cs="宋体" w:hint="eastAsia"/>
          <w:color w:val="000000"/>
          <w:kern w:val="0"/>
          <w:sz w:val="22"/>
          <w:szCs w:val="22"/>
        </w:rPr>
        <w:t>万元以下的编制、评估项目建议书或可行性研究报告的收费标准详见附表。</w:t>
      </w:r>
      <w:r>
        <w:rPr>
          <w:color w:val="000000"/>
          <w:kern w:val="0"/>
          <w:sz w:val="22"/>
          <w:szCs w:val="22"/>
        </w:rPr>
        <w:br/>
      </w:r>
      <w:r>
        <w:rPr>
          <w:rFonts w:cs="宋体" w:hint="eastAsia"/>
          <w:color w:val="000000"/>
          <w:kern w:val="0"/>
          <w:sz w:val="22"/>
          <w:szCs w:val="22"/>
        </w:rPr>
        <w:t xml:space="preserve">　　二、</w:t>
      </w:r>
      <w:r>
        <w:rPr>
          <w:color w:val="000000"/>
          <w:kern w:val="0"/>
          <w:sz w:val="22"/>
          <w:szCs w:val="22"/>
        </w:rPr>
        <w:t> </w:t>
      </w:r>
      <w:r>
        <w:rPr>
          <w:rFonts w:cs="宋体" w:hint="eastAsia"/>
          <w:color w:val="000000"/>
          <w:kern w:val="0"/>
          <w:sz w:val="22"/>
          <w:szCs w:val="22"/>
        </w:rPr>
        <w:t>在编制、评估项目建议书或可行性研究报告之外，涉及其他建设项目前期工作咨询服务的收费标准，国家和省有规定的按规定执行，没有规定的由咨询机构与委托人协商议定。</w:t>
      </w:r>
      <w:r>
        <w:rPr>
          <w:color w:val="000000"/>
          <w:kern w:val="0"/>
          <w:sz w:val="22"/>
          <w:szCs w:val="22"/>
        </w:rPr>
        <w:br/>
      </w:r>
      <w:r>
        <w:rPr>
          <w:rFonts w:cs="宋体" w:hint="eastAsia"/>
          <w:color w:val="000000"/>
          <w:kern w:val="0"/>
          <w:sz w:val="22"/>
          <w:szCs w:val="22"/>
        </w:rPr>
        <w:t xml:space="preserve">　　三、</w:t>
      </w:r>
      <w:r>
        <w:rPr>
          <w:color w:val="000000"/>
          <w:kern w:val="0"/>
          <w:sz w:val="22"/>
          <w:szCs w:val="22"/>
        </w:rPr>
        <w:t> </w:t>
      </w:r>
      <w:r>
        <w:rPr>
          <w:rFonts w:cs="宋体" w:hint="eastAsia"/>
          <w:color w:val="000000"/>
          <w:kern w:val="0"/>
          <w:sz w:val="22"/>
          <w:szCs w:val="22"/>
        </w:rPr>
        <w:t>各工程咨询单位应按规定到当地物价部门申领《收费许可证》后，方可实施收费。</w:t>
      </w:r>
      <w:r>
        <w:rPr>
          <w:color w:val="000000"/>
          <w:kern w:val="0"/>
          <w:sz w:val="22"/>
          <w:szCs w:val="22"/>
        </w:rPr>
        <w:br/>
      </w:r>
      <w:r>
        <w:rPr>
          <w:rFonts w:cs="宋体" w:hint="eastAsia"/>
          <w:color w:val="000000"/>
          <w:kern w:val="0"/>
          <w:sz w:val="22"/>
          <w:szCs w:val="22"/>
        </w:rPr>
        <w:t xml:space="preserve">　　四、</w:t>
      </w:r>
      <w:r>
        <w:rPr>
          <w:color w:val="000000"/>
          <w:kern w:val="0"/>
          <w:sz w:val="22"/>
          <w:szCs w:val="22"/>
        </w:rPr>
        <w:t> </w:t>
      </w:r>
      <w:r>
        <w:rPr>
          <w:rFonts w:cs="宋体" w:hint="eastAsia"/>
          <w:color w:val="000000"/>
          <w:kern w:val="0"/>
          <w:sz w:val="22"/>
          <w:szCs w:val="22"/>
        </w:rPr>
        <w:t>本通知自二</w:t>
      </w:r>
      <w:r>
        <w:rPr>
          <w:color w:val="000000"/>
          <w:kern w:val="0"/>
          <w:sz w:val="22"/>
          <w:szCs w:val="22"/>
        </w:rPr>
        <w:t>000</w:t>
      </w:r>
      <w:r>
        <w:rPr>
          <w:rFonts w:cs="宋体" w:hint="eastAsia"/>
          <w:color w:val="000000"/>
          <w:kern w:val="0"/>
          <w:sz w:val="22"/>
          <w:szCs w:val="22"/>
        </w:rPr>
        <w:t>年四月一日起执行。以前规定凡与本通知有抵触的一律以本通知为准。</w:t>
      </w:r>
      <w:r>
        <w:rPr>
          <w:color w:val="000000"/>
          <w:kern w:val="0"/>
          <w:sz w:val="22"/>
          <w:szCs w:val="22"/>
        </w:rPr>
        <w:br/>
      </w:r>
      <w:r>
        <w:rPr>
          <w:rFonts w:cs="宋体" w:hint="eastAsia"/>
          <w:color w:val="000000"/>
          <w:kern w:val="0"/>
          <w:sz w:val="22"/>
          <w:szCs w:val="22"/>
        </w:rPr>
        <w:t>附：</w:t>
      </w:r>
      <w:r>
        <w:rPr>
          <w:color w:val="000000"/>
          <w:kern w:val="0"/>
          <w:sz w:val="22"/>
          <w:szCs w:val="22"/>
        </w:rPr>
        <w:t>1</w:t>
      </w:r>
      <w:r>
        <w:rPr>
          <w:rFonts w:cs="宋体" w:hint="eastAsia"/>
          <w:color w:val="000000"/>
          <w:kern w:val="0"/>
          <w:sz w:val="22"/>
          <w:szCs w:val="22"/>
        </w:rPr>
        <w:t>、建设项目估算投资额</w:t>
      </w:r>
      <w:r>
        <w:rPr>
          <w:color w:val="000000"/>
          <w:kern w:val="0"/>
          <w:sz w:val="22"/>
          <w:szCs w:val="22"/>
        </w:rPr>
        <w:t>3000</w:t>
      </w:r>
      <w:r>
        <w:rPr>
          <w:rFonts w:cs="宋体" w:hint="eastAsia"/>
          <w:color w:val="000000"/>
          <w:kern w:val="0"/>
          <w:sz w:val="22"/>
          <w:szCs w:val="22"/>
        </w:rPr>
        <w:t>万元以下分档收费标准。</w:t>
      </w:r>
      <w:r>
        <w:rPr>
          <w:color w:val="000000"/>
          <w:kern w:val="0"/>
          <w:sz w:val="22"/>
          <w:szCs w:val="22"/>
        </w:rPr>
        <w:br/>
      </w:r>
      <w:r>
        <w:rPr>
          <w:rFonts w:cs="宋体" w:hint="eastAsia"/>
          <w:color w:val="000000"/>
          <w:kern w:val="0"/>
          <w:sz w:val="22"/>
          <w:szCs w:val="22"/>
        </w:rPr>
        <w:t xml:space="preserve">　　</w:t>
      </w:r>
      <w:r>
        <w:rPr>
          <w:color w:val="000000"/>
          <w:kern w:val="0"/>
          <w:sz w:val="22"/>
          <w:szCs w:val="22"/>
        </w:rPr>
        <w:t>2</w:t>
      </w:r>
      <w:r>
        <w:rPr>
          <w:rFonts w:cs="宋体" w:hint="eastAsia"/>
          <w:color w:val="000000"/>
          <w:kern w:val="0"/>
          <w:sz w:val="22"/>
          <w:szCs w:val="22"/>
        </w:rPr>
        <w:t>、国家发展计划委员会</w:t>
      </w:r>
      <w:r>
        <w:rPr>
          <w:color w:val="000000"/>
          <w:kern w:val="0"/>
          <w:sz w:val="22"/>
          <w:szCs w:val="22"/>
        </w:rPr>
        <w:t>[1999]1283</w:t>
      </w:r>
      <w:r>
        <w:rPr>
          <w:rFonts w:cs="宋体" w:hint="eastAsia"/>
          <w:color w:val="000000"/>
          <w:kern w:val="0"/>
          <w:sz w:val="22"/>
          <w:szCs w:val="22"/>
        </w:rPr>
        <w:t>号文件一</w:t>
      </w:r>
    </w:p>
    <w:p w:rsidR="00A32067" w:rsidRDefault="00A32067" w:rsidP="0002085C">
      <w:pPr>
        <w:spacing w:afterLines="100" w:line="480" w:lineRule="auto"/>
        <w:rPr>
          <w:color w:val="000000"/>
          <w:kern w:val="0"/>
          <w:sz w:val="24"/>
          <w:szCs w:val="24"/>
        </w:rPr>
      </w:pPr>
      <w:r>
        <w:rPr>
          <w:rFonts w:cs="宋体" w:hint="eastAsia"/>
          <w:color w:val="000000"/>
          <w:kern w:val="0"/>
          <w:sz w:val="24"/>
          <w:szCs w:val="24"/>
        </w:rPr>
        <w:t>附表：建设项目估算投资额</w:t>
      </w:r>
      <w:r>
        <w:rPr>
          <w:color w:val="000000"/>
          <w:kern w:val="0"/>
          <w:sz w:val="24"/>
          <w:szCs w:val="24"/>
        </w:rPr>
        <w:t>3000</w:t>
      </w:r>
      <w:r>
        <w:rPr>
          <w:rFonts w:cs="宋体" w:hint="eastAsia"/>
          <w:color w:val="000000"/>
          <w:kern w:val="0"/>
          <w:sz w:val="24"/>
          <w:szCs w:val="24"/>
        </w:rPr>
        <w:t>万元以下分档收费标准</w:t>
      </w:r>
    </w:p>
    <w:p w:rsidR="00A32067" w:rsidRDefault="00A32067">
      <w:pPr>
        <w:jc w:val="center"/>
        <w:rPr>
          <w:b/>
          <w:bCs/>
          <w:color w:val="000000"/>
          <w:sz w:val="24"/>
          <w:szCs w:val="24"/>
        </w:rPr>
      </w:pPr>
      <w:r>
        <w:rPr>
          <w:rFonts w:cs="宋体" w:hint="eastAsia"/>
          <w:b/>
          <w:bCs/>
          <w:color w:val="000000"/>
          <w:sz w:val="24"/>
          <w:szCs w:val="24"/>
        </w:rPr>
        <w:t>建设项目估算投资额</w:t>
      </w:r>
      <w:r>
        <w:rPr>
          <w:b/>
          <w:bCs/>
          <w:color w:val="000000"/>
          <w:sz w:val="24"/>
          <w:szCs w:val="24"/>
        </w:rPr>
        <w:t>3000</w:t>
      </w:r>
      <w:r>
        <w:rPr>
          <w:rFonts w:cs="宋体" w:hint="eastAsia"/>
          <w:b/>
          <w:bCs/>
          <w:color w:val="000000"/>
          <w:sz w:val="24"/>
          <w:szCs w:val="24"/>
        </w:rPr>
        <w:t>万元以下分档收费标准</w:t>
      </w:r>
    </w:p>
    <w:p w:rsidR="00A32067" w:rsidRDefault="00A32067" w:rsidP="0002085C">
      <w:pPr>
        <w:spacing w:afterLines="50"/>
        <w:ind w:right="238"/>
        <w:jc w:val="right"/>
        <w:rPr>
          <w:b/>
          <w:bCs/>
          <w:color w:val="000000"/>
        </w:rPr>
      </w:pPr>
      <w:r>
        <w:rPr>
          <w:rFonts w:cs="宋体" w:hint="eastAsia"/>
          <w:b/>
          <w:bCs/>
          <w:color w:val="000000"/>
        </w:rPr>
        <w:t>单位：万元</w:t>
      </w:r>
    </w:p>
    <w:tbl>
      <w:tblPr>
        <w:tblW w:w="93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4354"/>
        <w:gridCol w:w="2400"/>
        <w:gridCol w:w="2565"/>
      </w:tblGrid>
      <w:tr w:rsidR="00A32067">
        <w:trPr>
          <w:trHeight w:val="755"/>
          <w:jc w:val="center"/>
        </w:trPr>
        <w:tc>
          <w:tcPr>
            <w:tcW w:w="4354" w:type="dxa"/>
            <w:tcBorders>
              <w:tl2br w:val="single" w:sz="8" w:space="0" w:color="auto"/>
            </w:tcBorders>
          </w:tcPr>
          <w:p w:rsidR="00A32067" w:rsidRDefault="00A32067" w:rsidP="00A32067">
            <w:pPr>
              <w:spacing w:line="220" w:lineRule="atLeast"/>
              <w:ind w:firstLineChars="450" w:firstLine="31680"/>
            </w:pPr>
          </w:p>
          <w:p w:rsidR="00A32067" w:rsidRDefault="00A32067" w:rsidP="00A32067">
            <w:pPr>
              <w:spacing w:line="220" w:lineRule="atLeast"/>
              <w:ind w:firstLineChars="1400" w:firstLine="31680"/>
            </w:pPr>
            <w:r>
              <w:rPr>
                <w:rFonts w:cs="宋体" w:hint="eastAsia"/>
              </w:rPr>
              <w:t>估算投资额</w:t>
            </w:r>
          </w:p>
          <w:p w:rsidR="00A32067" w:rsidRDefault="00A32067" w:rsidP="00A32067">
            <w:pPr>
              <w:spacing w:line="220" w:lineRule="atLeast"/>
              <w:ind w:firstLineChars="50" w:firstLine="31680"/>
            </w:pPr>
            <w:r>
              <w:rPr>
                <w:rFonts w:cs="宋体" w:hint="eastAsia"/>
              </w:rPr>
              <w:t>咨询评估项目</w:t>
            </w:r>
          </w:p>
        </w:tc>
        <w:tc>
          <w:tcPr>
            <w:tcW w:w="2400" w:type="dxa"/>
            <w:vAlign w:val="center"/>
          </w:tcPr>
          <w:p w:rsidR="00A32067" w:rsidRDefault="00A32067">
            <w:pPr>
              <w:jc w:val="center"/>
            </w:pPr>
            <w:r>
              <w:t>1000</w:t>
            </w:r>
            <w:r>
              <w:rPr>
                <w:rFonts w:cs="宋体" w:hint="eastAsia"/>
              </w:rPr>
              <w:t>万元以下</w:t>
            </w:r>
          </w:p>
          <w:p w:rsidR="00A32067" w:rsidRDefault="00A32067">
            <w:pPr>
              <w:jc w:val="center"/>
            </w:pPr>
            <w:r>
              <w:rPr>
                <w:rFonts w:cs="宋体" w:hint="eastAsia"/>
              </w:rPr>
              <w:t>（含</w:t>
            </w:r>
            <w:r>
              <w:t>1000</w:t>
            </w:r>
            <w:r>
              <w:rPr>
                <w:rFonts w:cs="宋体" w:hint="eastAsia"/>
              </w:rPr>
              <w:t>万元）</w:t>
            </w:r>
          </w:p>
        </w:tc>
        <w:tc>
          <w:tcPr>
            <w:tcW w:w="2565" w:type="dxa"/>
            <w:vAlign w:val="center"/>
          </w:tcPr>
          <w:p w:rsidR="00A32067" w:rsidRDefault="00A32067">
            <w:pPr>
              <w:jc w:val="center"/>
            </w:pPr>
            <w:r>
              <w:t>1000</w:t>
            </w:r>
            <w:r>
              <w:rPr>
                <w:rFonts w:cs="宋体" w:hint="eastAsia"/>
              </w:rPr>
              <w:t>万元</w:t>
            </w:r>
            <w:r>
              <w:t>—3000</w:t>
            </w:r>
            <w:r>
              <w:rPr>
                <w:rFonts w:cs="宋体" w:hint="eastAsia"/>
              </w:rPr>
              <w:t>万元（含</w:t>
            </w:r>
            <w:r>
              <w:t>3000</w:t>
            </w:r>
            <w:r>
              <w:rPr>
                <w:rFonts w:cs="宋体" w:hint="eastAsia"/>
              </w:rPr>
              <w:t>万元）</w:t>
            </w:r>
          </w:p>
        </w:tc>
      </w:tr>
      <w:tr w:rsidR="00A32067">
        <w:trPr>
          <w:trHeight w:val="489"/>
          <w:jc w:val="center"/>
        </w:trPr>
        <w:tc>
          <w:tcPr>
            <w:tcW w:w="4354" w:type="dxa"/>
            <w:vAlign w:val="center"/>
          </w:tcPr>
          <w:p w:rsidR="00A32067" w:rsidRDefault="00A32067">
            <w:r>
              <w:rPr>
                <w:rFonts w:cs="宋体" w:hint="eastAsia"/>
              </w:rPr>
              <w:t xml:space="preserve">编制项目建议书　　　　　　</w:t>
            </w:r>
          </w:p>
        </w:tc>
        <w:tc>
          <w:tcPr>
            <w:tcW w:w="2400" w:type="dxa"/>
          </w:tcPr>
          <w:p w:rsidR="00A32067" w:rsidRDefault="00A32067">
            <w:pPr>
              <w:jc w:val="center"/>
              <w:rPr>
                <w:sz w:val="24"/>
                <w:szCs w:val="24"/>
              </w:rPr>
            </w:pPr>
            <w:r>
              <w:rPr>
                <w:sz w:val="24"/>
                <w:szCs w:val="24"/>
              </w:rPr>
              <w:t>1.5</w:t>
            </w:r>
            <w:r>
              <w:rPr>
                <w:rFonts w:cs="宋体" w:hint="eastAsia"/>
                <w:sz w:val="24"/>
                <w:szCs w:val="24"/>
              </w:rPr>
              <w:t>～</w:t>
            </w:r>
            <w:r>
              <w:rPr>
                <w:sz w:val="24"/>
                <w:szCs w:val="24"/>
              </w:rPr>
              <w:t>2.5</w:t>
            </w:r>
          </w:p>
        </w:tc>
        <w:tc>
          <w:tcPr>
            <w:tcW w:w="2565" w:type="dxa"/>
          </w:tcPr>
          <w:p w:rsidR="00A32067" w:rsidRDefault="00A32067">
            <w:pPr>
              <w:jc w:val="center"/>
              <w:rPr>
                <w:sz w:val="24"/>
                <w:szCs w:val="24"/>
              </w:rPr>
            </w:pPr>
            <w:r>
              <w:rPr>
                <w:sz w:val="24"/>
                <w:szCs w:val="24"/>
              </w:rPr>
              <w:t>2.5</w:t>
            </w:r>
            <w:r>
              <w:rPr>
                <w:rFonts w:cs="宋体" w:hint="eastAsia"/>
                <w:sz w:val="24"/>
                <w:szCs w:val="24"/>
              </w:rPr>
              <w:t>～</w:t>
            </w:r>
            <w:r>
              <w:rPr>
                <w:sz w:val="24"/>
                <w:szCs w:val="24"/>
              </w:rPr>
              <w:t>6.0</w:t>
            </w:r>
            <w:r>
              <w:rPr>
                <w:rFonts w:cs="宋体" w:hint="eastAsia"/>
                <w:sz w:val="24"/>
                <w:szCs w:val="24"/>
              </w:rPr>
              <w:t xml:space="preserve">　　　　</w:t>
            </w:r>
          </w:p>
        </w:tc>
      </w:tr>
      <w:tr w:rsidR="00A32067">
        <w:trPr>
          <w:trHeight w:val="480"/>
          <w:jc w:val="center"/>
        </w:trPr>
        <w:tc>
          <w:tcPr>
            <w:tcW w:w="4354" w:type="dxa"/>
            <w:vAlign w:val="center"/>
          </w:tcPr>
          <w:p w:rsidR="00A32067" w:rsidRDefault="00A32067">
            <w:r>
              <w:rPr>
                <w:rFonts w:cs="宋体" w:hint="eastAsia"/>
              </w:rPr>
              <w:t>编制可行性研究报告</w:t>
            </w:r>
          </w:p>
        </w:tc>
        <w:tc>
          <w:tcPr>
            <w:tcW w:w="2400" w:type="dxa"/>
          </w:tcPr>
          <w:p w:rsidR="00A32067" w:rsidRDefault="00A32067">
            <w:pPr>
              <w:jc w:val="center"/>
              <w:rPr>
                <w:sz w:val="24"/>
                <w:szCs w:val="24"/>
              </w:rPr>
            </w:pPr>
            <w:r>
              <w:rPr>
                <w:sz w:val="24"/>
                <w:szCs w:val="24"/>
              </w:rPr>
              <w:t>3.0</w:t>
            </w:r>
            <w:r>
              <w:rPr>
                <w:rFonts w:cs="宋体" w:hint="eastAsia"/>
                <w:sz w:val="24"/>
                <w:szCs w:val="24"/>
              </w:rPr>
              <w:t>～</w:t>
            </w:r>
            <w:r>
              <w:rPr>
                <w:sz w:val="24"/>
                <w:szCs w:val="24"/>
              </w:rPr>
              <w:t>5.0</w:t>
            </w:r>
          </w:p>
        </w:tc>
        <w:tc>
          <w:tcPr>
            <w:tcW w:w="2565" w:type="dxa"/>
          </w:tcPr>
          <w:p w:rsidR="00A32067" w:rsidRDefault="00A32067">
            <w:pPr>
              <w:jc w:val="center"/>
              <w:rPr>
                <w:sz w:val="24"/>
                <w:szCs w:val="24"/>
              </w:rPr>
            </w:pPr>
            <w:r>
              <w:rPr>
                <w:sz w:val="24"/>
                <w:szCs w:val="24"/>
              </w:rPr>
              <w:t>5.0</w:t>
            </w:r>
            <w:r>
              <w:rPr>
                <w:rFonts w:cs="宋体" w:hint="eastAsia"/>
                <w:sz w:val="24"/>
                <w:szCs w:val="24"/>
              </w:rPr>
              <w:t>～</w:t>
            </w:r>
            <w:r>
              <w:rPr>
                <w:sz w:val="24"/>
                <w:szCs w:val="24"/>
              </w:rPr>
              <w:t>12.0</w:t>
            </w:r>
          </w:p>
        </w:tc>
      </w:tr>
      <w:tr w:rsidR="00A32067">
        <w:trPr>
          <w:trHeight w:val="420"/>
          <w:jc w:val="center"/>
        </w:trPr>
        <w:tc>
          <w:tcPr>
            <w:tcW w:w="4354" w:type="dxa"/>
            <w:vAlign w:val="center"/>
          </w:tcPr>
          <w:p w:rsidR="00A32067" w:rsidRDefault="00A32067">
            <w:r>
              <w:rPr>
                <w:rFonts w:cs="宋体" w:hint="eastAsia"/>
              </w:rPr>
              <w:t>评估项目建议书</w:t>
            </w:r>
          </w:p>
        </w:tc>
        <w:tc>
          <w:tcPr>
            <w:tcW w:w="2400" w:type="dxa"/>
          </w:tcPr>
          <w:p w:rsidR="00A32067" w:rsidRDefault="00A32067">
            <w:pPr>
              <w:jc w:val="center"/>
              <w:rPr>
                <w:sz w:val="24"/>
                <w:szCs w:val="24"/>
              </w:rPr>
            </w:pPr>
            <w:r>
              <w:rPr>
                <w:sz w:val="24"/>
                <w:szCs w:val="24"/>
              </w:rPr>
              <w:t>0.8</w:t>
            </w:r>
            <w:r>
              <w:rPr>
                <w:rFonts w:cs="宋体" w:hint="eastAsia"/>
                <w:sz w:val="24"/>
                <w:szCs w:val="24"/>
              </w:rPr>
              <w:t>～</w:t>
            </w:r>
            <w:r>
              <w:rPr>
                <w:sz w:val="24"/>
                <w:szCs w:val="24"/>
              </w:rPr>
              <w:t>1.7</w:t>
            </w:r>
          </w:p>
        </w:tc>
        <w:tc>
          <w:tcPr>
            <w:tcW w:w="2565" w:type="dxa"/>
          </w:tcPr>
          <w:p w:rsidR="00A32067" w:rsidRDefault="00A32067">
            <w:pPr>
              <w:jc w:val="center"/>
              <w:rPr>
                <w:sz w:val="24"/>
                <w:szCs w:val="24"/>
              </w:rPr>
            </w:pPr>
            <w:r>
              <w:rPr>
                <w:sz w:val="24"/>
                <w:szCs w:val="24"/>
              </w:rPr>
              <w:t>1.7</w:t>
            </w:r>
            <w:r>
              <w:rPr>
                <w:rFonts w:cs="宋体" w:hint="eastAsia"/>
                <w:sz w:val="24"/>
                <w:szCs w:val="24"/>
              </w:rPr>
              <w:t>～</w:t>
            </w:r>
            <w:r>
              <w:rPr>
                <w:sz w:val="24"/>
                <w:szCs w:val="24"/>
              </w:rPr>
              <w:t>4.0</w:t>
            </w:r>
          </w:p>
        </w:tc>
      </w:tr>
      <w:tr w:rsidR="00A32067">
        <w:trPr>
          <w:trHeight w:val="390"/>
          <w:jc w:val="center"/>
        </w:trPr>
        <w:tc>
          <w:tcPr>
            <w:tcW w:w="4354" w:type="dxa"/>
            <w:vAlign w:val="center"/>
          </w:tcPr>
          <w:p w:rsidR="00A32067" w:rsidRDefault="00A32067">
            <w:r>
              <w:rPr>
                <w:rFonts w:cs="宋体" w:hint="eastAsia"/>
              </w:rPr>
              <w:t>评估可行性研究报告</w:t>
            </w:r>
          </w:p>
        </w:tc>
        <w:tc>
          <w:tcPr>
            <w:tcW w:w="2400" w:type="dxa"/>
          </w:tcPr>
          <w:p w:rsidR="00A32067" w:rsidRDefault="00A32067">
            <w:pPr>
              <w:jc w:val="center"/>
              <w:rPr>
                <w:sz w:val="24"/>
                <w:szCs w:val="24"/>
              </w:rPr>
            </w:pPr>
            <w:r>
              <w:rPr>
                <w:sz w:val="24"/>
                <w:szCs w:val="24"/>
              </w:rPr>
              <w:t>1.4</w:t>
            </w:r>
            <w:r>
              <w:rPr>
                <w:rFonts w:cs="宋体" w:hint="eastAsia"/>
                <w:sz w:val="24"/>
                <w:szCs w:val="24"/>
              </w:rPr>
              <w:t>～</w:t>
            </w:r>
            <w:r>
              <w:rPr>
                <w:sz w:val="24"/>
                <w:szCs w:val="24"/>
              </w:rPr>
              <w:t>2.4</w:t>
            </w:r>
          </w:p>
        </w:tc>
        <w:tc>
          <w:tcPr>
            <w:tcW w:w="2565" w:type="dxa"/>
          </w:tcPr>
          <w:p w:rsidR="00A32067" w:rsidRDefault="00A32067">
            <w:pPr>
              <w:jc w:val="center"/>
              <w:rPr>
                <w:sz w:val="24"/>
                <w:szCs w:val="24"/>
              </w:rPr>
            </w:pPr>
            <w:r>
              <w:rPr>
                <w:sz w:val="24"/>
                <w:szCs w:val="24"/>
              </w:rPr>
              <w:t>2.4</w:t>
            </w:r>
            <w:r>
              <w:rPr>
                <w:rFonts w:cs="宋体" w:hint="eastAsia"/>
                <w:sz w:val="24"/>
                <w:szCs w:val="24"/>
              </w:rPr>
              <w:t>～</w:t>
            </w:r>
            <w:r>
              <w:rPr>
                <w:sz w:val="24"/>
                <w:szCs w:val="24"/>
              </w:rPr>
              <w:t>5.0</w:t>
            </w:r>
          </w:p>
        </w:tc>
      </w:tr>
    </w:tbl>
    <w:p w:rsidR="00A32067" w:rsidRDefault="00A32067">
      <w:pPr>
        <w:jc w:val="center"/>
        <w:rPr>
          <w:color w:val="000000"/>
          <w:sz w:val="24"/>
          <w:szCs w:val="24"/>
        </w:rPr>
      </w:pPr>
      <w:r>
        <w:rPr>
          <w:color w:val="000000"/>
          <w:sz w:val="24"/>
          <w:szCs w:val="24"/>
        </w:rPr>
        <w:t>  </w:t>
      </w:r>
    </w:p>
    <w:p w:rsidR="00A32067" w:rsidRDefault="00A32067">
      <w:pPr>
        <w:spacing w:line="360" w:lineRule="auto"/>
        <w:rPr>
          <w:color w:val="000000"/>
          <w:kern w:val="0"/>
          <w:sz w:val="22"/>
          <w:szCs w:val="22"/>
        </w:rPr>
      </w:pPr>
      <w:r>
        <w:rPr>
          <w:rFonts w:cs="宋体" w:hint="eastAsia"/>
          <w:color w:val="000000"/>
          <w:kern w:val="0"/>
          <w:sz w:val="22"/>
          <w:szCs w:val="22"/>
        </w:rPr>
        <w:t>注：</w:t>
      </w:r>
      <w:r>
        <w:rPr>
          <w:color w:val="000000"/>
          <w:kern w:val="0"/>
          <w:sz w:val="22"/>
          <w:szCs w:val="22"/>
        </w:rPr>
        <w:t>1</w:t>
      </w:r>
      <w:r>
        <w:rPr>
          <w:rFonts w:cs="宋体" w:hint="eastAsia"/>
          <w:color w:val="000000"/>
          <w:kern w:val="0"/>
          <w:sz w:val="22"/>
          <w:szCs w:val="22"/>
        </w:rPr>
        <w:t>、建设项目估算投资额是指项目建设书或者可行性研究报告的估算投资额。</w:t>
      </w:r>
    </w:p>
    <w:p w:rsidR="00A32067" w:rsidRDefault="00A32067" w:rsidP="005431C7">
      <w:pPr>
        <w:spacing w:line="360" w:lineRule="auto"/>
        <w:ind w:firstLineChars="200" w:firstLine="31680"/>
        <w:rPr>
          <w:color w:val="000000"/>
          <w:kern w:val="0"/>
          <w:sz w:val="22"/>
          <w:szCs w:val="22"/>
        </w:rPr>
      </w:pPr>
      <w:r>
        <w:rPr>
          <w:color w:val="000000"/>
          <w:kern w:val="0"/>
          <w:sz w:val="22"/>
          <w:szCs w:val="22"/>
        </w:rPr>
        <w:t>2</w:t>
      </w:r>
      <w:r>
        <w:rPr>
          <w:rFonts w:cs="宋体" w:hint="eastAsia"/>
          <w:color w:val="000000"/>
          <w:kern w:val="0"/>
          <w:sz w:val="22"/>
          <w:szCs w:val="22"/>
        </w:rPr>
        <w:t>、建设项目的具体收费标准，根据估算投资额在相对应的区间内用插入法计算。</w:t>
      </w:r>
    </w:p>
    <w:p w:rsidR="00A32067" w:rsidRDefault="00A32067" w:rsidP="005431C7">
      <w:pPr>
        <w:spacing w:line="360" w:lineRule="auto"/>
        <w:ind w:leftChars="200" w:left="31680"/>
        <w:rPr>
          <w:color w:val="000000"/>
          <w:kern w:val="0"/>
          <w:sz w:val="22"/>
          <w:szCs w:val="22"/>
        </w:rPr>
      </w:pPr>
      <w:r>
        <w:rPr>
          <w:color w:val="000000"/>
          <w:kern w:val="0"/>
          <w:sz w:val="22"/>
          <w:szCs w:val="22"/>
        </w:rPr>
        <w:t>3</w:t>
      </w:r>
      <w:r>
        <w:rPr>
          <w:rFonts w:cs="宋体" w:hint="eastAsia"/>
          <w:color w:val="000000"/>
          <w:kern w:val="0"/>
          <w:sz w:val="22"/>
          <w:szCs w:val="22"/>
        </w:rPr>
        <w:t>、根据行业特点和行业内部不同类别工程的复杂程度，计算咨询费用时可分别乘以先进水平调整系数和工程复杂程度调整系数（详见计价格</w:t>
      </w:r>
      <w:r>
        <w:rPr>
          <w:color w:val="000000"/>
          <w:kern w:val="0"/>
          <w:sz w:val="22"/>
          <w:szCs w:val="22"/>
        </w:rPr>
        <w:t>[1999]1283</w:t>
      </w:r>
      <w:r>
        <w:rPr>
          <w:rFonts w:cs="宋体" w:hint="eastAsia"/>
          <w:color w:val="000000"/>
          <w:kern w:val="0"/>
          <w:sz w:val="22"/>
          <w:szCs w:val="22"/>
        </w:rPr>
        <w:t>号文件附表二）。</w:t>
      </w:r>
    </w:p>
    <w:p w:rsidR="00A32067" w:rsidRDefault="00A32067">
      <w:pPr>
        <w:spacing w:line="220" w:lineRule="atLeast"/>
        <w:jc w:val="center"/>
        <w:rPr>
          <w:color w:val="000000"/>
          <w:kern w:val="0"/>
          <w:sz w:val="24"/>
          <w:szCs w:val="24"/>
        </w:rPr>
      </w:pPr>
      <w:r>
        <w:rPr>
          <w:color w:val="000000"/>
        </w:rPr>
        <w:br w:type="page"/>
      </w:r>
      <w:bookmarkStart w:id="47" w:name="_Toc519872287"/>
      <w:r>
        <w:rPr>
          <w:rFonts w:cs="宋体" w:hint="eastAsia"/>
          <w:sz w:val="32"/>
          <w:szCs w:val="32"/>
        </w:rPr>
        <w:t>国家计委关于印发《建设项目前期工作</w:t>
      </w:r>
      <w:r>
        <w:rPr>
          <w:sz w:val="32"/>
          <w:szCs w:val="32"/>
        </w:rPr>
        <w:br/>
      </w:r>
      <w:r>
        <w:rPr>
          <w:rFonts w:cs="宋体" w:hint="eastAsia"/>
          <w:sz w:val="32"/>
          <w:szCs w:val="32"/>
        </w:rPr>
        <w:t>咨询收费暂行规定》的通知</w:t>
      </w:r>
      <w:r>
        <w:rPr>
          <w:sz w:val="32"/>
          <w:szCs w:val="32"/>
        </w:rPr>
        <w:br/>
      </w:r>
    </w:p>
    <w:p w:rsidR="00A32067" w:rsidRDefault="00A32067">
      <w:pPr>
        <w:spacing w:line="220" w:lineRule="atLeast"/>
        <w:jc w:val="center"/>
        <w:rPr>
          <w:color w:val="000000"/>
          <w:kern w:val="0"/>
          <w:sz w:val="24"/>
          <w:szCs w:val="24"/>
        </w:rPr>
      </w:pPr>
      <w:r>
        <w:rPr>
          <w:rFonts w:cs="宋体" w:hint="eastAsia"/>
          <w:color w:val="000000"/>
          <w:kern w:val="0"/>
          <w:sz w:val="24"/>
          <w:szCs w:val="24"/>
        </w:rPr>
        <w:t>计价格</w:t>
      </w:r>
      <w:r>
        <w:rPr>
          <w:color w:val="000000"/>
          <w:kern w:val="0"/>
          <w:sz w:val="24"/>
          <w:szCs w:val="24"/>
        </w:rPr>
        <w:t>[1999]1283</w:t>
      </w:r>
      <w:r>
        <w:rPr>
          <w:rFonts w:cs="宋体" w:hint="eastAsia"/>
          <w:color w:val="000000"/>
          <w:kern w:val="0"/>
          <w:sz w:val="24"/>
          <w:szCs w:val="24"/>
        </w:rPr>
        <w:t>号</w:t>
      </w:r>
      <w:bookmarkEnd w:id="47"/>
    </w:p>
    <w:p w:rsidR="00A32067" w:rsidRDefault="00A32067">
      <w:pPr>
        <w:spacing w:line="220" w:lineRule="atLeast"/>
        <w:jc w:val="center"/>
        <w:rPr>
          <w:color w:val="000000"/>
          <w:kern w:val="0"/>
          <w:sz w:val="22"/>
          <w:szCs w:val="22"/>
        </w:rPr>
      </w:pPr>
    </w:p>
    <w:p w:rsidR="00A32067" w:rsidRDefault="00A32067">
      <w:pPr>
        <w:spacing w:line="480" w:lineRule="auto"/>
        <w:rPr>
          <w:color w:val="000000"/>
          <w:kern w:val="0"/>
          <w:sz w:val="22"/>
          <w:szCs w:val="22"/>
        </w:rPr>
      </w:pPr>
      <w:r>
        <w:rPr>
          <w:rFonts w:cs="宋体" w:hint="eastAsia"/>
          <w:color w:val="000000"/>
          <w:kern w:val="0"/>
          <w:sz w:val="22"/>
          <w:szCs w:val="22"/>
        </w:rPr>
        <w:t>各省、自治区、直辖市物价局（委员会）、计委（计经委）、中国工程咨询协会：</w:t>
      </w:r>
    </w:p>
    <w:p w:rsidR="00A32067" w:rsidRDefault="00A32067" w:rsidP="005431C7">
      <w:pPr>
        <w:spacing w:line="480" w:lineRule="auto"/>
        <w:ind w:firstLineChars="200" w:firstLine="31680"/>
        <w:rPr>
          <w:color w:val="000000"/>
          <w:kern w:val="0"/>
          <w:sz w:val="22"/>
          <w:szCs w:val="22"/>
        </w:rPr>
      </w:pPr>
      <w:r>
        <w:rPr>
          <w:rFonts w:cs="宋体" w:hint="eastAsia"/>
          <w:color w:val="000000"/>
          <w:kern w:val="0"/>
          <w:sz w:val="22"/>
          <w:szCs w:val="22"/>
        </w:rPr>
        <w:t>为规范建设项目前期工作咨询收费行为，维护委托人和工程咨询机构的合法权益，促进工程咨询业的健康发展，我委制定了《建设项目前期工作咨询收费暂行规定》，现印发给你们，请按照执行，并将执行中遇到的问题及时反馈我委。</w:t>
      </w:r>
    </w:p>
    <w:p w:rsidR="00A32067" w:rsidRDefault="00A32067" w:rsidP="005431C7">
      <w:pPr>
        <w:spacing w:line="480" w:lineRule="auto"/>
        <w:ind w:firstLineChars="200" w:firstLine="31680"/>
        <w:rPr>
          <w:color w:val="000000"/>
          <w:kern w:val="0"/>
          <w:sz w:val="22"/>
          <w:szCs w:val="22"/>
        </w:rPr>
      </w:pPr>
    </w:p>
    <w:p w:rsidR="00A32067" w:rsidRDefault="00A32067">
      <w:pPr>
        <w:spacing w:line="360" w:lineRule="auto"/>
        <w:rPr>
          <w:color w:val="000000"/>
          <w:kern w:val="0"/>
          <w:sz w:val="22"/>
          <w:szCs w:val="22"/>
        </w:rPr>
      </w:pPr>
      <w:r>
        <w:rPr>
          <w:rFonts w:cs="宋体" w:hint="eastAsia"/>
          <w:color w:val="000000"/>
          <w:kern w:val="0"/>
          <w:sz w:val="22"/>
          <w:szCs w:val="22"/>
        </w:rPr>
        <w:t>附：建设项目前期工作咨询收费暂行规定</w:t>
      </w:r>
    </w:p>
    <w:p w:rsidR="00A32067" w:rsidRDefault="00A32067">
      <w:pPr>
        <w:spacing w:line="220" w:lineRule="atLeast"/>
        <w:jc w:val="right"/>
        <w:rPr>
          <w:color w:val="000000"/>
          <w:kern w:val="0"/>
          <w:sz w:val="22"/>
          <w:szCs w:val="22"/>
        </w:rPr>
      </w:pPr>
      <w:r>
        <w:rPr>
          <w:rFonts w:cs="宋体" w:hint="eastAsia"/>
          <w:color w:val="000000"/>
          <w:kern w:val="0"/>
          <w:sz w:val="22"/>
          <w:szCs w:val="22"/>
        </w:rPr>
        <w:t>一九九九年九月十日</w:t>
      </w:r>
    </w:p>
    <w:p w:rsidR="00A32067" w:rsidRDefault="00A32067">
      <w:pPr>
        <w:spacing w:line="220" w:lineRule="atLeast"/>
        <w:jc w:val="right"/>
        <w:rPr>
          <w:color w:val="000000"/>
          <w:kern w:val="0"/>
          <w:sz w:val="22"/>
          <w:szCs w:val="22"/>
        </w:rPr>
      </w:pPr>
    </w:p>
    <w:p w:rsidR="00A32067" w:rsidRDefault="00A32067">
      <w:pPr>
        <w:spacing w:line="220" w:lineRule="atLeast"/>
        <w:jc w:val="right"/>
        <w:rPr>
          <w:color w:val="000000"/>
          <w:kern w:val="0"/>
          <w:sz w:val="22"/>
          <w:szCs w:val="22"/>
        </w:rPr>
      </w:pPr>
    </w:p>
    <w:p w:rsidR="00A32067" w:rsidRDefault="00A32067">
      <w:pPr>
        <w:spacing w:line="220" w:lineRule="atLeast"/>
        <w:rPr>
          <w:rFonts w:eastAsia="微软雅黑"/>
          <w:color w:val="000000"/>
          <w:kern w:val="0"/>
          <w:sz w:val="24"/>
          <w:szCs w:val="24"/>
        </w:rPr>
      </w:pPr>
      <w:r>
        <w:rPr>
          <w:rFonts w:cs="宋体" w:hint="eastAsia"/>
          <w:b/>
          <w:bCs/>
          <w:sz w:val="24"/>
          <w:szCs w:val="24"/>
        </w:rPr>
        <w:t>附：</w:t>
      </w:r>
    </w:p>
    <w:p w:rsidR="00A32067" w:rsidRDefault="00A32067">
      <w:pPr>
        <w:jc w:val="center"/>
        <w:rPr>
          <w:b/>
          <w:bCs/>
          <w:sz w:val="44"/>
          <w:szCs w:val="44"/>
        </w:rPr>
      </w:pPr>
      <w:r>
        <w:rPr>
          <w:rFonts w:cs="宋体" w:hint="eastAsia"/>
          <w:b/>
          <w:bCs/>
          <w:sz w:val="44"/>
          <w:szCs w:val="44"/>
        </w:rPr>
        <w:t>建设项目前期工作咨询收费暂行规定</w:t>
      </w:r>
    </w:p>
    <w:p w:rsidR="00A32067" w:rsidRDefault="00A32067">
      <w:pPr>
        <w:jc w:val="center"/>
        <w:outlineLvl w:val="1"/>
        <w:rPr>
          <w:rFonts w:eastAsia="微软雅黑"/>
          <w:b/>
          <w:bCs/>
          <w:sz w:val="36"/>
          <w:szCs w:val="36"/>
        </w:rPr>
      </w:pP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第一条</w:t>
      </w:r>
      <w:r>
        <w:rPr>
          <w:rFonts w:cs="宋体" w:hint="eastAsia"/>
          <w:color w:val="000000"/>
          <w:sz w:val="22"/>
          <w:szCs w:val="22"/>
        </w:rPr>
        <w:t>为提高建设项目前期工作质量，促进工程咨询社会化、市场化，规范工程咨询收费行为，根据《中华人民共和国价格法》及有关法律法规，制定本规定。</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第二条</w:t>
      </w:r>
      <w:r>
        <w:rPr>
          <w:rFonts w:cs="宋体" w:hint="eastAsia"/>
          <w:color w:val="000000"/>
          <w:sz w:val="22"/>
          <w:szCs w:val="22"/>
        </w:rPr>
        <w:t>本规定适用于建设项目前期工作的咨询收费，包括建设项目专题研究、编制和评估项目建议书或者可行性研究报告，以及其它与建设项目前期工作有关的咨询服务收费。</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第三条</w:t>
      </w:r>
      <w:r>
        <w:rPr>
          <w:rFonts w:cs="宋体" w:hint="eastAsia"/>
          <w:color w:val="000000"/>
          <w:sz w:val="22"/>
          <w:szCs w:val="22"/>
        </w:rPr>
        <w:t>建设项目前期工作咨询服务，应遵循自愿原则，委托方自主选择工程咨询机构，工程咨询机构自主决定是否接受委托。</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第四条</w:t>
      </w:r>
      <w:r>
        <w:rPr>
          <w:rFonts w:cs="宋体" w:hint="eastAsia"/>
          <w:color w:val="000000"/>
          <w:sz w:val="22"/>
          <w:szCs w:val="22"/>
        </w:rPr>
        <w:t>从事工程咨询的机构，必须取得相应工程咨询资格证书，具有法人资格，并依法纳税。</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第五条</w:t>
      </w:r>
      <w:r>
        <w:rPr>
          <w:rFonts w:cs="宋体" w:hint="eastAsia"/>
          <w:color w:val="000000"/>
          <w:sz w:val="22"/>
          <w:szCs w:val="22"/>
        </w:rPr>
        <w:t>工程咨询机构应遵守国家法律、法规和行业行为准则，开展公平竞争，不得采取不正当手段承揽业务。</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第六条</w:t>
      </w:r>
      <w:r>
        <w:rPr>
          <w:rFonts w:cs="宋体" w:hint="eastAsia"/>
          <w:color w:val="000000"/>
          <w:sz w:val="22"/>
          <w:szCs w:val="22"/>
        </w:rPr>
        <w:t>工程咨询机构提供咨询服务，应遵循客观、科学、公平、公正原则，符合国家经济技术政策、规定，符合委托方的技术、质量要求。</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第七条</w:t>
      </w:r>
      <w:r>
        <w:rPr>
          <w:rFonts w:cs="宋体" w:hint="eastAsia"/>
          <w:color w:val="000000"/>
          <w:sz w:val="22"/>
          <w:szCs w:val="22"/>
        </w:rPr>
        <w:t>工程咨询机构承担编制建设项目的项目建议书、可行性研究报告、初步设计文件的，不得再参与同一建设项目的项目建议书、可行性研究报告以及工厂设计文件的咨询评估业务。</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第八条</w:t>
      </w:r>
      <w:r>
        <w:rPr>
          <w:rFonts w:cs="宋体" w:hint="eastAsia"/>
          <w:color w:val="000000"/>
          <w:sz w:val="22"/>
          <w:szCs w:val="22"/>
        </w:rPr>
        <w:t>工程咨询收费实行政府指导价。具体收费标准由工程咨询机构与委托方根据本规定的指导性收费标准协商确定。</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第九条</w:t>
      </w:r>
      <w:r>
        <w:rPr>
          <w:rFonts w:cs="宋体" w:hint="eastAsia"/>
          <w:color w:val="000000"/>
          <w:sz w:val="22"/>
          <w:szCs w:val="22"/>
        </w:rPr>
        <w:t>工程咨询收费根据不同工程咨询项目的性质、内容，采取以下方法计取费用：</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（一）</w:t>
      </w:r>
      <w:r>
        <w:rPr>
          <w:color w:val="000000"/>
          <w:sz w:val="22"/>
          <w:szCs w:val="22"/>
        </w:rPr>
        <w:t> </w:t>
      </w:r>
      <w:r>
        <w:rPr>
          <w:rFonts w:cs="宋体" w:hint="eastAsia"/>
          <w:color w:val="000000"/>
          <w:sz w:val="22"/>
          <w:szCs w:val="22"/>
        </w:rPr>
        <w:t>按建设项目估算投资额，分档计算工程咨询费用（见附件一、二）。</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（二）</w:t>
      </w:r>
      <w:r>
        <w:rPr>
          <w:color w:val="000000"/>
          <w:sz w:val="22"/>
          <w:szCs w:val="22"/>
        </w:rPr>
        <w:t>  </w:t>
      </w:r>
      <w:r>
        <w:rPr>
          <w:rFonts w:cs="宋体" w:hint="eastAsia"/>
          <w:color w:val="000000"/>
          <w:sz w:val="22"/>
          <w:szCs w:val="22"/>
        </w:rPr>
        <w:t>按工程咨询工作所耗工日计算工程咨询费用（见附件三）。</w:t>
      </w:r>
    </w:p>
    <w:p w:rsidR="00A32067" w:rsidRDefault="00A32067" w:rsidP="005431C7">
      <w:pPr>
        <w:spacing w:line="360" w:lineRule="auto"/>
        <w:ind w:firstLineChars="200" w:firstLine="31680"/>
        <w:rPr>
          <w:color w:val="000000"/>
          <w:sz w:val="22"/>
          <w:szCs w:val="22"/>
        </w:rPr>
      </w:pPr>
      <w:r>
        <w:rPr>
          <w:rFonts w:cs="宋体" w:hint="eastAsia"/>
          <w:color w:val="000000"/>
          <w:sz w:val="22"/>
          <w:szCs w:val="22"/>
        </w:rPr>
        <w:t>按照前款两种方法不便于计费的，可以参照本规定的工日费用标准由工程咨询机构与委托方议定。但参照工日计算的收费额，不得超过按估算投资额分档计费方式计算的收费额。</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第十条</w:t>
      </w:r>
      <w:r>
        <w:rPr>
          <w:rFonts w:cs="宋体" w:hint="eastAsia"/>
          <w:color w:val="000000"/>
          <w:sz w:val="22"/>
          <w:szCs w:val="22"/>
        </w:rPr>
        <w:t>采取按建设项目估算投资额分档计费的，以建设项目的项目建议书或者可行性研究报告的估算投资为计费依据。使用工程咨询机构推荐方案计算的投资与原估算投资发生增减变化时，咨询收费不再调整。</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第十一条</w:t>
      </w:r>
      <w:r>
        <w:rPr>
          <w:rFonts w:cs="宋体" w:hint="eastAsia"/>
          <w:color w:val="000000"/>
          <w:sz w:val="22"/>
          <w:szCs w:val="22"/>
        </w:rPr>
        <w:t>工程咨询机构在编制项目建议书或者可行性研究报告时需要勘察、试验，评估项目建议书或者可行性研究报告时需要对勘察、试验数据进行复核，工作量明显增加需要加收费用的，可由双方另行协商加收的费用额和支付方式。</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第十二条</w:t>
      </w:r>
      <w:r>
        <w:rPr>
          <w:rFonts w:cs="宋体" w:hint="eastAsia"/>
          <w:color w:val="000000"/>
          <w:sz w:val="22"/>
          <w:szCs w:val="22"/>
        </w:rPr>
        <w:t>工程咨询服务中，工程咨询机构提供自有专利、专有技术，需要另行支付费用的，国家有规定的，按规定执行；没有规定的，由双方协商费用额和支付方式。</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第十三条</w:t>
      </w:r>
      <w:r>
        <w:rPr>
          <w:rFonts w:cs="宋体" w:hint="eastAsia"/>
          <w:color w:val="000000"/>
          <w:sz w:val="22"/>
          <w:szCs w:val="22"/>
        </w:rPr>
        <w:t>建设项目前期工作咨询应体现优质优价原则，优质优价的具体幅度由双方在规定的收费标准的基础上协商确定。</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第十四条</w:t>
      </w:r>
      <w:r>
        <w:rPr>
          <w:rFonts w:cs="宋体" w:hint="eastAsia"/>
          <w:color w:val="000000"/>
          <w:sz w:val="22"/>
          <w:szCs w:val="22"/>
        </w:rPr>
        <w:t>工程咨询费用，由委托方与工程咨询机构依据本规定，在工程咨询合同中以专门条款确定费用数额及支付方式。</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第十五条</w:t>
      </w:r>
      <w:r>
        <w:rPr>
          <w:rFonts w:cs="宋体" w:hint="eastAsia"/>
          <w:color w:val="000000"/>
          <w:sz w:val="22"/>
          <w:szCs w:val="22"/>
        </w:rPr>
        <w:t>工程咨询机构按合同收取咨询费用后，不得再要求委托方无偿提供食交通等便利。</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第十六条</w:t>
      </w:r>
      <w:r>
        <w:rPr>
          <w:rFonts w:cs="宋体" w:hint="eastAsia"/>
          <w:color w:val="000000"/>
          <w:sz w:val="22"/>
          <w:szCs w:val="22"/>
        </w:rPr>
        <w:t>工程咨询机构对外聘专家的付费按工日费用标准计算并支付，外聘专家，如有从业单位的，专家费用应支付给专家从业单位。</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第十七条</w:t>
      </w:r>
      <w:r>
        <w:rPr>
          <w:rFonts w:cs="宋体" w:hint="eastAsia"/>
          <w:color w:val="000000"/>
          <w:sz w:val="22"/>
          <w:szCs w:val="22"/>
        </w:rPr>
        <w:t>委托方应按合同规定及时向工程咨询机构提供开展咨询业务所必须的工作条件和资料。由于委托方原因造成咨询工作量增加或延长工作咨询期限的，工程咨询机构可与委托方协商加收费用。</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第十八条</w:t>
      </w:r>
      <w:r>
        <w:rPr>
          <w:rFonts w:cs="宋体" w:hint="eastAsia"/>
          <w:color w:val="000000"/>
          <w:sz w:val="22"/>
          <w:szCs w:val="22"/>
        </w:rPr>
        <w:t>工程咨询机构提交的咨询成果达不到合同规定标准的，应负责完善，委托方不另支付咨询费。</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第十九条</w:t>
      </w:r>
      <w:r>
        <w:rPr>
          <w:rFonts w:cs="宋体" w:hint="eastAsia"/>
          <w:color w:val="000000"/>
          <w:sz w:val="22"/>
          <w:szCs w:val="22"/>
        </w:rPr>
        <w:t>工程咨询合同履行过程中，由于咨询机构失误造成委托方损失的，委托方可扣减或者追回部分以至全部咨询费用，对造成的直接经济损失，咨询机构应部分或全部赔偿。</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第二十条</w:t>
      </w:r>
      <w:r>
        <w:rPr>
          <w:rFonts w:cs="宋体" w:hint="eastAsia"/>
          <w:color w:val="000000"/>
          <w:sz w:val="22"/>
          <w:szCs w:val="22"/>
        </w:rPr>
        <w:t>涉外工程咨询业务中有特殊要求的，工程咨询机构可与委托方参照国外有关收费办法协商确定咨询费用。</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第二十一条</w:t>
      </w:r>
      <w:r>
        <w:rPr>
          <w:rFonts w:cs="宋体" w:hint="eastAsia"/>
          <w:color w:val="000000"/>
          <w:sz w:val="22"/>
          <w:szCs w:val="22"/>
        </w:rPr>
        <w:t>建设项目投资额在</w:t>
      </w:r>
      <w:r>
        <w:rPr>
          <w:color w:val="000000"/>
          <w:sz w:val="22"/>
          <w:szCs w:val="22"/>
        </w:rPr>
        <w:t>3000</w:t>
      </w:r>
      <w:r>
        <w:rPr>
          <w:rFonts w:cs="宋体" w:hint="eastAsia"/>
          <w:color w:val="000000"/>
          <w:sz w:val="22"/>
          <w:szCs w:val="22"/>
        </w:rPr>
        <w:t>万元以下的和除编制、评估项目建议书或者可行性研究报告以外的其他建设项目前期工作咨询服务的收费标准，由各省、自治区、直辖市价格主管部门会同同级计划部门制定。</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第二十二条</w:t>
      </w:r>
      <w:r>
        <w:rPr>
          <w:rFonts w:cs="宋体" w:hint="eastAsia"/>
          <w:color w:val="000000"/>
          <w:sz w:val="22"/>
          <w:szCs w:val="22"/>
        </w:rPr>
        <w:t>本规定由各级价格主管部门监督执行。</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第二十三条</w:t>
      </w:r>
      <w:r>
        <w:rPr>
          <w:rFonts w:cs="宋体" w:hint="eastAsia"/>
          <w:color w:val="000000"/>
          <w:sz w:val="22"/>
          <w:szCs w:val="22"/>
        </w:rPr>
        <w:t>本规定由国家发展计划委员会负责解释。</w:t>
      </w:r>
    </w:p>
    <w:p w:rsidR="00A32067" w:rsidRDefault="00A32067" w:rsidP="005431C7">
      <w:pPr>
        <w:spacing w:line="360" w:lineRule="auto"/>
        <w:ind w:firstLineChars="200" w:firstLine="31680"/>
        <w:rPr>
          <w:color w:val="000000"/>
          <w:sz w:val="22"/>
          <w:szCs w:val="22"/>
        </w:rPr>
      </w:pPr>
      <w:r>
        <w:rPr>
          <w:rFonts w:cs="宋体" w:hint="eastAsia"/>
          <w:b/>
          <w:bCs/>
          <w:color w:val="000000"/>
          <w:sz w:val="22"/>
          <w:szCs w:val="22"/>
        </w:rPr>
        <w:t>第二十四条</w:t>
      </w:r>
      <w:r>
        <w:rPr>
          <w:rFonts w:cs="宋体" w:hint="eastAsia"/>
          <w:color w:val="000000"/>
          <w:sz w:val="22"/>
          <w:szCs w:val="22"/>
        </w:rPr>
        <w:t>本规定自发布之日起执行。</w:t>
      </w:r>
    </w:p>
    <w:p w:rsidR="00A32067" w:rsidRDefault="00A32067">
      <w:pPr>
        <w:spacing w:line="360" w:lineRule="auto"/>
        <w:rPr>
          <w:sz w:val="22"/>
          <w:szCs w:val="22"/>
        </w:rPr>
      </w:pPr>
    </w:p>
    <w:p w:rsidR="00A32067" w:rsidRDefault="00A32067">
      <w:pPr>
        <w:spacing w:line="360" w:lineRule="auto"/>
        <w:rPr>
          <w:sz w:val="22"/>
          <w:szCs w:val="22"/>
        </w:rPr>
      </w:pPr>
    </w:p>
    <w:p w:rsidR="00A32067" w:rsidRDefault="00A32067" w:rsidP="005431C7">
      <w:pPr>
        <w:spacing w:line="360" w:lineRule="auto"/>
        <w:ind w:firstLineChars="200" w:firstLine="31680"/>
        <w:rPr>
          <w:sz w:val="22"/>
          <w:szCs w:val="22"/>
        </w:rPr>
      </w:pPr>
      <w:r>
        <w:rPr>
          <w:rFonts w:cs="宋体" w:hint="eastAsia"/>
          <w:sz w:val="22"/>
          <w:szCs w:val="22"/>
        </w:rPr>
        <w:t>附件：一、按建设项目估算投资额分档收费标准</w:t>
      </w:r>
    </w:p>
    <w:p w:rsidR="00A32067" w:rsidRDefault="00A32067" w:rsidP="005431C7">
      <w:pPr>
        <w:spacing w:line="360" w:lineRule="auto"/>
        <w:ind w:firstLineChars="500" w:firstLine="31680"/>
        <w:rPr>
          <w:sz w:val="22"/>
          <w:szCs w:val="22"/>
        </w:rPr>
      </w:pPr>
      <w:r>
        <w:rPr>
          <w:rFonts w:cs="宋体" w:hint="eastAsia"/>
          <w:sz w:val="22"/>
          <w:szCs w:val="22"/>
        </w:rPr>
        <w:t>二、按建设项目估算投资额分档收费的调整系数</w:t>
      </w:r>
    </w:p>
    <w:p w:rsidR="00A32067" w:rsidRDefault="00A32067" w:rsidP="005431C7">
      <w:pPr>
        <w:spacing w:line="360" w:lineRule="auto"/>
        <w:ind w:firstLineChars="500" w:firstLine="31680"/>
        <w:rPr>
          <w:sz w:val="22"/>
          <w:szCs w:val="22"/>
        </w:rPr>
      </w:pPr>
      <w:r>
        <w:rPr>
          <w:rFonts w:cs="宋体" w:hint="eastAsia"/>
          <w:sz w:val="22"/>
          <w:szCs w:val="22"/>
        </w:rPr>
        <w:t>三、工程咨询人员工日费用标准</w:t>
      </w:r>
    </w:p>
    <w:p w:rsidR="00A32067" w:rsidRDefault="00A32067">
      <w:pPr>
        <w:rPr>
          <w:b/>
          <w:bCs/>
          <w:sz w:val="24"/>
          <w:szCs w:val="24"/>
        </w:rPr>
      </w:pPr>
      <w:r>
        <w:rPr>
          <w:rFonts w:cs="宋体" w:hint="eastAsia"/>
          <w:b/>
          <w:bCs/>
          <w:sz w:val="24"/>
          <w:szCs w:val="24"/>
        </w:rPr>
        <w:t>附件：</w:t>
      </w:r>
    </w:p>
    <w:p w:rsidR="00A32067" w:rsidRDefault="00A32067">
      <w:pPr>
        <w:pStyle w:val="ListParagraph"/>
        <w:ind w:left="720" w:firstLineChars="0" w:firstLine="0"/>
        <w:jc w:val="center"/>
        <w:rPr>
          <w:b/>
          <w:bCs/>
          <w:sz w:val="24"/>
          <w:szCs w:val="24"/>
        </w:rPr>
      </w:pPr>
      <w:r>
        <w:rPr>
          <w:rFonts w:cs="宋体" w:hint="eastAsia"/>
          <w:b/>
          <w:bCs/>
          <w:sz w:val="24"/>
          <w:szCs w:val="24"/>
        </w:rPr>
        <w:t>一、按建设项目估算投资额分档收费标准</w:t>
      </w:r>
    </w:p>
    <w:p w:rsidR="00A32067" w:rsidRDefault="00A32067">
      <w:pPr>
        <w:pStyle w:val="ListParagraph"/>
        <w:ind w:left="720" w:firstLineChars="0" w:firstLine="0"/>
        <w:jc w:val="right"/>
        <w:rPr>
          <w:b/>
          <w:bCs/>
          <w:sz w:val="24"/>
          <w:szCs w:val="24"/>
        </w:rPr>
      </w:pPr>
      <w:r>
        <w:rPr>
          <w:rFonts w:cs="宋体" w:hint="eastAsia"/>
          <w:b/>
          <w:bCs/>
          <w:sz w:val="24"/>
          <w:szCs w:val="24"/>
        </w:rPr>
        <w:t>单位：万元</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2"/>
        <w:gridCol w:w="1310"/>
        <w:gridCol w:w="1127"/>
        <w:gridCol w:w="1276"/>
        <w:gridCol w:w="1186"/>
        <w:gridCol w:w="1236"/>
      </w:tblGrid>
      <w:tr w:rsidR="00A32067">
        <w:trPr>
          <w:trHeight w:val="1279"/>
          <w:jc w:val="center"/>
        </w:trPr>
        <w:tc>
          <w:tcPr>
            <w:tcW w:w="3362" w:type="dxa"/>
            <w:tcBorders>
              <w:tl2br w:val="single" w:sz="4" w:space="0" w:color="auto"/>
            </w:tcBorders>
            <w:vAlign w:val="center"/>
          </w:tcPr>
          <w:p w:rsidR="00A32067" w:rsidRDefault="00A32067" w:rsidP="00A32067">
            <w:pPr>
              <w:ind w:firstLineChars="750" w:firstLine="31680"/>
            </w:pPr>
            <w:r>
              <w:rPr>
                <w:rFonts w:cs="宋体" w:hint="eastAsia"/>
              </w:rPr>
              <w:t>估算投资额</w:t>
            </w:r>
          </w:p>
          <w:p w:rsidR="00A32067" w:rsidRDefault="00A32067">
            <w:r>
              <w:t>  </w:t>
            </w:r>
            <w:r>
              <w:rPr>
                <w:rFonts w:cs="宋体" w:hint="eastAsia"/>
              </w:rPr>
              <w:t>咨询评估项目</w:t>
            </w:r>
          </w:p>
        </w:tc>
        <w:tc>
          <w:tcPr>
            <w:tcW w:w="1310" w:type="dxa"/>
            <w:vAlign w:val="center"/>
          </w:tcPr>
          <w:p w:rsidR="00A32067" w:rsidRDefault="00A32067">
            <w:pPr>
              <w:jc w:val="center"/>
            </w:pPr>
            <w:r>
              <w:t>3000</w:t>
            </w:r>
            <w:r>
              <w:rPr>
                <w:rFonts w:cs="宋体" w:hint="eastAsia"/>
              </w:rPr>
              <w:t>万</w:t>
            </w:r>
          </w:p>
          <w:p w:rsidR="00A32067" w:rsidRDefault="00A32067">
            <w:pPr>
              <w:jc w:val="center"/>
            </w:pPr>
            <w:r>
              <w:rPr>
                <w:rFonts w:cs="宋体" w:hint="eastAsia"/>
              </w:rPr>
              <w:t>元</w:t>
            </w:r>
            <w:r>
              <w:t>-1</w:t>
            </w:r>
            <w:r>
              <w:rPr>
                <w:rFonts w:cs="宋体" w:hint="eastAsia"/>
              </w:rPr>
              <w:t>亿</w:t>
            </w:r>
          </w:p>
        </w:tc>
        <w:tc>
          <w:tcPr>
            <w:tcW w:w="1127" w:type="dxa"/>
            <w:vAlign w:val="center"/>
          </w:tcPr>
          <w:p w:rsidR="00A32067" w:rsidRDefault="00A32067">
            <w:pPr>
              <w:jc w:val="center"/>
            </w:pPr>
            <w:r>
              <w:t>1</w:t>
            </w:r>
            <w:r>
              <w:rPr>
                <w:rFonts w:cs="宋体" w:hint="eastAsia"/>
              </w:rPr>
              <w:t>亿元</w:t>
            </w:r>
            <w:r>
              <w:t>-</w:t>
            </w:r>
          </w:p>
          <w:p w:rsidR="00A32067" w:rsidRDefault="00A32067">
            <w:pPr>
              <w:jc w:val="center"/>
            </w:pPr>
            <w:r>
              <w:t>5</w:t>
            </w:r>
            <w:r>
              <w:rPr>
                <w:rFonts w:cs="宋体" w:hint="eastAsia"/>
              </w:rPr>
              <w:t>亿元</w:t>
            </w:r>
          </w:p>
        </w:tc>
        <w:tc>
          <w:tcPr>
            <w:tcW w:w="1276" w:type="dxa"/>
            <w:vAlign w:val="center"/>
          </w:tcPr>
          <w:p w:rsidR="00A32067" w:rsidRDefault="00A32067">
            <w:pPr>
              <w:jc w:val="center"/>
            </w:pPr>
            <w:r>
              <w:t>5</w:t>
            </w:r>
            <w:r>
              <w:rPr>
                <w:rFonts w:cs="宋体" w:hint="eastAsia"/>
              </w:rPr>
              <w:t>亿元</w:t>
            </w:r>
            <w:r>
              <w:t>-</w:t>
            </w:r>
          </w:p>
          <w:p w:rsidR="00A32067" w:rsidRDefault="00A32067">
            <w:pPr>
              <w:jc w:val="center"/>
            </w:pPr>
            <w:r>
              <w:t>10</w:t>
            </w:r>
            <w:r>
              <w:rPr>
                <w:rFonts w:cs="宋体" w:hint="eastAsia"/>
              </w:rPr>
              <w:t>亿元</w:t>
            </w:r>
          </w:p>
        </w:tc>
        <w:tc>
          <w:tcPr>
            <w:tcW w:w="1186" w:type="dxa"/>
            <w:vAlign w:val="center"/>
          </w:tcPr>
          <w:p w:rsidR="00A32067" w:rsidRDefault="00A32067">
            <w:pPr>
              <w:jc w:val="center"/>
            </w:pPr>
            <w:r>
              <w:t>10</w:t>
            </w:r>
            <w:r>
              <w:rPr>
                <w:rFonts w:cs="宋体" w:hint="eastAsia"/>
              </w:rPr>
              <w:t>亿元</w:t>
            </w:r>
          </w:p>
          <w:p w:rsidR="00A32067" w:rsidRDefault="00A32067">
            <w:pPr>
              <w:jc w:val="center"/>
            </w:pPr>
            <w:r>
              <w:t>-50</w:t>
            </w:r>
            <w:r>
              <w:rPr>
                <w:rFonts w:cs="宋体" w:hint="eastAsia"/>
              </w:rPr>
              <w:t>亿元</w:t>
            </w:r>
          </w:p>
        </w:tc>
        <w:tc>
          <w:tcPr>
            <w:tcW w:w="1236" w:type="dxa"/>
            <w:vAlign w:val="center"/>
          </w:tcPr>
          <w:p w:rsidR="00A32067" w:rsidRDefault="00A32067">
            <w:pPr>
              <w:jc w:val="center"/>
            </w:pPr>
            <w:r>
              <w:t>50</w:t>
            </w:r>
            <w:r>
              <w:rPr>
                <w:rFonts w:cs="宋体" w:hint="eastAsia"/>
              </w:rPr>
              <w:t>亿元</w:t>
            </w:r>
          </w:p>
          <w:p w:rsidR="00A32067" w:rsidRDefault="00A32067" w:rsidP="00A32067">
            <w:pPr>
              <w:ind w:firstLineChars="150" w:firstLine="31680"/>
              <w:jc w:val="center"/>
            </w:pPr>
            <w:r>
              <w:rPr>
                <w:rFonts w:cs="宋体" w:hint="eastAsia"/>
              </w:rPr>
              <w:t>以上</w:t>
            </w:r>
          </w:p>
        </w:tc>
      </w:tr>
      <w:tr w:rsidR="00A32067">
        <w:trPr>
          <w:trHeight w:val="567"/>
          <w:jc w:val="center"/>
        </w:trPr>
        <w:tc>
          <w:tcPr>
            <w:tcW w:w="3362" w:type="dxa"/>
            <w:vAlign w:val="center"/>
          </w:tcPr>
          <w:p w:rsidR="00A32067" w:rsidRDefault="00A32067">
            <w:r>
              <w:rPr>
                <w:rFonts w:cs="宋体" w:hint="eastAsia"/>
              </w:rPr>
              <w:t>一、编制项目建议书</w:t>
            </w:r>
          </w:p>
        </w:tc>
        <w:tc>
          <w:tcPr>
            <w:tcW w:w="1310" w:type="dxa"/>
            <w:vAlign w:val="center"/>
          </w:tcPr>
          <w:p w:rsidR="00A32067" w:rsidRDefault="00A32067">
            <w:pPr>
              <w:jc w:val="center"/>
            </w:pPr>
            <w:r>
              <w:t>6~14</w:t>
            </w:r>
          </w:p>
        </w:tc>
        <w:tc>
          <w:tcPr>
            <w:tcW w:w="1127" w:type="dxa"/>
            <w:vAlign w:val="center"/>
          </w:tcPr>
          <w:p w:rsidR="00A32067" w:rsidRDefault="00A32067">
            <w:pPr>
              <w:jc w:val="center"/>
            </w:pPr>
            <w:r>
              <w:t>14~37</w:t>
            </w:r>
          </w:p>
        </w:tc>
        <w:tc>
          <w:tcPr>
            <w:tcW w:w="1276" w:type="dxa"/>
            <w:vAlign w:val="center"/>
          </w:tcPr>
          <w:p w:rsidR="00A32067" w:rsidRDefault="00A32067">
            <w:pPr>
              <w:jc w:val="center"/>
            </w:pPr>
            <w:r>
              <w:t>37~55</w:t>
            </w:r>
          </w:p>
        </w:tc>
        <w:tc>
          <w:tcPr>
            <w:tcW w:w="1186" w:type="dxa"/>
            <w:vAlign w:val="center"/>
          </w:tcPr>
          <w:p w:rsidR="00A32067" w:rsidRDefault="00A32067">
            <w:pPr>
              <w:jc w:val="center"/>
            </w:pPr>
            <w:r>
              <w:t>55~100</w:t>
            </w:r>
          </w:p>
        </w:tc>
        <w:tc>
          <w:tcPr>
            <w:tcW w:w="1236" w:type="dxa"/>
            <w:vAlign w:val="center"/>
          </w:tcPr>
          <w:p w:rsidR="00A32067" w:rsidRDefault="00A32067">
            <w:pPr>
              <w:jc w:val="center"/>
            </w:pPr>
            <w:r>
              <w:t>100~125</w:t>
            </w:r>
          </w:p>
        </w:tc>
      </w:tr>
      <w:tr w:rsidR="00A32067">
        <w:trPr>
          <w:trHeight w:val="567"/>
          <w:jc w:val="center"/>
        </w:trPr>
        <w:tc>
          <w:tcPr>
            <w:tcW w:w="3362" w:type="dxa"/>
            <w:vAlign w:val="center"/>
          </w:tcPr>
          <w:p w:rsidR="00A32067" w:rsidRDefault="00A32067">
            <w:r>
              <w:rPr>
                <w:rFonts w:cs="宋体" w:hint="eastAsia"/>
              </w:rPr>
              <w:t>二、编制可行性研究报告</w:t>
            </w:r>
          </w:p>
        </w:tc>
        <w:tc>
          <w:tcPr>
            <w:tcW w:w="1310" w:type="dxa"/>
            <w:vAlign w:val="center"/>
          </w:tcPr>
          <w:p w:rsidR="00A32067" w:rsidRDefault="00A32067">
            <w:pPr>
              <w:jc w:val="center"/>
            </w:pPr>
            <w:r>
              <w:t>12~28</w:t>
            </w:r>
          </w:p>
        </w:tc>
        <w:tc>
          <w:tcPr>
            <w:tcW w:w="1127" w:type="dxa"/>
            <w:vAlign w:val="center"/>
          </w:tcPr>
          <w:p w:rsidR="00A32067" w:rsidRDefault="00A32067">
            <w:pPr>
              <w:jc w:val="center"/>
            </w:pPr>
            <w:r>
              <w:t>28~75</w:t>
            </w:r>
          </w:p>
        </w:tc>
        <w:tc>
          <w:tcPr>
            <w:tcW w:w="1276" w:type="dxa"/>
            <w:vAlign w:val="center"/>
          </w:tcPr>
          <w:p w:rsidR="00A32067" w:rsidRDefault="00A32067">
            <w:pPr>
              <w:jc w:val="center"/>
            </w:pPr>
            <w:r>
              <w:t>75~100</w:t>
            </w:r>
          </w:p>
        </w:tc>
        <w:tc>
          <w:tcPr>
            <w:tcW w:w="1186" w:type="dxa"/>
            <w:vAlign w:val="center"/>
          </w:tcPr>
          <w:p w:rsidR="00A32067" w:rsidRDefault="00A32067">
            <w:pPr>
              <w:jc w:val="center"/>
            </w:pPr>
            <w:r>
              <w:t>110~200</w:t>
            </w:r>
          </w:p>
        </w:tc>
        <w:tc>
          <w:tcPr>
            <w:tcW w:w="1236" w:type="dxa"/>
            <w:vAlign w:val="center"/>
          </w:tcPr>
          <w:p w:rsidR="00A32067" w:rsidRDefault="00A32067">
            <w:pPr>
              <w:jc w:val="center"/>
            </w:pPr>
            <w:r>
              <w:t>200~250</w:t>
            </w:r>
          </w:p>
        </w:tc>
      </w:tr>
      <w:tr w:rsidR="00A32067">
        <w:trPr>
          <w:trHeight w:val="567"/>
          <w:jc w:val="center"/>
        </w:trPr>
        <w:tc>
          <w:tcPr>
            <w:tcW w:w="3362" w:type="dxa"/>
            <w:vAlign w:val="center"/>
          </w:tcPr>
          <w:p w:rsidR="00A32067" w:rsidRDefault="00A32067">
            <w:r>
              <w:rPr>
                <w:rFonts w:cs="宋体" w:hint="eastAsia"/>
              </w:rPr>
              <w:t>三、评估项目建议书</w:t>
            </w:r>
          </w:p>
        </w:tc>
        <w:tc>
          <w:tcPr>
            <w:tcW w:w="1310" w:type="dxa"/>
            <w:vAlign w:val="center"/>
          </w:tcPr>
          <w:p w:rsidR="00A32067" w:rsidRDefault="00A32067">
            <w:pPr>
              <w:jc w:val="center"/>
            </w:pPr>
            <w:r>
              <w:t>4~8</w:t>
            </w:r>
          </w:p>
        </w:tc>
        <w:tc>
          <w:tcPr>
            <w:tcW w:w="1127" w:type="dxa"/>
            <w:vAlign w:val="center"/>
          </w:tcPr>
          <w:p w:rsidR="00A32067" w:rsidRDefault="00A32067">
            <w:pPr>
              <w:jc w:val="center"/>
            </w:pPr>
            <w:r>
              <w:t>8~12</w:t>
            </w:r>
          </w:p>
        </w:tc>
        <w:tc>
          <w:tcPr>
            <w:tcW w:w="1276" w:type="dxa"/>
            <w:vAlign w:val="center"/>
          </w:tcPr>
          <w:p w:rsidR="00A32067" w:rsidRDefault="00A32067">
            <w:pPr>
              <w:jc w:val="center"/>
            </w:pPr>
            <w:r>
              <w:t>12~15</w:t>
            </w:r>
          </w:p>
        </w:tc>
        <w:tc>
          <w:tcPr>
            <w:tcW w:w="1186" w:type="dxa"/>
            <w:vAlign w:val="center"/>
          </w:tcPr>
          <w:p w:rsidR="00A32067" w:rsidRDefault="00A32067">
            <w:pPr>
              <w:jc w:val="center"/>
            </w:pPr>
            <w:r>
              <w:t>15~17</w:t>
            </w:r>
          </w:p>
        </w:tc>
        <w:tc>
          <w:tcPr>
            <w:tcW w:w="1236" w:type="dxa"/>
            <w:vAlign w:val="center"/>
          </w:tcPr>
          <w:p w:rsidR="00A32067" w:rsidRDefault="00A32067">
            <w:pPr>
              <w:jc w:val="center"/>
            </w:pPr>
            <w:r>
              <w:t>17~20</w:t>
            </w:r>
          </w:p>
        </w:tc>
      </w:tr>
      <w:tr w:rsidR="00A32067">
        <w:trPr>
          <w:trHeight w:val="568"/>
          <w:jc w:val="center"/>
        </w:trPr>
        <w:tc>
          <w:tcPr>
            <w:tcW w:w="3362" w:type="dxa"/>
            <w:vAlign w:val="center"/>
          </w:tcPr>
          <w:p w:rsidR="00A32067" w:rsidRDefault="00A32067">
            <w:r>
              <w:rPr>
                <w:rFonts w:cs="宋体" w:hint="eastAsia"/>
              </w:rPr>
              <w:t>四、评估可行性研究报告</w:t>
            </w:r>
          </w:p>
        </w:tc>
        <w:tc>
          <w:tcPr>
            <w:tcW w:w="1310" w:type="dxa"/>
            <w:vAlign w:val="center"/>
          </w:tcPr>
          <w:p w:rsidR="00A32067" w:rsidRDefault="00A32067">
            <w:pPr>
              <w:jc w:val="center"/>
            </w:pPr>
            <w:r>
              <w:t>5~10</w:t>
            </w:r>
          </w:p>
        </w:tc>
        <w:tc>
          <w:tcPr>
            <w:tcW w:w="1127" w:type="dxa"/>
            <w:vAlign w:val="center"/>
          </w:tcPr>
          <w:p w:rsidR="00A32067" w:rsidRDefault="00A32067">
            <w:pPr>
              <w:jc w:val="center"/>
            </w:pPr>
            <w:r>
              <w:t>10~15</w:t>
            </w:r>
          </w:p>
        </w:tc>
        <w:tc>
          <w:tcPr>
            <w:tcW w:w="1276" w:type="dxa"/>
            <w:vAlign w:val="center"/>
          </w:tcPr>
          <w:p w:rsidR="00A32067" w:rsidRDefault="00A32067">
            <w:pPr>
              <w:jc w:val="center"/>
            </w:pPr>
            <w:r>
              <w:t>15~20</w:t>
            </w:r>
          </w:p>
        </w:tc>
        <w:tc>
          <w:tcPr>
            <w:tcW w:w="1186" w:type="dxa"/>
            <w:vAlign w:val="center"/>
          </w:tcPr>
          <w:p w:rsidR="00A32067" w:rsidRDefault="00A32067">
            <w:pPr>
              <w:jc w:val="center"/>
            </w:pPr>
            <w:r>
              <w:t>20~25</w:t>
            </w:r>
          </w:p>
        </w:tc>
        <w:tc>
          <w:tcPr>
            <w:tcW w:w="1236" w:type="dxa"/>
            <w:vAlign w:val="center"/>
          </w:tcPr>
          <w:p w:rsidR="00A32067" w:rsidRDefault="00A32067">
            <w:pPr>
              <w:jc w:val="center"/>
            </w:pPr>
            <w:r>
              <w:t>25~35</w:t>
            </w:r>
          </w:p>
        </w:tc>
      </w:tr>
    </w:tbl>
    <w:p w:rsidR="00A32067" w:rsidRDefault="00A32067" w:rsidP="0002085C">
      <w:pPr>
        <w:spacing w:beforeLines="50" w:afterLines="50" w:line="360" w:lineRule="auto"/>
        <w:rPr>
          <w:sz w:val="22"/>
          <w:szCs w:val="22"/>
        </w:rPr>
      </w:pPr>
      <w:r>
        <w:rPr>
          <w:rFonts w:cs="宋体" w:hint="eastAsia"/>
          <w:sz w:val="22"/>
          <w:szCs w:val="22"/>
        </w:rPr>
        <w:t>注：</w:t>
      </w:r>
      <w:r>
        <w:rPr>
          <w:sz w:val="22"/>
          <w:szCs w:val="22"/>
        </w:rPr>
        <w:t>1</w:t>
      </w:r>
      <w:r>
        <w:rPr>
          <w:rFonts w:cs="宋体" w:hint="eastAsia"/>
          <w:sz w:val="22"/>
          <w:szCs w:val="22"/>
        </w:rPr>
        <w:t>、建议项目估算投资额是指项目建议书或者可行性研究报告的估算投资额。</w:t>
      </w:r>
    </w:p>
    <w:p w:rsidR="00A32067" w:rsidRDefault="00A32067" w:rsidP="005431C7">
      <w:pPr>
        <w:spacing w:beforeLines="50" w:afterLines="50" w:line="360" w:lineRule="auto"/>
        <w:ind w:firstLineChars="200" w:firstLine="31680"/>
        <w:rPr>
          <w:sz w:val="22"/>
          <w:szCs w:val="22"/>
        </w:rPr>
      </w:pPr>
      <w:r>
        <w:rPr>
          <w:sz w:val="22"/>
          <w:szCs w:val="22"/>
        </w:rPr>
        <w:t>2</w:t>
      </w:r>
      <w:r>
        <w:rPr>
          <w:rFonts w:cs="宋体" w:hint="eastAsia"/>
          <w:sz w:val="22"/>
          <w:szCs w:val="22"/>
        </w:rPr>
        <w:t>、建议项目的具体收费标准，根据估算投资额与相对应的区间内用插入法计算。</w:t>
      </w:r>
    </w:p>
    <w:p w:rsidR="00A32067" w:rsidRDefault="00A32067" w:rsidP="005431C7">
      <w:pPr>
        <w:spacing w:beforeLines="50" w:afterLines="50" w:line="360" w:lineRule="auto"/>
        <w:ind w:leftChars="200" w:left="31680"/>
        <w:rPr>
          <w:sz w:val="22"/>
          <w:szCs w:val="22"/>
        </w:rPr>
      </w:pPr>
      <w:r>
        <w:rPr>
          <w:sz w:val="22"/>
          <w:szCs w:val="22"/>
        </w:rPr>
        <w:t>3</w:t>
      </w:r>
      <w:r>
        <w:rPr>
          <w:rFonts w:cs="宋体" w:hint="eastAsia"/>
          <w:sz w:val="22"/>
          <w:szCs w:val="22"/>
        </w:rPr>
        <w:t>、根据行业特点和各行业内部不同类别工程的复杂程度，计算咨询费用时可分别乘以行业调整系数和工程复杂程度调整系数（见附件二）。</w:t>
      </w:r>
    </w:p>
    <w:p w:rsidR="00A32067" w:rsidRDefault="00A32067" w:rsidP="005431C7">
      <w:pPr>
        <w:spacing w:line="360" w:lineRule="auto"/>
        <w:ind w:leftChars="200" w:left="31680"/>
        <w:rPr>
          <w:sz w:val="22"/>
          <w:szCs w:val="22"/>
        </w:rPr>
      </w:pPr>
      <w:r>
        <w:rPr>
          <w:rFonts w:cs="宋体" w:hint="eastAsia"/>
          <w:b/>
          <w:bCs/>
          <w:sz w:val="24"/>
          <w:szCs w:val="24"/>
        </w:rPr>
        <w:t>附件：</w:t>
      </w:r>
    </w:p>
    <w:p w:rsidR="00A32067" w:rsidRDefault="00A32067" w:rsidP="0002085C">
      <w:pPr>
        <w:pStyle w:val="ListParagraph"/>
        <w:spacing w:afterLines="100" w:line="360" w:lineRule="auto"/>
        <w:ind w:left="720" w:firstLineChars="0" w:firstLine="0"/>
        <w:jc w:val="center"/>
        <w:rPr>
          <w:b/>
          <w:bCs/>
          <w:sz w:val="24"/>
          <w:szCs w:val="24"/>
        </w:rPr>
      </w:pPr>
      <w:r>
        <w:rPr>
          <w:rFonts w:cs="宋体" w:hint="eastAsia"/>
          <w:b/>
          <w:bCs/>
          <w:sz w:val="24"/>
          <w:szCs w:val="24"/>
        </w:rPr>
        <w:t>二、按建设项目估算投资额分档收费的调整系数</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6"/>
        <w:gridCol w:w="3260"/>
      </w:tblGrid>
      <w:tr w:rsidR="00A32067">
        <w:trPr>
          <w:trHeight w:val="613"/>
          <w:jc w:val="center"/>
        </w:trPr>
        <w:tc>
          <w:tcPr>
            <w:tcW w:w="5776" w:type="dxa"/>
            <w:vAlign w:val="center"/>
          </w:tcPr>
          <w:p w:rsidR="00A32067" w:rsidRDefault="00A32067">
            <w:pPr>
              <w:jc w:val="center"/>
            </w:pPr>
            <w:r>
              <w:rPr>
                <w:rFonts w:cs="宋体" w:hint="eastAsia"/>
              </w:rPr>
              <w:t>行业</w:t>
            </w:r>
          </w:p>
        </w:tc>
        <w:tc>
          <w:tcPr>
            <w:tcW w:w="3260" w:type="dxa"/>
            <w:vAlign w:val="center"/>
          </w:tcPr>
          <w:p w:rsidR="00A32067" w:rsidRDefault="00A32067">
            <w:pPr>
              <w:jc w:val="center"/>
            </w:pPr>
            <w:r>
              <w:rPr>
                <w:rFonts w:cs="宋体" w:hint="eastAsia"/>
              </w:rPr>
              <w:t>调整系数</w:t>
            </w:r>
          </w:p>
          <w:p w:rsidR="00A32067" w:rsidRDefault="00A32067">
            <w:pPr>
              <w:jc w:val="center"/>
            </w:pPr>
            <w:r>
              <w:rPr>
                <w:rFonts w:cs="宋体" w:hint="eastAsia"/>
              </w:rPr>
              <w:t>（以表一所列收费标准</w:t>
            </w:r>
            <w:r>
              <w:t>1</w:t>
            </w:r>
            <w:r>
              <w:rPr>
                <w:rFonts w:cs="宋体" w:hint="eastAsia"/>
              </w:rPr>
              <w:t>）</w:t>
            </w:r>
          </w:p>
        </w:tc>
      </w:tr>
      <w:tr w:rsidR="00A32067">
        <w:trPr>
          <w:trHeight w:val="613"/>
          <w:jc w:val="center"/>
        </w:trPr>
        <w:tc>
          <w:tcPr>
            <w:tcW w:w="5776" w:type="dxa"/>
            <w:vAlign w:val="center"/>
          </w:tcPr>
          <w:p w:rsidR="00A32067" w:rsidRDefault="00A32067">
            <w:r>
              <w:rPr>
                <w:rFonts w:cs="宋体" w:hint="eastAsia"/>
              </w:rPr>
              <w:t>一、行业调整系数</w:t>
            </w:r>
          </w:p>
        </w:tc>
        <w:tc>
          <w:tcPr>
            <w:tcW w:w="3260" w:type="dxa"/>
            <w:vAlign w:val="center"/>
          </w:tcPr>
          <w:p w:rsidR="00A32067" w:rsidRDefault="00A32067">
            <w:pPr>
              <w:jc w:val="center"/>
            </w:pPr>
          </w:p>
        </w:tc>
      </w:tr>
      <w:tr w:rsidR="00A32067">
        <w:trPr>
          <w:trHeight w:val="613"/>
          <w:jc w:val="center"/>
        </w:trPr>
        <w:tc>
          <w:tcPr>
            <w:tcW w:w="5776" w:type="dxa"/>
            <w:vAlign w:val="center"/>
          </w:tcPr>
          <w:p w:rsidR="00A32067" w:rsidRDefault="00A32067">
            <w:r>
              <w:t>1</w:t>
            </w:r>
            <w:r>
              <w:rPr>
                <w:rFonts w:cs="宋体" w:hint="eastAsia"/>
              </w:rPr>
              <w:t>、石化、化工、钢铁</w:t>
            </w:r>
          </w:p>
        </w:tc>
        <w:tc>
          <w:tcPr>
            <w:tcW w:w="3260" w:type="dxa"/>
            <w:vAlign w:val="center"/>
          </w:tcPr>
          <w:p w:rsidR="00A32067" w:rsidRDefault="00A32067">
            <w:pPr>
              <w:jc w:val="center"/>
            </w:pPr>
            <w:r>
              <w:t>1.3</w:t>
            </w:r>
          </w:p>
        </w:tc>
      </w:tr>
      <w:tr w:rsidR="00A32067">
        <w:trPr>
          <w:trHeight w:val="613"/>
          <w:jc w:val="center"/>
        </w:trPr>
        <w:tc>
          <w:tcPr>
            <w:tcW w:w="5776" w:type="dxa"/>
            <w:vAlign w:val="center"/>
          </w:tcPr>
          <w:p w:rsidR="00A32067" w:rsidRDefault="00A32067">
            <w:r>
              <w:t>2</w:t>
            </w:r>
            <w:r>
              <w:rPr>
                <w:rFonts w:cs="宋体" w:hint="eastAsia"/>
              </w:rPr>
              <w:t>、石油、天然气、水利、水电、交通（水运）、化纤</w:t>
            </w:r>
          </w:p>
        </w:tc>
        <w:tc>
          <w:tcPr>
            <w:tcW w:w="3260" w:type="dxa"/>
            <w:vAlign w:val="center"/>
          </w:tcPr>
          <w:p w:rsidR="00A32067" w:rsidRDefault="00A32067">
            <w:pPr>
              <w:jc w:val="center"/>
            </w:pPr>
            <w:r>
              <w:t>1.2</w:t>
            </w:r>
          </w:p>
        </w:tc>
      </w:tr>
      <w:tr w:rsidR="00A32067">
        <w:trPr>
          <w:trHeight w:val="613"/>
          <w:jc w:val="center"/>
        </w:trPr>
        <w:tc>
          <w:tcPr>
            <w:tcW w:w="5776" w:type="dxa"/>
            <w:vAlign w:val="center"/>
          </w:tcPr>
          <w:p w:rsidR="00A32067" w:rsidRDefault="00A32067">
            <w:r>
              <w:t>3</w:t>
            </w:r>
            <w:r>
              <w:rPr>
                <w:rFonts w:cs="宋体" w:hint="eastAsia"/>
              </w:rPr>
              <w:t>、有色、纺织、黄金、轻工、邮电、广播、电视、医药、煤炭、火电（含核电）、机械（含船舶、航空、航天、兵器）</w:t>
            </w:r>
          </w:p>
        </w:tc>
        <w:tc>
          <w:tcPr>
            <w:tcW w:w="3260" w:type="dxa"/>
            <w:vAlign w:val="center"/>
          </w:tcPr>
          <w:p w:rsidR="00A32067" w:rsidRDefault="00A32067" w:rsidP="00A32067">
            <w:pPr>
              <w:ind w:firstLineChars="650" w:firstLine="31680"/>
            </w:pPr>
            <w:r>
              <w:t>1.0</w:t>
            </w:r>
          </w:p>
        </w:tc>
      </w:tr>
      <w:tr w:rsidR="00A32067">
        <w:trPr>
          <w:trHeight w:val="613"/>
          <w:jc w:val="center"/>
        </w:trPr>
        <w:tc>
          <w:tcPr>
            <w:tcW w:w="5776" w:type="dxa"/>
            <w:vAlign w:val="center"/>
          </w:tcPr>
          <w:p w:rsidR="00A32067" w:rsidRDefault="00A32067">
            <w:r>
              <w:t>4</w:t>
            </w:r>
            <w:r>
              <w:rPr>
                <w:rFonts w:cs="宋体" w:hint="eastAsia"/>
              </w:rPr>
              <w:t>、林业、商业、粮食、建筑</w:t>
            </w:r>
          </w:p>
        </w:tc>
        <w:tc>
          <w:tcPr>
            <w:tcW w:w="3260" w:type="dxa"/>
            <w:vAlign w:val="center"/>
          </w:tcPr>
          <w:p w:rsidR="00A32067" w:rsidRDefault="00A32067">
            <w:pPr>
              <w:jc w:val="center"/>
            </w:pPr>
            <w:r>
              <w:t>0.3</w:t>
            </w:r>
          </w:p>
        </w:tc>
      </w:tr>
      <w:tr w:rsidR="00A32067">
        <w:trPr>
          <w:trHeight w:val="613"/>
          <w:jc w:val="center"/>
        </w:trPr>
        <w:tc>
          <w:tcPr>
            <w:tcW w:w="5776" w:type="dxa"/>
            <w:vAlign w:val="center"/>
          </w:tcPr>
          <w:p w:rsidR="00A32067" w:rsidRDefault="00A32067">
            <w:r>
              <w:t>5</w:t>
            </w:r>
            <w:r>
              <w:rPr>
                <w:rFonts w:cs="宋体" w:hint="eastAsia"/>
              </w:rPr>
              <w:t>、建材、交通（公路）、铁道、市政公用工程</w:t>
            </w:r>
          </w:p>
        </w:tc>
        <w:tc>
          <w:tcPr>
            <w:tcW w:w="3260" w:type="dxa"/>
            <w:vAlign w:val="center"/>
          </w:tcPr>
          <w:p w:rsidR="00A32067" w:rsidRDefault="00A32067">
            <w:pPr>
              <w:jc w:val="center"/>
            </w:pPr>
            <w:r>
              <w:t>0.7</w:t>
            </w:r>
          </w:p>
        </w:tc>
      </w:tr>
      <w:tr w:rsidR="00A32067">
        <w:trPr>
          <w:trHeight w:val="613"/>
          <w:jc w:val="center"/>
        </w:trPr>
        <w:tc>
          <w:tcPr>
            <w:tcW w:w="5776" w:type="dxa"/>
            <w:vAlign w:val="center"/>
          </w:tcPr>
          <w:p w:rsidR="00A32067" w:rsidRDefault="00A32067">
            <w:r>
              <w:rPr>
                <w:rFonts w:cs="宋体" w:hint="eastAsia"/>
              </w:rPr>
              <w:t>二、工程复杂程度调整系数</w:t>
            </w:r>
          </w:p>
        </w:tc>
        <w:tc>
          <w:tcPr>
            <w:tcW w:w="3260" w:type="dxa"/>
            <w:vAlign w:val="center"/>
          </w:tcPr>
          <w:p w:rsidR="00A32067" w:rsidRDefault="00A32067">
            <w:pPr>
              <w:jc w:val="center"/>
            </w:pPr>
            <w:r>
              <w:t>0.3~1.2</w:t>
            </w:r>
          </w:p>
        </w:tc>
      </w:tr>
    </w:tbl>
    <w:p w:rsidR="00A32067" w:rsidRDefault="00A32067" w:rsidP="00A32067">
      <w:pPr>
        <w:spacing w:beforeLines="50" w:afterLines="50" w:line="480" w:lineRule="auto"/>
        <w:ind w:firstLineChars="200" w:firstLine="31680"/>
        <w:rPr>
          <w:sz w:val="24"/>
          <w:szCs w:val="24"/>
        </w:rPr>
      </w:pPr>
      <w:r>
        <w:rPr>
          <w:rFonts w:cs="宋体" w:hint="eastAsia"/>
          <w:sz w:val="24"/>
          <w:szCs w:val="24"/>
        </w:rPr>
        <w:t>注：工程复杂程度具体调整系数由工程咨询机构和委托单位根据各类工程的情况协商确定。</w:t>
      </w:r>
    </w:p>
    <w:p w:rsidR="00A32067" w:rsidRDefault="00A32067">
      <w:pPr>
        <w:spacing w:line="220" w:lineRule="atLeast"/>
      </w:pPr>
    </w:p>
    <w:p w:rsidR="00A32067" w:rsidRDefault="00A32067">
      <w:pPr>
        <w:spacing w:line="220" w:lineRule="atLeast"/>
      </w:pPr>
    </w:p>
    <w:p w:rsidR="00A32067" w:rsidRDefault="00A32067">
      <w:pPr>
        <w:rPr>
          <w:b/>
          <w:bCs/>
          <w:sz w:val="24"/>
          <w:szCs w:val="24"/>
        </w:rPr>
      </w:pPr>
      <w:r>
        <w:rPr>
          <w:rFonts w:cs="宋体" w:hint="eastAsia"/>
          <w:b/>
          <w:bCs/>
          <w:sz w:val="24"/>
          <w:szCs w:val="24"/>
        </w:rPr>
        <w:t>附件：</w:t>
      </w:r>
    </w:p>
    <w:p w:rsidR="00A32067" w:rsidRDefault="00A32067" w:rsidP="0002085C">
      <w:pPr>
        <w:pStyle w:val="ListParagraph"/>
        <w:spacing w:afterLines="100" w:line="360" w:lineRule="auto"/>
        <w:ind w:left="720" w:firstLineChars="0" w:firstLine="0"/>
        <w:jc w:val="center"/>
        <w:rPr>
          <w:b/>
          <w:bCs/>
          <w:sz w:val="24"/>
          <w:szCs w:val="24"/>
        </w:rPr>
      </w:pPr>
      <w:r>
        <w:rPr>
          <w:rFonts w:cs="宋体" w:hint="eastAsia"/>
          <w:b/>
          <w:bCs/>
          <w:sz w:val="24"/>
          <w:szCs w:val="24"/>
        </w:rPr>
        <w:t>三、工程咨询人员工日费用标准</w:t>
      </w:r>
    </w:p>
    <w:p w:rsidR="00A32067" w:rsidRDefault="00A32067">
      <w:pPr>
        <w:jc w:val="right"/>
        <w:rPr>
          <w:sz w:val="24"/>
          <w:szCs w:val="24"/>
        </w:rPr>
      </w:pPr>
      <w:r>
        <w:rPr>
          <w:rFonts w:cs="宋体" w:hint="eastAsia"/>
          <w:sz w:val="24"/>
          <w:szCs w:val="24"/>
        </w:rPr>
        <w:t>单位：元</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57"/>
        <w:gridCol w:w="3324"/>
      </w:tblGrid>
      <w:tr w:rsidR="00A32067">
        <w:trPr>
          <w:trHeight w:val="453"/>
          <w:jc w:val="center"/>
        </w:trPr>
        <w:tc>
          <w:tcPr>
            <w:tcW w:w="5557" w:type="dxa"/>
            <w:vAlign w:val="center"/>
          </w:tcPr>
          <w:p w:rsidR="00A32067" w:rsidRDefault="00A32067">
            <w:pPr>
              <w:jc w:val="center"/>
            </w:pPr>
            <w:r>
              <w:rPr>
                <w:rFonts w:cs="宋体" w:hint="eastAsia"/>
              </w:rPr>
              <w:t>咨询人员职段</w:t>
            </w:r>
          </w:p>
        </w:tc>
        <w:tc>
          <w:tcPr>
            <w:tcW w:w="3324" w:type="dxa"/>
            <w:vAlign w:val="center"/>
          </w:tcPr>
          <w:p w:rsidR="00A32067" w:rsidRDefault="00A32067">
            <w:pPr>
              <w:jc w:val="center"/>
            </w:pPr>
            <w:r>
              <w:rPr>
                <w:rFonts w:cs="宋体" w:hint="eastAsia"/>
              </w:rPr>
              <w:t>工日费用标准</w:t>
            </w:r>
          </w:p>
        </w:tc>
      </w:tr>
      <w:tr w:rsidR="00A32067">
        <w:trPr>
          <w:trHeight w:val="559"/>
          <w:jc w:val="center"/>
        </w:trPr>
        <w:tc>
          <w:tcPr>
            <w:tcW w:w="5557" w:type="dxa"/>
            <w:vAlign w:val="center"/>
          </w:tcPr>
          <w:p w:rsidR="00A32067" w:rsidRDefault="00A32067">
            <w:r>
              <w:rPr>
                <w:rFonts w:cs="宋体" w:hint="eastAsia"/>
              </w:rPr>
              <w:t>一、高级专家</w:t>
            </w:r>
          </w:p>
        </w:tc>
        <w:tc>
          <w:tcPr>
            <w:tcW w:w="3324" w:type="dxa"/>
            <w:vAlign w:val="center"/>
          </w:tcPr>
          <w:p w:rsidR="00A32067" w:rsidRDefault="00A32067">
            <w:pPr>
              <w:jc w:val="center"/>
            </w:pPr>
            <w:r>
              <w:t>1000~1200</w:t>
            </w:r>
          </w:p>
        </w:tc>
      </w:tr>
      <w:tr w:rsidR="00A32067">
        <w:trPr>
          <w:trHeight w:val="565"/>
          <w:jc w:val="center"/>
        </w:trPr>
        <w:tc>
          <w:tcPr>
            <w:tcW w:w="5557" w:type="dxa"/>
            <w:vAlign w:val="center"/>
          </w:tcPr>
          <w:p w:rsidR="00A32067" w:rsidRDefault="00A32067">
            <w:r>
              <w:rPr>
                <w:rFonts w:cs="宋体" w:hint="eastAsia"/>
              </w:rPr>
              <w:t>二、高级专业技术职称的咨询人员</w:t>
            </w:r>
          </w:p>
        </w:tc>
        <w:tc>
          <w:tcPr>
            <w:tcW w:w="3324" w:type="dxa"/>
            <w:vAlign w:val="center"/>
          </w:tcPr>
          <w:p w:rsidR="00A32067" w:rsidRDefault="00A32067">
            <w:pPr>
              <w:jc w:val="center"/>
            </w:pPr>
            <w:r>
              <w:t>800~1000</w:t>
            </w:r>
          </w:p>
        </w:tc>
      </w:tr>
      <w:tr w:rsidR="00A32067">
        <w:trPr>
          <w:trHeight w:val="515"/>
          <w:jc w:val="center"/>
        </w:trPr>
        <w:tc>
          <w:tcPr>
            <w:tcW w:w="5557" w:type="dxa"/>
            <w:vAlign w:val="center"/>
          </w:tcPr>
          <w:p w:rsidR="00A32067" w:rsidRDefault="00A32067">
            <w:r>
              <w:rPr>
                <w:rFonts w:cs="宋体" w:hint="eastAsia"/>
              </w:rPr>
              <w:t>三、中级专业技术职称的咨询人员</w:t>
            </w:r>
          </w:p>
        </w:tc>
        <w:tc>
          <w:tcPr>
            <w:tcW w:w="3324" w:type="dxa"/>
            <w:vAlign w:val="center"/>
          </w:tcPr>
          <w:p w:rsidR="00A32067" w:rsidRDefault="00A32067">
            <w:pPr>
              <w:jc w:val="center"/>
            </w:pPr>
            <w:r>
              <w:t>600~800</w:t>
            </w:r>
          </w:p>
        </w:tc>
      </w:tr>
    </w:tbl>
    <w:p w:rsidR="00A32067" w:rsidRDefault="00A32067">
      <w:pPr>
        <w:spacing w:line="220" w:lineRule="atLeast"/>
      </w:pPr>
    </w:p>
    <w:p w:rsidR="00A32067" w:rsidRDefault="00A32067">
      <w:pPr>
        <w:spacing w:line="220" w:lineRule="atLeast"/>
      </w:pPr>
    </w:p>
    <w:p w:rsidR="00A32067" w:rsidRDefault="00A32067">
      <w:pPr>
        <w:jc w:val="center"/>
        <w:outlineLvl w:val="0"/>
        <w:rPr>
          <w:b/>
          <w:bCs/>
          <w:sz w:val="44"/>
          <w:szCs w:val="44"/>
        </w:rPr>
      </w:pPr>
    </w:p>
    <w:p w:rsidR="00A32067" w:rsidRDefault="00A32067">
      <w:pPr>
        <w:jc w:val="center"/>
        <w:outlineLvl w:val="0"/>
        <w:rPr>
          <w:b/>
          <w:bCs/>
          <w:sz w:val="44"/>
          <w:szCs w:val="44"/>
        </w:rPr>
      </w:pPr>
    </w:p>
    <w:p w:rsidR="00A32067" w:rsidRDefault="00A32067">
      <w:pPr>
        <w:jc w:val="center"/>
        <w:outlineLvl w:val="0"/>
        <w:rPr>
          <w:b/>
          <w:bCs/>
          <w:sz w:val="44"/>
          <w:szCs w:val="44"/>
        </w:rPr>
      </w:pPr>
    </w:p>
    <w:p w:rsidR="00A32067" w:rsidRDefault="00A32067" w:rsidP="0002085C">
      <w:pPr>
        <w:spacing w:afterLines="50" w:line="360" w:lineRule="auto"/>
        <w:jc w:val="center"/>
        <w:outlineLvl w:val="2"/>
        <w:rPr>
          <w:sz w:val="44"/>
          <w:szCs w:val="44"/>
        </w:rPr>
        <w:sectPr w:rsidR="00A32067">
          <w:pgSz w:w="11907" w:h="16840"/>
          <w:pgMar w:top="1134" w:right="1077" w:bottom="1134" w:left="1077" w:header="794" w:footer="567" w:gutter="284"/>
          <w:cols w:space="720"/>
          <w:docGrid w:linePitch="312"/>
        </w:sectPr>
      </w:pPr>
      <w:bookmarkStart w:id="48" w:name="_Toc519872288"/>
    </w:p>
    <w:p w:rsidR="00A32067" w:rsidRDefault="00A32067" w:rsidP="0002085C">
      <w:pPr>
        <w:spacing w:afterLines="50" w:line="360" w:lineRule="auto"/>
        <w:jc w:val="center"/>
        <w:outlineLvl w:val="2"/>
        <w:rPr>
          <w:sz w:val="44"/>
          <w:szCs w:val="44"/>
        </w:rPr>
      </w:pPr>
      <w:r>
        <w:rPr>
          <w:rFonts w:cs="宋体" w:hint="eastAsia"/>
          <w:sz w:val="44"/>
          <w:szCs w:val="44"/>
        </w:rPr>
        <w:t>河北省人民政府办公厅关于印发</w:t>
      </w:r>
      <w:r>
        <w:rPr>
          <w:sz w:val="44"/>
          <w:szCs w:val="44"/>
        </w:rPr>
        <w:br/>
      </w:r>
      <w:r>
        <w:rPr>
          <w:rFonts w:cs="宋体" w:hint="eastAsia"/>
          <w:sz w:val="44"/>
          <w:szCs w:val="44"/>
        </w:rPr>
        <w:t>河北省固定资产投资项目节能审查办法的通知</w:t>
      </w:r>
      <w:r>
        <w:rPr>
          <w:sz w:val="44"/>
          <w:szCs w:val="44"/>
        </w:rPr>
        <w:br/>
      </w:r>
      <w:r>
        <w:rPr>
          <w:rFonts w:cs="宋体" w:hint="eastAsia"/>
          <w:color w:val="000000"/>
          <w:sz w:val="22"/>
          <w:szCs w:val="22"/>
        </w:rPr>
        <w:t>冀政办字〔</w:t>
      </w:r>
      <w:r>
        <w:rPr>
          <w:color w:val="000000"/>
          <w:sz w:val="22"/>
          <w:szCs w:val="22"/>
        </w:rPr>
        <w:t>2017</w:t>
      </w:r>
      <w:r>
        <w:rPr>
          <w:rFonts w:cs="宋体" w:hint="eastAsia"/>
          <w:color w:val="000000"/>
          <w:sz w:val="22"/>
          <w:szCs w:val="22"/>
        </w:rPr>
        <w:t>〕</w:t>
      </w:r>
      <w:r>
        <w:rPr>
          <w:color w:val="000000"/>
          <w:sz w:val="22"/>
          <w:szCs w:val="22"/>
        </w:rPr>
        <w:t>37</w:t>
      </w:r>
      <w:r>
        <w:rPr>
          <w:rFonts w:cs="宋体" w:hint="eastAsia"/>
          <w:color w:val="000000"/>
          <w:sz w:val="22"/>
          <w:szCs w:val="22"/>
        </w:rPr>
        <w:t>号</w:t>
      </w:r>
      <w:bookmarkEnd w:id="48"/>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各市（含定州、辛集市）人民政府，各县（市、区）人民政府，省政府有关部门：</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eastAsia="微软雅黑" w:hAnsi="Times New Roman" w:cs="微软雅黑" w:hint="eastAsia"/>
          <w:color w:val="000000"/>
        </w:rPr>
        <w:t xml:space="preserve">　</w:t>
      </w:r>
      <w:r>
        <w:rPr>
          <w:rFonts w:ascii="Times New Roman" w:hAnsi="Times New Roman" w:hint="eastAsia"/>
          <w:color w:val="000000"/>
          <w:sz w:val="22"/>
          <w:szCs w:val="22"/>
        </w:rPr>
        <w:t xml:space="preserve">　《河北省固定资产投资项目节能审查办法》已经省政府同意，现印发给你们，请结合本地本部门实际，认真贯彻执行。</w:t>
      </w:r>
    </w:p>
    <w:p w:rsidR="00A32067" w:rsidRDefault="00A32067">
      <w:pPr>
        <w:pStyle w:val="NormalWeb"/>
        <w:shd w:val="clear" w:color="auto" w:fill="FFFFFF"/>
        <w:spacing w:line="360" w:lineRule="auto"/>
        <w:jc w:val="right"/>
        <w:rPr>
          <w:rFonts w:ascii="Times New Roman" w:hAnsi="Times New Roman" w:cs="Times New Roman"/>
          <w:sz w:val="22"/>
          <w:szCs w:val="22"/>
        </w:rPr>
      </w:pPr>
      <w:r>
        <w:rPr>
          <w:rFonts w:ascii="Times New Roman" w:eastAsia="微软雅黑" w:hAnsi="Times New Roman" w:cs="微软雅黑" w:hint="eastAsia"/>
        </w:rPr>
        <w:t xml:space="preserve">　　</w:t>
      </w:r>
      <w:r>
        <w:rPr>
          <w:rFonts w:ascii="Times New Roman" w:hAnsi="Times New Roman" w:hint="eastAsia"/>
          <w:sz w:val="22"/>
          <w:szCs w:val="22"/>
        </w:rPr>
        <w:t>河北省人民政府办公厅</w:t>
      </w:r>
    </w:p>
    <w:p w:rsidR="00A32067" w:rsidRDefault="00A32067">
      <w:pPr>
        <w:pStyle w:val="NormalWeb"/>
        <w:shd w:val="clear" w:color="auto" w:fill="FFFFFF"/>
        <w:spacing w:line="360" w:lineRule="auto"/>
        <w:jc w:val="right"/>
        <w:rPr>
          <w:rFonts w:ascii="Times New Roman" w:eastAsia="微软雅黑" w:hAnsi="Times New Roman" w:cs="Times New Roman"/>
        </w:rPr>
      </w:pPr>
      <w:r>
        <w:rPr>
          <w:rFonts w:ascii="Times New Roman" w:hAnsi="Times New Roman" w:hint="eastAsia"/>
          <w:sz w:val="22"/>
          <w:szCs w:val="22"/>
        </w:rPr>
        <w:t xml:space="preserve">　　</w:t>
      </w:r>
      <w:r>
        <w:rPr>
          <w:rFonts w:ascii="Times New Roman" w:hAnsi="Times New Roman" w:cs="Times New Roman"/>
          <w:sz w:val="22"/>
          <w:szCs w:val="22"/>
        </w:rPr>
        <w:t>2017</w:t>
      </w:r>
      <w:r>
        <w:rPr>
          <w:rFonts w:ascii="Times New Roman" w:hAnsi="Times New Roman" w:hint="eastAsia"/>
          <w:sz w:val="22"/>
          <w:szCs w:val="22"/>
        </w:rPr>
        <w:t>年</w:t>
      </w:r>
      <w:r>
        <w:rPr>
          <w:rFonts w:ascii="Times New Roman" w:hAnsi="Times New Roman" w:cs="Times New Roman"/>
          <w:sz w:val="22"/>
          <w:szCs w:val="22"/>
        </w:rPr>
        <w:t>4</w:t>
      </w:r>
      <w:r>
        <w:rPr>
          <w:rFonts w:ascii="Times New Roman" w:hAnsi="Times New Roman" w:hint="eastAsia"/>
          <w:sz w:val="22"/>
          <w:szCs w:val="22"/>
        </w:rPr>
        <w:t>月</w:t>
      </w:r>
      <w:r>
        <w:rPr>
          <w:rFonts w:ascii="Times New Roman" w:hAnsi="Times New Roman" w:cs="Times New Roman"/>
          <w:sz w:val="22"/>
          <w:szCs w:val="22"/>
        </w:rPr>
        <w:t>12</w:t>
      </w:r>
      <w:r>
        <w:rPr>
          <w:rFonts w:ascii="Times New Roman" w:hAnsi="Times New Roman" w:hint="eastAsia"/>
          <w:sz w:val="22"/>
          <w:szCs w:val="22"/>
        </w:rPr>
        <w:t>日</w:t>
      </w:r>
    </w:p>
    <w:p w:rsidR="00A32067" w:rsidRDefault="00A32067">
      <w:pPr>
        <w:pStyle w:val="NormalWeb"/>
        <w:shd w:val="clear" w:color="auto" w:fill="FFFFFF"/>
        <w:spacing w:line="360" w:lineRule="auto"/>
        <w:jc w:val="center"/>
        <w:rPr>
          <w:rFonts w:ascii="Times New Roman" w:hAnsi="Times New Roman" w:cs="Times New Roman"/>
          <w:b/>
          <w:bCs/>
          <w:sz w:val="36"/>
          <w:szCs w:val="36"/>
        </w:rPr>
      </w:pPr>
      <w:r>
        <w:rPr>
          <w:rFonts w:ascii="Times New Roman" w:hAnsi="Times New Roman" w:hint="eastAsia"/>
          <w:sz w:val="36"/>
          <w:szCs w:val="36"/>
        </w:rPr>
        <w:t xml:space="preserve">　</w:t>
      </w:r>
      <w:r>
        <w:rPr>
          <w:rFonts w:ascii="Times New Roman" w:hAnsi="Times New Roman" w:hint="eastAsia"/>
          <w:b/>
          <w:bCs/>
          <w:sz w:val="36"/>
          <w:szCs w:val="36"/>
        </w:rPr>
        <w:t xml:space="preserve">　河北省固定资产投资项目节能审查办法</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 xml:space="preserve">　</w:t>
      </w:r>
      <w:r>
        <w:rPr>
          <w:rFonts w:ascii="Times New Roman" w:hAnsi="Times New Roman" w:hint="eastAsia"/>
          <w:b/>
          <w:bCs/>
          <w:color w:val="333333"/>
        </w:rPr>
        <w:t xml:space="preserve">　第一章</w:t>
      </w:r>
      <w:r>
        <w:rPr>
          <w:rFonts w:ascii="Times New Roman" w:hAnsi="Times New Roman" w:cs="Times New Roman"/>
          <w:b/>
          <w:bCs/>
          <w:color w:val="333333"/>
        </w:rPr>
        <w:t xml:space="preserve">  </w:t>
      </w:r>
      <w:r>
        <w:rPr>
          <w:rFonts w:ascii="Times New Roman" w:hAnsi="Times New Roman" w:hint="eastAsia"/>
          <w:b/>
          <w:bCs/>
          <w:color w:val="333333"/>
        </w:rPr>
        <w:t>总</w:t>
      </w:r>
      <w:r>
        <w:rPr>
          <w:rFonts w:ascii="Times New Roman" w:hAnsi="Times New Roman" w:cs="Times New Roman"/>
          <w:b/>
          <w:bCs/>
          <w:color w:val="333333"/>
        </w:rPr>
        <w:t xml:space="preserve">  </w:t>
      </w:r>
      <w:r>
        <w:rPr>
          <w:rFonts w:ascii="Times New Roman" w:hAnsi="Times New Roman" w:hint="eastAsia"/>
          <w:b/>
          <w:bCs/>
          <w:color w:val="333333"/>
        </w:rPr>
        <w:t>则</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eastAsia="微软雅黑" w:hAnsi="Times New Roman" w:cs="微软雅黑" w:hint="eastAsia"/>
        </w:rPr>
        <w:t xml:space="preserve">　　</w:t>
      </w:r>
      <w:r>
        <w:rPr>
          <w:rFonts w:ascii="Times New Roman" w:hAnsi="Times New Roman" w:hint="eastAsia"/>
          <w:b/>
          <w:bCs/>
          <w:color w:val="000000"/>
          <w:sz w:val="22"/>
          <w:szCs w:val="22"/>
        </w:rPr>
        <w:t>第一条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为严把能源消费源头关，规范固定资产投资项目节能审查工作，促进科学合理利用能源，提高能源利用效率，加强能源消费总量管理，依据《固定资产投资项目节能审查办法》（国家发展改革委令第</w:t>
      </w:r>
      <w:r>
        <w:rPr>
          <w:rFonts w:ascii="Times New Roman" w:hAnsi="Times New Roman" w:cs="Times New Roman"/>
          <w:color w:val="000000"/>
          <w:sz w:val="22"/>
          <w:szCs w:val="22"/>
        </w:rPr>
        <w:t>44</w:t>
      </w:r>
      <w:r>
        <w:rPr>
          <w:rFonts w:ascii="Times New Roman" w:hAnsi="Times New Roman" w:hint="eastAsia"/>
          <w:color w:val="000000"/>
          <w:sz w:val="22"/>
          <w:szCs w:val="22"/>
        </w:rPr>
        <w:t>号）和《河北省节约能源条例》《河北省行政许可条例》制定本办法。</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第二条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本办法适用于本省行政区域内建设的固定资产投资项目。</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 xml:space="preserve">　第三条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本办法所称节能审查，是指根据节能法律法规、政策标准等，对项目节能情况进行审查并形成审查意见的行为。</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第四条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固定资产投资项目节能审查由县级以上人民政府发展改革部门负责。</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第五条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固定资产投资项目节能审查意见是项目开工建设、竣工验收和运营管理的重要依据。政府投资项目，建设单位在报送项目可行性研究报告或概算前，需取得县级以上人民政府发展改革部门出具的节能审查意见。企业投资项目，建设单位需在开工建设前取得县级以上人民政府发展改革部门出具的节能审查意见。未按本办法规定进行节能审查，或节能审查未通过的项目，建设单位不得开工建设，已经建成的不得投入生产、使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第六条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国家发展改革委核报国务院审批和国家发展改革委审批的固定资产投资项目，以及年综合能源消费量</w:t>
      </w:r>
      <w:r>
        <w:rPr>
          <w:rFonts w:ascii="Times New Roman" w:hAnsi="Times New Roman" w:cs="Times New Roman"/>
          <w:color w:val="000000"/>
          <w:sz w:val="22"/>
          <w:szCs w:val="22"/>
        </w:rPr>
        <w:t>5000</w:t>
      </w:r>
      <w:r>
        <w:rPr>
          <w:rFonts w:ascii="Times New Roman" w:hAnsi="Times New Roman" w:hint="eastAsia"/>
          <w:color w:val="000000"/>
          <w:sz w:val="22"/>
          <w:szCs w:val="22"/>
        </w:rPr>
        <w:t>吨标准煤以上（改扩建项目按照建成投产后年综合能源消费增量计算，电力折算系数按当量值，下同）的固定资产投资项目由省发展改革部门出具节能审查意见。</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国家行业管理部门核报国务院审批和国家行业管理部门审批的固定资产投资项目，由省行业管理部门提出初审意见，省发展改革部门根据初审意见，在与能源消费总量、节能目标完成情况等进行衔接后，出具节能审查意见。</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年综合能源消费总量</w:t>
      </w:r>
      <w:r>
        <w:rPr>
          <w:rFonts w:ascii="Times New Roman" w:hAnsi="Times New Roman" w:cs="Times New Roman"/>
          <w:color w:val="000000"/>
          <w:sz w:val="22"/>
          <w:szCs w:val="22"/>
        </w:rPr>
        <w:t>1000</w:t>
      </w:r>
      <w:r>
        <w:rPr>
          <w:rFonts w:ascii="Times New Roman" w:hAnsi="Times New Roman" w:hint="eastAsia"/>
          <w:color w:val="000000"/>
          <w:sz w:val="22"/>
          <w:szCs w:val="22"/>
        </w:rPr>
        <w:t>（含）吨标准煤</w:t>
      </w:r>
      <w:r>
        <w:rPr>
          <w:rFonts w:ascii="Times New Roman" w:hAnsi="Times New Roman" w:cs="Times New Roman"/>
          <w:color w:val="000000"/>
          <w:sz w:val="22"/>
          <w:szCs w:val="22"/>
        </w:rPr>
        <w:t>-5000</w:t>
      </w:r>
      <w:r>
        <w:rPr>
          <w:rFonts w:ascii="Times New Roman" w:hAnsi="Times New Roman" w:hint="eastAsia"/>
          <w:color w:val="000000"/>
          <w:sz w:val="22"/>
          <w:szCs w:val="22"/>
        </w:rPr>
        <w:t>（含）吨标准煤的固定资产投资项目，由项目所在地设区的市（含省直管县）发展改革部门或由其委托的县级发展改革部门出具节能审查意见。</w:t>
      </w:r>
    </w:p>
    <w:p w:rsidR="00A32067" w:rsidRDefault="00A32067">
      <w:pPr>
        <w:pStyle w:val="NormalWeb"/>
        <w:shd w:val="clear" w:color="auto" w:fill="FFFFFF"/>
        <w:spacing w:before="0" w:beforeAutospacing="0" w:after="0" w:afterAutospacing="0" w:line="360" w:lineRule="auto"/>
        <w:ind w:firstLine="465"/>
        <w:rPr>
          <w:rFonts w:ascii="Times New Roman" w:hAnsi="Times New Roman" w:cs="Times New Roman"/>
          <w:color w:val="000000"/>
          <w:sz w:val="22"/>
          <w:szCs w:val="22"/>
        </w:rPr>
      </w:pPr>
      <w:r>
        <w:rPr>
          <w:rFonts w:ascii="Times New Roman" w:hAnsi="Times New Roman" w:hint="eastAsia"/>
          <w:color w:val="000000"/>
          <w:sz w:val="22"/>
          <w:szCs w:val="22"/>
        </w:rPr>
        <w:t>年综合能源消费量不满</w:t>
      </w:r>
      <w:r>
        <w:rPr>
          <w:rFonts w:ascii="Times New Roman" w:hAnsi="Times New Roman" w:cs="Times New Roman"/>
          <w:color w:val="000000"/>
          <w:sz w:val="22"/>
          <w:szCs w:val="22"/>
        </w:rPr>
        <w:t>1000</w:t>
      </w:r>
      <w:r>
        <w:rPr>
          <w:rFonts w:ascii="Times New Roman" w:hAnsi="Times New Roman" w:hint="eastAsia"/>
          <w:color w:val="000000"/>
          <w:sz w:val="22"/>
          <w:szCs w:val="22"/>
        </w:rPr>
        <w:t>吨标准煤、且年电力消费量不满</w:t>
      </w:r>
      <w:r>
        <w:rPr>
          <w:rFonts w:ascii="Times New Roman" w:hAnsi="Times New Roman" w:cs="Times New Roman"/>
          <w:color w:val="000000"/>
          <w:sz w:val="22"/>
          <w:szCs w:val="22"/>
        </w:rPr>
        <w:t>500</w:t>
      </w:r>
      <w:r>
        <w:rPr>
          <w:rFonts w:ascii="Times New Roman" w:hAnsi="Times New Roman" w:hint="eastAsia"/>
          <w:color w:val="000000"/>
          <w:sz w:val="22"/>
          <w:szCs w:val="22"/>
        </w:rPr>
        <w:t>万千瓦时的固定资产投资项目，以及用能工艺简单、节能潜力小的行业（具体按国家发展改革委公布目录执行）的固定资产投资项目，应按照相关节能标准、规范建设，不再单独进行节能审查。</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 xml:space="preserve">　　第二章</w:t>
      </w:r>
      <w:r>
        <w:rPr>
          <w:rFonts w:ascii="Times New Roman" w:eastAsia="微软雅黑" w:hAnsi="Times New Roman" w:cs="Times New Roman"/>
          <w:b/>
          <w:bCs/>
        </w:rPr>
        <w:t xml:space="preserve">  </w:t>
      </w:r>
      <w:r>
        <w:rPr>
          <w:rFonts w:ascii="Times New Roman" w:eastAsia="微软雅黑" w:hAnsi="Times New Roman" w:cs="微软雅黑" w:hint="eastAsia"/>
          <w:b/>
          <w:bCs/>
        </w:rPr>
        <w:t>节能审查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第七条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年综合能源消费量</w:t>
      </w:r>
      <w:r>
        <w:rPr>
          <w:rFonts w:ascii="Times New Roman" w:hAnsi="Times New Roman" w:cs="Times New Roman"/>
          <w:color w:val="000000"/>
          <w:sz w:val="22"/>
          <w:szCs w:val="22"/>
        </w:rPr>
        <w:t>1000</w:t>
      </w:r>
      <w:r>
        <w:rPr>
          <w:rFonts w:ascii="Times New Roman" w:hAnsi="Times New Roman" w:hint="eastAsia"/>
          <w:color w:val="000000"/>
          <w:sz w:val="22"/>
          <w:szCs w:val="22"/>
        </w:rPr>
        <w:t>吨标准煤以上的固定资产投资项目，建设单位应编制节能报告，在达到深度要求的前提下，节能报告可委托相关机构编制，也可由建设单位自行编制。年综合能源消费量</w:t>
      </w:r>
      <w:r>
        <w:rPr>
          <w:rFonts w:ascii="Times New Roman" w:hAnsi="Times New Roman" w:cs="Times New Roman"/>
          <w:color w:val="000000"/>
          <w:sz w:val="22"/>
          <w:szCs w:val="22"/>
        </w:rPr>
        <w:t>1000</w:t>
      </w:r>
      <w:r>
        <w:rPr>
          <w:rFonts w:ascii="Times New Roman" w:hAnsi="Times New Roman" w:hint="eastAsia"/>
          <w:color w:val="000000"/>
          <w:sz w:val="22"/>
          <w:szCs w:val="22"/>
        </w:rPr>
        <w:t>吨标准煤以下的固定资产投资项目，建设单位应制定节能技术和管理措施。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项目节能报告应包括下列内容：分析评价依据；项目建设方案的节能分析和比选，包括总平面布置、生产工艺、用能工艺、用能设备和能源计量器具配备、计量基础设施建设等方面；选取节能效果好、技术经济可行的节能技术和管理措施；项目能源消费量、能源消费结构、能源效率等方面的分析；对所在地完成能源消耗总量和强度目标的影响等方面的分析评价；需新增耗煤的项目应增加项目煤炭减量替代方案和对所在地完成煤炭消费减量替代目标的影响分析内容，并附煤炭减量替代方案审查意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第八条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县级以上人民政府发展改革部门受理节能报告后，应委托有关机构进行评审，形成评审意见，作为节能审查的重要依据。节能评审意见应包括：项目是否符合节能有关法律法规、标准规范、政策；项目用能分析是否客观准确，方法是否科学，结论是否准确；节能措施是否合理可行；项目的能源消费量和能效水平（包括单位工业增加值能耗、主要用能工艺和工序能耗水平、主要耗能设备能效水平等）是否满足本地能源消费总量和强度</w:t>
      </w:r>
      <w:r>
        <w:rPr>
          <w:rFonts w:ascii="Times New Roman" w:hAnsi="Times New Roman" w:cs="Times New Roman"/>
          <w:color w:val="000000"/>
          <w:sz w:val="22"/>
          <w:szCs w:val="22"/>
        </w:rPr>
        <w:t>“</w:t>
      </w:r>
      <w:r>
        <w:rPr>
          <w:rFonts w:ascii="Times New Roman" w:hAnsi="Times New Roman" w:hint="eastAsia"/>
          <w:color w:val="000000"/>
          <w:sz w:val="22"/>
          <w:szCs w:val="22"/>
        </w:rPr>
        <w:t>双控</w:t>
      </w:r>
      <w:r>
        <w:rPr>
          <w:rFonts w:ascii="Times New Roman" w:hAnsi="Times New Roman" w:cs="Times New Roman"/>
          <w:color w:val="000000"/>
          <w:sz w:val="22"/>
          <w:szCs w:val="22"/>
        </w:rPr>
        <w:t>”</w:t>
      </w:r>
      <w:r>
        <w:rPr>
          <w:rFonts w:ascii="Times New Roman" w:hAnsi="Times New Roman" w:hint="eastAsia"/>
          <w:color w:val="000000"/>
          <w:sz w:val="22"/>
          <w:szCs w:val="22"/>
        </w:rPr>
        <w:t>管理要求；是否编制煤炭减量替代方案及落实情况等。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第九条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编制节能报告的单位，不得承担同一项目的节能评审工作。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县级以上人民政府发展改革部门应在法律规定且部门公开承诺的时限内出具节能审查意见。节能审查意见自印发之日起</w:t>
      </w:r>
      <w:r>
        <w:rPr>
          <w:rFonts w:ascii="Times New Roman" w:hAnsi="Times New Roman" w:cs="Times New Roman"/>
          <w:color w:val="000000"/>
          <w:sz w:val="22"/>
          <w:szCs w:val="22"/>
        </w:rPr>
        <w:t>2</w:t>
      </w:r>
      <w:r>
        <w:rPr>
          <w:rFonts w:ascii="Times New Roman" w:hAnsi="Times New Roman" w:hint="eastAsia"/>
          <w:color w:val="000000"/>
          <w:sz w:val="22"/>
          <w:szCs w:val="22"/>
        </w:rPr>
        <w:t>年内有效。通过节能审查的固定资产投资项目，建设内容、能效水平及能源品种等发生重大变动，或年能源消费总量超过节能审查意见</w:t>
      </w:r>
      <w:r>
        <w:rPr>
          <w:rFonts w:ascii="Times New Roman" w:hAnsi="Times New Roman" w:cs="Times New Roman"/>
          <w:color w:val="000000"/>
          <w:sz w:val="22"/>
          <w:szCs w:val="22"/>
        </w:rPr>
        <w:t>10%</w:t>
      </w:r>
      <w:r>
        <w:rPr>
          <w:rFonts w:ascii="Times New Roman" w:hAnsi="Times New Roman" w:hint="eastAsia"/>
          <w:color w:val="000000"/>
          <w:sz w:val="22"/>
          <w:szCs w:val="22"/>
        </w:rPr>
        <w:t>及以上的，建设单位应向发展改革部门提出变更申请。</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 xml:space="preserve">　　第三章</w:t>
      </w:r>
      <w:r>
        <w:rPr>
          <w:rFonts w:ascii="Times New Roman" w:eastAsia="微软雅黑" w:hAnsi="Times New Roman" w:cs="Times New Roman"/>
          <w:b/>
          <w:bCs/>
        </w:rPr>
        <w:t xml:space="preserve">  </w:t>
      </w:r>
      <w:r>
        <w:rPr>
          <w:rFonts w:ascii="Times New Roman" w:eastAsia="微软雅黑" w:hAnsi="Times New Roman" w:cs="微软雅黑" w:hint="eastAsia"/>
          <w:b/>
          <w:bCs/>
        </w:rPr>
        <w:t>监督管理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第十一条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固定资产投资项目节能审查应纳入投资项目在线审批监管平台统一管理，实行网上受理、办理、监管和服务，实现审查过程和结果的可查询、可监督。</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第十二条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固定资产投资项目投入生产、使用前，应对其节能审查意见落实情况进行验收。验收采取建设单位自主验收、发展改革部门备案的形式。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第十三条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县级以上人民政府发展改革部门应强化事中事后监管，对节能审查意见或节能报告落实情况进行监督检查。项目投入正常生产</w:t>
      </w:r>
      <w:r>
        <w:rPr>
          <w:rFonts w:ascii="Times New Roman" w:hAnsi="Times New Roman" w:cs="Times New Roman"/>
          <w:color w:val="000000"/>
          <w:sz w:val="22"/>
          <w:szCs w:val="22"/>
        </w:rPr>
        <w:t>6</w:t>
      </w:r>
      <w:r>
        <w:rPr>
          <w:rFonts w:ascii="Times New Roman" w:hAnsi="Times New Roman" w:hint="eastAsia"/>
          <w:color w:val="000000"/>
          <w:sz w:val="22"/>
          <w:szCs w:val="22"/>
        </w:rPr>
        <w:t>个月后，节能监察机构应依据企业节能验收报告、节能报告和节能审查意见对能源消费、设备用能效率等实施能效监察，并出具能效监察报告及处理意见。监督检查应当采用</w:t>
      </w:r>
      <w:r>
        <w:rPr>
          <w:rFonts w:ascii="Times New Roman" w:hAnsi="Times New Roman" w:cs="Times New Roman"/>
          <w:color w:val="000000"/>
          <w:sz w:val="22"/>
          <w:szCs w:val="22"/>
        </w:rPr>
        <w:t>“</w:t>
      </w:r>
      <w:r>
        <w:rPr>
          <w:rFonts w:ascii="Times New Roman" w:hAnsi="Times New Roman" w:hint="eastAsia"/>
          <w:color w:val="000000"/>
          <w:sz w:val="22"/>
          <w:szCs w:val="22"/>
        </w:rPr>
        <w:t>双随机一公开</w:t>
      </w:r>
      <w:r>
        <w:rPr>
          <w:rFonts w:ascii="Times New Roman" w:hAnsi="Times New Roman" w:cs="Times New Roman"/>
          <w:color w:val="000000"/>
          <w:sz w:val="22"/>
          <w:szCs w:val="22"/>
        </w:rPr>
        <w:t>”</w:t>
      </w:r>
      <w:r>
        <w:rPr>
          <w:rFonts w:ascii="Times New Roman" w:hAnsi="Times New Roman" w:hint="eastAsia"/>
          <w:color w:val="000000"/>
          <w:sz w:val="22"/>
          <w:szCs w:val="22"/>
        </w:rPr>
        <w:t>监管方式。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第十四条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县级以上发展改革部门应加强节能审查信息的统计分析。各市（含定州、辛集市）发展改革委每季度向省发展改革委报送本地节能审查实施情况。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省发展改革委对全省节能审查信息实施动态监管，对各市节能审查实施情况实时进行巡查，按季度向国家发展改革委报送本区域节能审查实施情况。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第十五条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对未按本办法规定进行节能审查，或节能审查未获通过，擅自开工建设或擅自投入生产、使用的固定资产投资项目，由发展改革部门责令停止建设或停止生产、使用，限期改造；未落实节能审查意见要求的固定资产投资项目，由发展改革部门责令建设单位限期整改。不能改造或逾期不改造的生产性项目，由发展改革部门报请本级人民政府按照《中华人民共和国节约能源法》有关规定责令关闭；并依法追究有关责任人的责任。</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第十六条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以拆分项目、提供虚假材料等不正当手段通过节能审查的固定资产投资项目，由发展改革部门撤销项目的节能审查意见。</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第十七条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负责政府投资项目审批的工作人员，对未进行节能审查或节能审查未获通过的项目，违反本办法规定予以批准的，依法给予处分。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第十八条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发展改革部门对建设单位、中介机构等的违法违规信息进行记录，将违法违规信息纳入河北省公共信用信息共享平台和投资项目审批监管平台，在</w:t>
      </w:r>
      <w:r>
        <w:rPr>
          <w:rFonts w:ascii="Times New Roman" w:hAnsi="Times New Roman" w:cs="Times New Roman"/>
          <w:color w:val="000000"/>
          <w:sz w:val="22"/>
          <w:szCs w:val="22"/>
        </w:rPr>
        <w:t>“</w:t>
      </w:r>
      <w:r>
        <w:rPr>
          <w:rFonts w:ascii="Times New Roman" w:hAnsi="Times New Roman" w:hint="eastAsia"/>
          <w:color w:val="000000"/>
          <w:sz w:val="22"/>
          <w:szCs w:val="22"/>
        </w:rPr>
        <w:t>信用河北</w:t>
      </w:r>
      <w:r>
        <w:rPr>
          <w:rFonts w:ascii="Times New Roman" w:hAnsi="Times New Roman" w:cs="Times New Roman"/>
          <w:color w:val="000000"/>
          <w:sz w:val="22"/>
          <w:szCs w:val="22"/>
        </w:rPr>
        <w:t>”</w:t>
      </w:r>
      <w:r>
        <w:rPr>
          <w:rFonts w:ascii="Times New Roman" w:hAnsi="Times New Roman" w:hint="eastAsia"/>
          <w:color w:val="000000"/>
          <w:sz w:val="22"/>
          <w:szCs w:val="22"/>
        </w:rPr>
        <w:t>网站向社会公开。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第十九条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固定资产投资项目节能评审、业务培训、监督检查，以及标准指南编制等工作经费，应列入同级财政预算，不得向建设单位收取费用。</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 xml:space="preserve">　　第四章</w:t>
      </w:r>
      <w:r>
        <w:rPr>
          <w:rFonts w:ascii="Times New Roman" w:eastAsia="微软雅黑" w:hAnsi="Times New Roman" w:cs="Times New Roman"/>
          <w:b/>
          <w:bCs/>
        </w:rPr>
        <w:t xml:space="preserve">  </w:t>
      </w:r>
      <w:r>
        <w:rPr>
          <w:rFonts w:ascii="Times New Roman" w:eastAsia="微软雅黑" w:hAnsi="Times New Roman" w:cs="微软雅黑" w:hint="eastAsia"/>
          <w:b/>
          <w:bCs/>
        </w:rPr>
        <w:t>附</w:t>
      </w:r>
      <w:r>
        <w:rPr>
          <w:rFonts w:ascii="Times New Roman" w:eastAsia="微软雅黑" w:hAnsi="Times New Roman" w:cs="Times New Roman"/>
          <w:b/>
          <w:bCs/>
        </w:rPr>
        <w:t xml:space="preserve">  </w:t>
      </w:r>
      <w:r>
        <w:rPr>
          <w:rFonts w:ascii="Times New Roman" w:eastAsia="微软雅黑" w:hAnsi="Times New Roman" w:cs="微软雅黑" w:hint="eastAsia"/>
          <w:b/>
          <w:bCs/>
        </w:rPr>
        <w:t>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第二十条</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本办法自</w:t>
      </w:r>
      <w:r>
        <w:rPr>
          <w:rFonts w:ascii="Times New Roman" w:hAnsi="Times New Roman" w:cs="Times New Roman"/>
          <w:color w:val="000000"/>
          <w:sz w:val="22"/>
          <w:szCs w:val="22"/>
        </w:rPr>
        <w:t>2017</w:t>
      </w:r>
      <w:r>
        <w:rPr>
          <w:rFonts w:ascii="Times New Roman" w:hAnsi="Times New Roman" w:hint="eastAsia"/>
          <w:color w:val="000000"/>
          <w:sz w:val="22"/>
          <w:szCs w:val="22"/>
        </w:rPr>
        <w:t>年</w:t>
      </w:r>
      <w:r>
        <w:rPr>
          <w:rFonts w:ascii="Times New Roman" w:hAnsi="Times New Roman" w:cs="Times New Roman"/>
          <w:color w:val="000000"/>
          <w:sz w:val="22"/>
          <w:szCs w:val="22"/>
        </w:rPr>
        <w:t>5</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日起施行。原《河北省固定资产投资项目节能评估和审查暂行办法》（冀政办函〔</w:t>
      </w:r>
      <w:r>
        <w:rPr>
          <w:rFonts w:ascii="Times New Roman" w:hAnsi="Times New Roman" w:cs="Times New Roman"/>
          <w:color w:val="000000"/>
          <w:sz w:val="22"/>
          <w:szCs w:val="22"/>
        </w:rPr>
        <w:t>2008</w:t>
      </w:r>
      <w:r>
        <w:rPr>
          <w:rFonts w:ascii="Times New Roman" w:hAnsi="Times New Roman" w:hint="eastAsia"/>
          <w:color w:val="000000"/>
          <w:sz w:val="22"/>
          <w:szCs w:val="22"/>
        </w:rPr>
        <w:t>〕</w:t>
      </w:r>
      <w:r>
        <w:rPr>
          <w:rFonts w:ascii="Times New Roman" w:hAnsi="Times New Roman" w:cs="Times New Roman"/>
          <w:color w:val="000000"/>
          <w:sz w:val="22"/>
          <w:szCs w:val="22"/>
        </w:rPr>
        <w:t>20</w:t>
      </w:r>
      <w:r>
        <w:rPr>
          <w:rFonts w:ascii="Times New Roman" w:hAnsi="Times New Roman" w:hint="eastAsia"/>
          <w:color w:val="000000"/>
          <w:sz w:val="22"/>
          <w:szCs w:val="22"/>
        </w:rPr>
        <w:t>号）同时废止。</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02085C">
      <w:pPr>
        <w:spacing w:afterLines="50" w:line="360" w:lineRule="auto"/>
        <w:jc w:val="center"/>
        <w:outlineLvl w:val="2"/>
        <w:rPr>
          <w:sz w:val="44"/>
          <w:szCs w:val="44"/>
        </w:rPr>
        <w:sectPr w:rsidR="00A32067">
          <w:pgSz w:w="11907" w:h="16840"/>
          <w:pgMar w:top="1134" w:right="1077" w:bottom="1134" w:left="1077" w:header="794" w:footer="567" w:gutter="284"/>
          <w:cols w:space="720"/>
          <w:docGrid w:linePitch="312"/>
        </w:sectPr>
      </w:pPr>
      <w:bookmarkStart w:id="49" w:name="_Toc519872289"/>
    </w:p>
    <w:p w:rsidR="00A32067" w:rsidRDefault="00A32067" w:rsidP="0002085C">
      <w:pPr>
        <w:spacing w:afterLines="50" w:line="360" w:lineRule="auto"/>
        <w:jc w:val="center"/>
        <w:outlineLvl w:val="2"/>
        <w:rPr>
          <w:sz w:val="44"/>
          <w:szCs w:val="44"/>
        </w:rPr>
      </w:pPr>
      <w:r>
        <w:rPr>
          <w:rFonts w:cs="宋体" w:hint="eastAsia"/>
          <w:sz w:val="44"/>
          <w:szCs w:val="44"/>
        </w:rPr>
        <w:t>国家计委、环境保护部关于规范环境影响</w:t>
      </w:r>
      <w:r>
        <w:rPr>
          <w:sz w:val="44"/>
          <w:szCs w:val="44"/>
        </w:rPr>
        <w:br/>
      </w:r>
      <w:r>
        <w:rPr>
          <w:rFonts w:cs="宋体" w:hint="eastAsia"/>
          <w:sz w:val="44"/>
          <w:szCs w:val="44"/>
        </w:rPr>
        <w:t>咨询收费有关问题的通知</w:t>
      </w:r>
      <w:r>
        <w:rPr>
          <w:sz w:val="44"/>
          <w:szCs w:val="44"/>
        </w:rPr>
        <w:br/>
      </w:r>
      <w:r>
        <w:rPr>
          <w:rFonts w:cs="宋体" w:hint="eastAsia"/>
          <w:color w:val="000000"/>
          <w:sz w:val="22"/>
          <w:szCs w:val="22"/>
        </w:rPr>
        <w:t>计价格</w:t>
      </w:r>
      <w:r>
        <w:rPr>
          <w:color w:val="000000"/>
          <w:sz w:val="22"/>
          <w:szCs w:val="22"/>
        </w:rPr>
        <w:t>[2002]125</w:t>
      </w:r>
      <w:r>
        <w:rPr>
          <w:rFonts w:cs="宋体" w:hint="eastAsia"/>
          <w:color w:val="000000"/>
          <w:sz w:val="22"/>
          <w:szCs w:val="22"/>
        </w:rPr>
        <w:t>号</w:t>
      </w:r>
      <w:bookmarkEnd w:id="49"/>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各省、自治区、直辖市及计划单列市、副省级省会城市计委、物价局、环境保护局：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为规范建设项目环境影响咨询收费行为，维护委托方和咨询机构合法权益，提高建设项目环境影响咨询工作质量，促进建设项目环境影响咨询业的健康发展，现就环境影响咨询收费有关问题通知如下：</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一、环境影响咨询是建设项目前期工作中的重要环节。环境影响咨询内容包括：编制环境影响报告书</w:t>
      </w:r>
      <w:r>
        <w:rPr>
          <w:rFonts w:ascii="Times New Roman" w:hAnsi="Times New Roman" w:cs="Times New Roman"/>
          <w:color w:val="000000"/>
          <w:sz w:val="22"/>
          <w:szCs w:val="22"/>
        </w:rPr>
        <w:t>(</w:t>
      </w:r>
      <w:r>
        <w:rPr>
          <w:rFonts w:ascii="Times New Roman" w:hAnsi="Times New Roman" w:hint="eastAsia"/>
          <w:color w:val="000000"/>
          <w:sz w:val="22"/>
          <w:szCs w:val="22"/>
        </w:rPr>
        <w:t>含大纲</w:t>
      </w:r>
      <w:r>
        <w:rPr>
          <w:rFonts w:ascii="Times New Roman" w:hAnsi="Times New Roman" w:cs="Times New Roman"/>
          <w:color w:val="000000"/>
          <w:sz w:val="22"/>
          <w:szCs w:val="22"/>
        </w:rPr>
        <w:t>)</w:t>
      </w:r>
      <w:r>
        <w:rPr>
          <w:rFonts w:ascii="Times New Roman" w:hAnsi="Times New Roman" w:hint="eastAsia"/>
          <w:color w:val="000000"/>
          <w:sz w:val="22"/>
          <w:szCs w:val="22"/>
        </w:rPr>
        <w:t>、环境影响报告表和对环境影响报告书</w:t>
      </w:r>
      <w:r>
        <w:rPr>
          <w:rFonts w:ascii="Times New Roman" w:hAnsi="Times New Roman" w:cs="Times New Roman"/>
          <w:color w:val="000000"/>
          <w:sz w:val="22"/>
          <w:szCs w:val="22"/>
        </w:rPr>
        <w:t>(</w:t>
      </w:r>
      <w:r>
        <w:rPr>
          <w:rFonts w:ascii="Times New Roman" w:hAnsi="Times New Roman" w:hint="eastAsia"/>
          <w:color w:val="000000"/>
          <w:sz w:val="22"/>
          <w:szCs w:val="22"/>
        </w:rPr>
        <w:t>含大纲</w:t>
      </w:r>
      <w:r>
        <w:rPr>
          <w:rFonts w:ascii="Times New Roman" w:hAnsi="Times New Roman" w:cs="Times New Roman"/>
          <w:color w:val="000000"/>
          <w:sz w:val="22"/>
          <w:szCs w:val="22"/>
        </w:rPr>
        <w:t>)</w:t>
      </w:r>
      <w:r>
        <w:rPr>
          <w:rFonts w:ascii="Times New Roman" w:hAnsi="Times New Roman" w:hint="eastAsia"/>
          <w:color w:val="000000"/>
          <w:sz w:val="22"/>
          <w:szCs w:val="22"/>
        </w:rPr>
        <w:t>、环境影响报告表进行技术评估。</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建设项目环境影响咨询收费属于中介服务收费，应当遵循公开、平等、自愿、有偿的原则，委托方根据国家有关规定可自主选择有资质的环境影响评价机构开展环境影响评价工作，相应的环境影响评估机构负责对评价报告进行技术评估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三、建设项目环境影响咨询收费实行政府指导价，从事环境影响咨询业务的机构应根据本通知规定收取费用。具体收费标准由环境影响评价和技术评估机构与委托方以本通知附件规定基准价为基础，在上下</w:t>
      </w:r>
      <w:r>
        <w:rPr>
          <w:rFonts w:ascii="Times New Roman" w:hAnsi="Times New Roman" w:cs="Times New Roman"/>
          <w:color w:val="000000"/>
          <w:sz w:val="22"/>
          <w:szCs w:val="22"/>
        </w:rPr>
        <w:t>20</w:t>
      </w:r>
      <w:r>
        <w:rPr>
          <w:rFonts w:ascii="Times New Roman" w:hAnsi="Times New Roman" w:hint="eastAsia"/>
          <w:color w:val="000000"/>
          <w:sz w:val="22"/>
          <w:szCs w:val="22"/>
        </w:rPr>
        <w:t>％的幅度内协商确定。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环境影响咨询收费以估算投资额为计费基数，根据建设项目不同的性质和内容，采取按估算投资额分档定额方式计费。不便于采取按估算投资额分档定额计费方式的，也可以采取按咨询服务工日计费。具体计费办法见本通知附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五、环境影响评价、技术评估机构从事建设项目环境影响评价、技术评估业务，必须符合国家及项目所在地的总体规划和功能区划，符合国家产业政策、环境标准和相关法律、法规规定。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编制环境评价大纲应符合以下服务质量标准：确定评价范围和敏感保护目标，选定评价标准，阐述工程特征和环境保护特征，识别和筛选污染因子、评价因子、设置评价专题，确定评价重点，选定监测项目、点位</w:t>
      </w:r>
      <w:r>
        <w:rPr>
          <w:rFonts w:ascii="Times New Roman" w:hAnsi="Times New Roman" w:cs="Times New Roman"/>
          <w:color w:val="000000"/>
          <w:sz w:val="22"/>
          <w:szCs w:val="22"/>
        </w:rPr>
        <w:t>(</w:t>
      </w:r>
      <w:r>
        <w:rPr>
          <w:rFonts w:ascii="Times New Roman" w:hAnsi="Times New Roman" w:hint="eastAsia"/>
          <w:color w:val="000000"/>
          <w:sz w:val="22"/>
          <w:szCs w:val="22"/>
        </w:rPr>
        <w:t>断面</w:t>
      </w:r>
      <w:r>
        <w:rPr>
          <w:rFonts w:ascii="Times New Roman" w:hAnsi="Times New Roman" w:cs="Times New Roman"/>
          <w:color w:val="000000"/>
          <w:sz w:val="22"/>
          <w:szCs w:val="22"/>
        </w:rPr>
        <w:t>)</w:t>
      </w:r>
      <w:r>
        <w:rPr>
          <w:rFonts w:ascii="Times New Roman" w:hAnsi="Times New Roman" w:hint="eastAsia"/>
          <w:color w:val="000000"/>
          <w:sz w:val="22"/>
          <w:szCs w:val="22"/>
        </w:rPr>
        <w:t>、频次和时段，确定预测评价模式和参数等。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编制环境影响报告书应符合以下服务质量标准：建设项目概况，周围环境现状，建设项目对环境可能造成影响的分析和预测，环境保护措施及其经济、技术论证，环境保护措施经济损益分析，对建设项目实施环境监测的建议和环境影响评价结论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评估建设项目环境影响评价大纲应符合以下服务质量标准：初步确认项目选址、选线的环境可行性是否正确，评价等级、评价范围、评价因子、评价方法和预测模式选用是否准确，敏感目标、监测布点、监测时间和频率选择是否合理，评价内容是否全面和评价重点是否突出等基本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评估建设项目环境影响报告应符合以下服务质量标准：源强和物料平衡是否准确，工艺是否符合清洁生产要求，环境影响预测参数选择是否合理和预测结果是否正确，污染防治、生态保护措施是否完善可行，经济指标是否适当，总量控制指标是否符合国家和地方要求，选址、选线环境可行性结论是否明确，评价结论是否可信，是否符合国家有关环境影响评价、评估技术导则、规范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八、环境影响评价、技术评估机构应当按照合同约定向委托方提供符合国家相关规定的咨询服务；服务成果达不到合同约定的，应当负责完善，造成损失的，根据损失程度应将部分或全部服务费退还委托方。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九、委托方应遵守本通知规定和项目合同约定，为接受委托的环境影响评价、评估机构提供履约必须的工作条件和资料。因委托方原因造成咨询业务量增加或延期的，环境影响评价、评估机构可与委托方协商加收费用。建设项目环境影响咨询服务费用计入建设项目前期工作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十、委托方和环境影响咨询服务机构违反本通知规定的，由价格主管部门依据《中华人民共和国价格法》及有关法规予以处罚。</w:t>
      </w:r>
    </w:p>
    <w:p w:rsidR="00A32067" w:rsidRDefault="00A32067">
      <w:pPr>
        <w:spacing w:line="220" w:lineRule="atLeast"/>
        <w:jc w:val="right"/>
        <w:rPr>
          <w:b/>
          <w:bCs/>
          <w:color w:val="FF0000"/>
          <w:sz w:val="36"/>
          <w:szCs w:val="36"/>
        </w:rPr>
      </w:pPr>
      <w:r>
        <w:rPr>
          <w:rFonts w:cs="宋体" w:hint="eastAsia"/>
          <w:sz w:val="24"/>
          <w:szCs w:val="24"/>
        </w:rPr>
        <w:t>二〇〇二年一月三十一日</w:t>
      </w:r>
    </w:p>
    <w:p w:rsidR="00A32067" w:rsidRDefault="00A32067">
      <w:pPr>
        <w:spacing w:line="220" w:lineRule="atLeast"/>
        <w:jc w:val="right"/>
        <w:rPr>
          <w:b/>
          <w:bCs/>
          <w:color w:val="FF0000"/>
          <w:sz w:val="36"/>
          <w:szCs w:val="36"/>
        </w:rPr>
      </w:pPr>
    </w:p>
    <w:p w:rsidR="00A32067" w:rsidRDefault="00A32067">
      <w:pPr>
        <w:spacing w:line="220" w:lineRule="atLeast"/>
        <w:jc w:val="left"/>
        <w:rPr>
          <w:b/>
          <w:bCs/>
          <w:color w:val="FF0000"/>
          <w:sz w:val="24"/>
          <w:szCs w:val="24"/>
        </w:rPr>
      </w:pPr>
      <w:r>
        <w:rPr>
          <w:rFonts w:cs="宋体" w:hint="eastAsia"/>
          <w:b/>
          <w:bCs/>
          <w:color w:val="000000"/>
          <w:sz w:val="24"/>
          <w:szCs w:val="24"/>
        </w:rPr>
        <w:t>附件：</w:t>
      </w:r>
      <w:r>
        <w:rPr>
          <w:rFonts w:cs="宋体" w:hint="eastAsia"/>
          <w:sz w:val="24"/>
          <w:szCs w:val="24"/>
        </w:rPr>
        <w:t>一、建设项目环境影响咨询收费标准</w:t>
      </w:r>
    </w:p>
    <w:p w:rsidR="00A32067" w:rsidRDefault="00A32067" w:rsidP="0002085C">
      <w:pPr>
        <w:spacing w:afterLines="50" w:line="460" w:lineRule="atLeast"/>
        <w:jc w:val="center"/>
        <w:rPr>
          <w:b/>
          <w:bCs/>
          <w:color w:val="000000"/>
          <w:sz w:val="24"/>
          <w:szCs w:val="24"/>
        </w:rPr>
      </w:pPr>
      <w:r>
        <w:rPr>
          <w:rFonts w:cs="宋体" w:hint="eastAsia"/>
          <w:b/>
          <w:bCs/>
          <w:color w:val="000000"/>
          <w:sz w:val="24"/>
          <w:szCs w:val="24"/>
        </w:rPr>
        <w:t>建设项目环境影响咨询收费标准</w:t>
      </w:r>
    </w:p>
    <w:tbl>
      <w:tblPr>
        <w:tblW w:w="8748" w:type="dxa"/>
        <w:jc w:val="center"/>
        <w:tblCellSpacing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A0"/>
      </w:tblPr>
      <w:tblGrid>
        <w:gridCol w:w="3047"/>
        <w:gridCol w:w="1021"/>
        <w:gridCol w:w="875"/>
        <w:gridCol w:w="882"/>
        <w:gridCol w:w="884"/>
        <w:gridCol w:w="884"/>
        <w:gridCol w:w="1155"/>
      </w:tblGrid>
      <w:tr w:rsidR="00A32067">
        <w:trPr>
          <w:trHeight w:val="135"/>
          <w:tblCellSpacing w:w="0" w:type="dxa"/>
          <w:jc w:val="center"/>
        </w:trPr>
        <w:tc>
          <w:tcPr>
            <w:tcW w:w="3047" w:type="dxa"/>
            <w:tcBorders>
              <w:top w:val="single" w:sz="8" w:space="0" w:color="auto"/>
            </w:tcBorders>
            <w:vAlign w:val="center"/>
          </w:tcPr>
          <w:p w:rsidR="00A32067" w:rsidRDefault="00A32067">
            <w:pPr>
              <w:spacing w:line="330" w:lineRule="atLeast"/>
              <w:rPr>
                <w:color w:val="000000"/>
              </w:rPr>
            </w:pPr>
            <w:r>
              <w:rPr>
                <w:color w:val="000000"/>
              </w:rPr>
              <w:t> </w:t>
            </w:r>
            <w:r>
              <w:rPr>
                <w:rFonts w:cs="宋体" w:hint="eastAsia"/>
                <w:color w:val="000000"/>
              </w:rPr>
              <w:t>估算投资额</w:t>
            </w:r>
            <w:r>
              <w:rPr>
                <w:color w:val="000000"/>
              </w:rPr>
              <w:t>(</w:t>
            </w:r>
            <w:r>
              <w:rPr>
                <w:rFonts w:cs="宋体" w:hint="eastAsia"/>
                <w:color w:val="000000"/>
              </w:rPr>
              <w:t>亿元</w:t>
            </w:r>
            <w:r>
              <w:rPr>
                <w:color w:val="000000"/>
              </w:rPr>
              <w:t>)</w:t>
            </w:r>
          </w:p>
          <w:p w:rsidR="00A32067" w:rsidRDefault="00A32067">
            <w:pPr>
              <w:spacing w:line="135" w:lineRule="atLeast"/>
              <w:rPr>
                <w:color w:val="000000"/>
              </w:rPr>
            </w:pPr>
            <w:r>
              <w:rPr>
                <w:color w:val="000000"/>
              </w:rPr>
              <w:t> </w:t>
            </w:r>
            <w:r>
              <w:rPr>
                <w:rFonts w:cs="宋体" w:hint="eastAsia"/>
                <w:color w:val="000000"/>
              </w:rPr>
              <w:t>咨询服务项目</w:t>
            </w:r>
          </w:p>
        </w:tc>
        <w:tc>
          <w:tcPr>
            <w:tcW w:w="1021" w:type="dxa"/>
            <w:tcBorders>
              <w:top w:val="single" w:sz="8" w:space="0" w:color="auto"/>
            </w:tcBorders>
            <w:vAlign w:val="center"/>
          </w:tcPr>
          <w:p w:rsidR="00A32067" w:rsidRDefault="00A32067">
            <w:pPr>
              <w:spacing w:line="135" w:lineRule="atLeast"/>
              <w:jc w:val="center"/>
              <w:rPr>
                <w:color w:val="000000"/>
              </w:rPr>
            </w:pPr>
            <w:r>
              <w:rPr>
                <w:color w:val="000000"/>
              </w:rPr>
              <w:t>0.3</w:t>
            </w:r>
            <w:r>
              <w:rPr>
                <w:rFonts w:cs="宋体" w:hint="eastAsia"/>
                <w:color w:val="000000"/>
              </w:rPr>
              <w:t>以下</w:t>
            </w:r>
          </w:p>
        </w:tc>
        <w:tc>
          <w:tcPr>
            <w:tcW w:w="875" w:type="dxa"/>
            <w:tcBorders>
              <w:top w:val="single" w:sz="8" w:space="0" w:color="auto"/>
            </w:tcBorders>
            <w:vAlign w:val="center"/>
          </w:tcPr>
          <w:p w:rsidR="00A32067" w:rsidRDefault="00A32067">
            <w:pPr>
              <w:spacing w:line="135" w:lineRule="atLeast"/>
              <w:jc w:val="center"/>
              <w:rPr>
                <w:color w:val="000000"/>
              </w:rPr>
            </w:pPr>
            <w:r>
              <w:rPr>
                <w:color w:val="000000"/>
              </w:rPr>
              <w:t>0.3~2</w:t>
            </w:r>
          </w:p>
        </w:tc>
        <w:tc>
          <w:tcPr>
            <w:tcW w:w="882" w:type="dxa"/>
            <w:tcBorders>
              <w:top w:val="single" w:sz="8" w:space="0" w:color="auto"/>
            </w:tcBorders>
            <w:vAlign w:val="center"/>
          </w:tcPr>
          <w:p w:rsidR="00A32067" w:rsidRDefault="00A32067">
            <w:pPr>
              <w:spacing w:line="135" w:lineRule="atLeast"/>
              <w:jc w:val="center"/>
              <w:rPr>
                <w:color w:val="000000"/>
              </w:rPr>
            </w:pPr>
            <w:r>
              <w:rPr>
                <w:color w:val="000000"/>
              </w:rPr>
              <w:t>2~10</w:t>
            </w:r>
          </w:p>
        </w:tc>
        <w:tc>
          <w:tcPr>
            <w:tcW w:w="884" w:type="dxa"/>
            <w:tcBorders>
              <w:top w:val="single" w:sz="8" w:space="0" w:color="auto"/>
            </w:tcBorders>
            <w:vAlign w:val="center"/>
          </w:tcPr>
          <w:p w:rsidR="00A32067" w:rsidRDefault="00A32067">
            <w:pPr>
              <w:spacing w:line="135" w:lineRule="atLeast"/>
              <w:jc w:val="center"/>
              <w:rPr>
                <w:color w:val="000000"/>
              </w:rPr>
            </w:pPr>
            <w:r>
              <w:rPr>
                <w:color w:val="000000"/>
              </w:rPr>
              <w:t>10~50</w:t>
            </w:r>
          </w:p>
        </w:tc>
        <w:tc>
          <w:tcPr>
            <w:tcW w:w="884" w:type="dxa"/>
            <w:tcBorders>
              <w:top w:val="single" w:sz="8" w:space="0" w:color="auto"/>
            </w:tcBorders>
            <w:vAlign w:val="center"/>
          </w:tcPr>
          <w:p w:rsidR="00A32067" w:rsidRDefault="00A32067">
            <w:pPr>
              <w:spacing w:line="135" w:lineRule="atLeast"/>
              <w:jc w:val="center"/>
              <w:rPr>
                <w:color w:val="000000"/>
              </w:rPr>
            </w:pPr>
            <w:r>
              <w:rPr>
                <w:color w:val="000000"/>
              </w:rPr>
              <w:t>50~100</w:t>
            </w:r>
          </w:p>
        </w:tc>
        <w:tc>
          <w:tcPr>
            <w:tcW w:w="1155" w:type="dxa"/>
            <w:tcBorders>
              <w:top w:val="single" w:sz="8" w:space="0" w:color="auto"/>
            </w:tcBorders>
            <w:vAlign w:val="center"/>
          </w:tcPr>
          <w:p w:rsidR="00A32067" w:rsidRDefault="00A32067">
            <w:pPr>
              <w:spacing w:line="135" w:lineRule="atLeast"/>
              <w:jc w:val="center"/>
              <w:rPr>
                <w:color w:val="000000"/>
              </w:rPr>
            </w:pPr>
            <w:r>
              <w:rPr>
                <w:color w:val="000000"/>
              </w:rPr>
              <w:t>100</w:t>
            </w:r>
            <w:r>
              <w:rPr>
                <w:rFonts w:cs="宋体" w:hint="eastAsia"/>
                <w:color w:val="000000"/>
              </w:rPr>
              <w:t>以上</w:t>
            </w:r>
          </w:p>
        </w:tc>
      </w:tr>
      <w:tr w:rsidR="00A32067">
        <w:trPr>
          <w:trHeight w:val="315"/>
          <w:tblCellSpacing w:w="0" w:type="dxa"/>
          <w:jc w:val="center"/>
        </w:trPr>
        <w:tc>
          <w:tcPr>
            <w:tcW w:w="3047" w:type="dxa"/>
            <w:vAlign w:val="center"/>
          </w:tcPr>
          <w:p w:rsidR="00A32067" w:rsidRDefault="00A32067">
            <w:pPr>
              <w:spacing w:line="330" w:lineRule="atLeast"/>
              <w:rPr>
                <w:color w:val="000000"/>
              </w:rPr>
            </w:pPr>
            <w:r>
              <w:rPr>
                <w:color w:val="000000"/>
              </w:rPr>
              <w:t> </w:t>
            </w:r>
            <w:r>
              <w:rPr>
                <w:rFonts w:cs="宋体" w:hint="eastAsia"/>
                <w:color w:val="000000"/>
              </w:rPr>
              <w:t>编制环境影响报告书</w:t>
            </w:r>
          </w:p>
          <w:p w:rsidR="00A32067" w:rsidRDefault="00A32067">
            <w:pPr>
              <w:spacing w:line="330" w:lineRule="atLeast"/>
              <w:rPr>
                <w:color w:val="000000"/>
              </w:rPr>
            </w:pPr>
            <w:r>
              <w:rPr>
                <w:color w:val="000000"/>
              </w:rPr>
              <w:t>(</w:t>
            </w:r>
            <w:r>
              <w:rPr>
                <w:rFonts w:cs="宋体" w:hint="eastAsia"/>
                <w:color w:val="000000"/>
              </w:rPr>
              <w:t>含大纲</w:t>
            </w:r>
            <w:r>
              <w:rPr>
                <w:color w:val="000000"/>
              </w:rPr>
              <w:t>)</w:t>
            </w:r>
          </w:p>
        </w:tc>
        <w:tc>
          <w:tcPr>
            <w:tcW w:w="1021" w:type="dxa"/>
            <w:vAlign w:val="center"/>
          </w:tcPr>
          <w:p w:rsidR="00A32067" w:rsidRDefault="00A32067">
            <w:pPr>
              <w:spacing w:line="330" w:lineRule="atLeast"/>
              <w:jc w:val="center"/>
              <w:rPr>
                <w:color w:val="000000"/>
              </w:rPr>
            </w:pPr>
            <w:r>
              <w:rPr>
                <w:color w:val="000000"/>
              </w:rPr>
              <w:t>5~6</w:t>
            </w:r>
          </w:p>
        </w:tc>
        <w:tc>
          <w:tcPr>
            <w:tcW w:w="875" w:type="dxa"/>
            <w:vAlign w:val="center"/>
          </w:tcPr>
          <w:p w:rsidR="00A32067" w:rsidRDefault="00A32067">
            <w:pPr>
              <w:spacing w:line="330" w:lineRule="atLeast"/>
              <w:jc w:val="center"/>
              <w:rPr>
                <w:color w:val="000000"/>
              </w:rPr>
            </w:pPr>
            <w:r>
              <w:rPr>
                <w:color w:val="000000"/>
              </w:rPr>
              <w:t>6~15</w:t>
            </w:r>
          </w:p>
        </w:tc>
        <w:tc>
          <w:tcPr>
            <w:tcW w:w="882" w:type="dxa"/>
            <w:vAlign w:val="center"/>
          </w:tcPr>
          <w:p w:rsidR="00A32067" w:rsidRDefault="00A32067">
            <w:pPr>
              <w:spacing w:line="330" w:lineRule="atLeast"/>
              <w:jc w:val="center"/>
              <w:rPr>
                <w:color w:val="000000"/>
              </w:rPr>
            </w:pPr>
            <w:r>
              <w:rPr>
                <w:color w:val="000000"/>
              </w:rPr>
              <w:t>15~35</w:t>
            </w:r>
          </w:p>
        </w:tc>
        <w:tc>
          <w:tcPr>
            <w:tcW w:w="884" w:type="dxa"/>
            <w:vAlign w:val="center"/>
          </w:tcPr>
          <w:p w:rsidR="00A32067" w:rsidRDefault="00A32067">
            <w:pPr>
              <w:spacing w:line="330" w:lineRule="atLeast"/>
              <w:jc w:val="center"/>
              <w:rPr>
                <w:color w:val="000000"/>
              </w:rPr>
            </w:pPr>
            <w:r>
              <w:rPr>
                <w:color w:val="000000"/>
              </w:rPr>
              <w:t>35~75</w:t>
            </w:r>
          </w:p>
        </w:tc>
        <w:tc>
          <w:tcPr>
            <w:tcW w:w="884" w:type="dxa"/>
            <w:vAlign w:val="center"/>
          </w:tcPr>
          <w:p w:rsidR="00A32067" w:rsidRDefault="00A32067">
            <w:pPr>
              <w:spacing w:line="330" w:lineRule="atLeast"/>
              <w:jc w:val="center"/>
              <w:rPr>
                <w:color w:val="000000"/>
              </w:rPr>
            </w:pPr>
            <w:r>
              <w:rPr>
                <w:color w:val="000000"/>
              </w:rPr>
              <w:t>75~110</w:t>
            </w:r>
          </w:p>
        </w:tc>
        <w:tc>
          <w:tcPr>
            <w:tcW w:w="1155" w:type="dxa"/>
            <w:vAlign w:val="center"/>
          </w:tcPr>
          <w:p w:rsidR="00A32067" w:rsidRDefault="00A32067">
            <w:pPr>
              <w:spacing w:line="330" w:lineRule="atLeast"/>
              <w:jc w:val="center"/>
              <w:rPr>
                <w:color w:val="000000"/>
              </w:rPr>
            </w:pPr>
            <w:r>
              <w:rPr>
                <w:color w:val="000000"/>
              </w:rPr>
              <w:t>110</w:t>
            </w:r>
          </w:p>
        </w:tc>
      </w:tr>
      <w:tr w:rsidR="00A32067">
        <w:trPr>
          <w:trHeight w:val="565"/>
          <w:tblCellSpacing w:w="0" w:type="dxa"/>
          <w:jc w:val="center"/>
        </w:trPr>
        <w:tc>
          <w:tcPr>
            <w:tcW w:w="3047" w:type="dxa"/>
            <w:vAlign w:val="center"/>
          </w:tcPr>
          <w:p w:rsidR="00A32067" w:rsidRDefault="00A32067">
            <w:pPr>
              <w:spacing w:line="330" w:lineRule="atLeast"/>
              <w:rPr>
                <w:color w:val="000000"/>
              </w:rPr>
            </w:pPr>
            <w:r>
              <w:rPr>
                <w:color w:val="000000"/>
              </w:rPr>
              <w:t> </w:t>
            </w:r>
            <w:r>
              <w:rPr>
                <w:rFonts w:cs="宋体" w:hint="eastAsia"/>
                <w:color w:val="000000"/>
              </w:rPr>
              <w:t>编制环境影响报告表</w:t>
            </w:r>
          </w:p>
        </w:tc>
        <w:tc>
          <w:tcPr>
            <w:tcW w:w="1021" w:type="dxa"/>
            <w:vAlign w:val="center"/>
          </w:tcPr>
          <w:p w:rsidR="00A32067" w:rsidRDefault="00A32067">
            <w:pPr>
              <w:spacing w:line="330" w:lineRule="atLeast"/>
              <w:jc w:val="center"/>
              <w:rPr>
                <w:color w:val="000000"/>
              </w:rPr>
            </w:pPr>
            <w:r>
              <w:rPr>
                <w:color w:val="000000"/>
              </w:rPr>
              <w:t>1~2</w:t>
            </w:r>
          </w:p>
        </w:tc>
        <w:tc>
          <w:tcPr>
            <w:tcW w:w="875" w:type="dxa"/>
            <w:vAlign w:val="center"/>
          </w:tcPr>
          <w:p w:rsidR="00A32067" w:rsidRDefault="00A32067">
            <w:pPr>
              <w:spacing w:line="330" w:lineRule="atLeast"/>
              <w:jc w:val="center"/>
              <w:rPr>
                <w:color w:val="000000"/>
              </w:rPr>
            </w:pPr>
            <w:r>
              <w:rPr>
                <w:color w:val="000000"/>
              </w:rPr>
              <w:t>2~4</w:t>
            </w:r>
          </w:p>
        </w:tc>
        <w:tc>
          <w:tcPr>
            <w:tcW w:w="882" w:type="dxa"/>
            <w:vAlign w:val="center"/>
          </w:tcPr>
          <w:p w:rsidR="00A32067" w:rsidRDefault="00A32067">
            <w:pPr>
              <w:spacing w:line="330" w:lineRule="atLeast"/>
              <w:jc w:val="center"/>
              <w:rPr>
                <w:color w:val="000000"/>
              </w:rPr>
            </w:pPr>
            <w:r>
              <w:rPr>
                <w:color w:val="000000"/>
              </w:rPr>
              <w:t>4~7</w:t>
            </w:r>
          </w:p>
        </w:tc>
        <w:tc>
          <w:tcPr>
            <w:tcW w:w="2923" w:type="dxa"/>
            <w:gridSpan w:val="3"/>
            <w:vAlign w:val="center"/>
          </w:tcPr>
          <w:p w:rsidR="00A32067" w:rsidRDefault="00A32067">
            <w:pPr>
              <w:spacing w:line="330" w:lineRule="atLeast"/>
              <w:jc w:val="center"/>
              <w:rPr>
                <w:color w:val="000000"/>
              </w:rPr>
            </w:pPr>
            <w:r>
              <w:rPr>
                <w:color w:val="000000"/>
              </w:rPr>
              <w:t>7</w:t>
            </w:r>
            <w:r>
              <w:rPr>
                <w:rFonts w:cs="宋体" w:hint="eastAsia"/>
                <w:color w:val="000000"/>
              </w:rPr>
              <w:t>以上</w:t>
            </w:r>
          </w:p>
        </w:tc>
      </w:tr>
      <w:tr w:rsidR="00A32067">
        <w:trPr>
          <w:trHeight w:val="345"/>
          <w:tblCellSpacing w:w="0" w:type="dxa"/>
          <w:jc w:val="center"/>
        </w:trPr>
        <w:tc>
          <w:tcPr>
            <w:tcW w:w="3047" w:type="dxa"/>
            <w:vAlign w:val="center"/>
          </w:tcPr>
          <w:p w:rsidR="00A32067" w:rsidRDefault="00A32067">
            <w:pPr>
              <w:spacing w:line="330" w:lineRule="atLeast"/>
              <w:rPr>
                <w:color w:val="000000"/>
              </w:rPr>
            </w:pPr>
            <w:r>
              <w:rPr>
                <w:color w:val="000000"/>
              </w:rPr>
              <w:t> </w:t>
            </w:r>
            <w:r>
              <w:rPr>
                <w:rFonts w:cs="宋体" w:hint="eastAsia"/>
                <w:color w:val="000000"/>
              </w:rPr>
              <w:t>评估环境影响报告书</w:t>
            </w:r>
          </w:p>
          <w:p w:rsidR="00A32067" w:rsidRDefault="00A32067">
            <w:pPr>
              <w:spacing w:line="330" w:lineRule="atLeast"/>
              <w:rPr>
                <w:color w:val="000000"/>
              </w:rPr>
            </w:pPr>
            <w:r>
              <w:rPr>
                <w:color w:val="000000"/>
              </w:rPr>
              <w:t>(</w:t>
            </w:r>
            <w:r>
              <w:rPr>
                <w:rFonts w:cs="宋体" w:hint="eastAsia"/>
                <w:color w:val="000000"/>
              </w:rPr>
              <w:t>含大纲</w:t>
            </w:r>
            <w:r>
              <w:rPr>
                <w:color w:val="000000"/>
              </w:rPr>
              <w:t>)</w:t>
            </w:r>
          </w:p>
        </w:tc>
        <w:tc>
          <w:tcPr>
            <w:tcW w:w="1021" w:type="dxa"/>
            <w:vAlign w:val="center"/>
          </w:tcPr>
          <w:p w:rsidR="00A32067" w:rsidRDefault="00A32067">
            <w:pPr>
              <w:spacing w:line="330" w:lineRule="atLeast"/>
              <w:jc w:val="center"/>
              <w:rPr>
                <w:color w:val="000000"/>
              </w:rPr>
            </w:pPr>
            <w:r>
              <w:rPr>
                <w:color w:val="000000"/>
              </w:rPr>
              <w:t>0.8~1.5</w:t>
            </w:r>
          </w:p>
        </w:tc>
        <w:tc>
          <w:tcPr>
            <w:tcW w:w="875" w:type="dxa"/>
            <w:vAlign w:val="center"/>
          </w:tcPr>
          <w:p w:rsidR="00A32067" w:rsidRDefault="00A32067">
            <w:pPr>
              <w:spacing w:line="330" w:lineRule="atLeast"/>
              <w:jc w:val="center"/>
              <w:rPr>
                <w:color w:val="000000"/>
              </w:rPr>
            </w:pPr>
            <w:r>
              <w:rPr>
                <w:color w:val="000000"/>
              </w:rPr>
              <w:t>1.5~3</w:t>
            </w:r>
          </w:p>
        </w:tc>
        <w:tc>
          <w:tcPr>
            <w:tcW w:w="882" w:type="dxa"/>
            <w:vAlign w:val="center"/>
          </w:tcPr>
          <w:p w:rsidR="00A32067" w:rsidRDefault="00A32067">
            <w:pPr>
              <w:spacing w:line="330" w:lineRule="atLeast"/>
              <w:jc w:val="center"/>
              <w:rPr>
                <w:color w:val="000000"/>
              </w:rPr>
            </w:pPr>
            <w:r>
              <w:rPr>
                <w:color w:val="000000"/>
              </w:rPr>
              <w:t>3~7</w:t>
            </w:r>
          </w:p>
        </w:tc>
        <w:tc>
          <w:tcPr>
            <w:tcW w:w="884" w:type="dxa"/>
            <w:vAlign w:val="center"/>
          </w:tcPr>
          <w:p w:rsidR="00A32067" w:rsidRDefault="00A32067">
            <w:pPr>
              <w:spacing w:line="330" w:lineRule="atLeast"/>
              <w:jc w:val="center"/>
              <w:rPr>
                <w:color w:val="000000"/>
              </w:rPr>
            </w:pPr>
            <w:r>
              <w:rPr>
                <w:color w:val="000000"/>
              </w:rPr>
              <w:t>7~9</w:t>
            </w:r>
          </w:p>
        </w:tc>
        <w:tc>
          <w:tcPr>
            <w:tcW w:w="884" w:type="dxa"/>
            <w:vAlign w:val="center"/>
          </w:tcPr>
          <w:p w:rsidR="00A32067" w:rsidRDefault="00A32067">
            <w:pPr>
              <w:spacing w:line="330" w:lineRule="atLeast"/>
              <w:jc w:val="center"/>
              <w:rPr>
                <w:color w:val="000000"/>
              </w:rPr>
            </w:pPr>
            <w:r>
              <w:rPr>
                <w:color w:val="000000"/>
              </w:rPr>
              <w:t>9~13</w:t>
            </w:r>
          </w:p>
        </w:tc>
        <w:tc>
          <w:tcPr>
            <w:tcW w:w="1155" w:type="dxa"/>
            <w:vAlign w:val="center"/>
          </w:tcPr>
          <w:p w:rsidR="00A32067" w:rsidRDefault="00A32067">
            <w:pPr>
              <w:spacing w:line="330" w:lineRule="atLeast"/>
              <w:jc w:val="center"/>
              <w:rPr>
                <w:color w:val="000000"/>
              </w:rPr>
            </w:pPr>
            <w:r>
              <w:rPr>
                <w:color w:val="000000"/>
              </w:rPr>
              <w:t>13</w:t>
            </w:r>
            <w:r>
              <w:rPr>
                <w:rFonts w:cs="宋体" w:hint="eastAsia"/>
                <w:color w:val="000000"/>
              </w:rPr>
              <w:t>以上</w:t>
            </w:r>
          </w:p>
        </w:tc>
      </w:tr>
      <w:tr w:rsidR="00A32067">
        <w:trPr>
          <w:trHeight w:val="467"/>
          <w:tblCellSpacing w:w="0" w:type="dxa"/>
          <w:jc w:val="center"/>
        </w:trPr>
        <w:tc>
          <w:tcPr>
            <w:tcW w:w="3047" w:type="dxa"/>
            <w:tcBorders>
              <w:bottom w:val="single" w:sz="8" w:space="0" w:color="auto"/>
            </w:tcBorders>
            <w:vAlign w:val="center"/>
          </w:tcPr>
          <w:p w:rsidR="00A32067" w:rsidRDefault="00A32067">
            <w:pPr>
              <w:spacing w:line="330" w:lineRule="atLeast"/>
              <w:rPr>
                <w:color w:val="000000"/>
              </w:rPr>
            </w:pPr>
            <w:r>
              <w:rPr>
                <w:color w:val="000000"/>
              </w:rPr>
              <w:t> </w:t>
            </w:r>
            <w:r>
              <w:rPr>
                <w:rFonts w:cs="宋体" w:hint="eastAsia"/>
                <w:color w:val="000000"/>
              </w:rPr>
              <w:t>评估环境影响报告表</w:t>
            </w:r>
          </w:p>
        </w:tc>
        <w:tc>
          <w:tcPr>
            <w:tcW w:w="1021" w:type="dxa"/>
            <w:tcBorders>
              <w:bottom w:val="single" w:sz="8" w:space="0" w:color="auto"/>
            </w:tcBorders>
            <w:vAlign w:val="center"/>
          </w:tcPr>
          <w:p w:rsidR="00A32067" w:rsidRDefault="00A32067">
            <w:pPr>
              <w:spacing w:line="330" w:lineRule="atLeast"/>
              <w:jc w:val="center"/>
              <w:rPr>
                <w:color w:val="000000"/>
              </w:rPr>
            </w:pPr>
            <w:r>
              <w:rPr>
                <w:color w:val="000000"/>
              </w:rPr>
              <w:t>0.5~0.8</w:t>
            </w:r>
          </w:p>
        </w:tc>
        <w:tc>
          <w:tcPr>
            <w:tcW w:w="875" w:type="dxa"/>
            <w:tcBorders>
              <w:bottom w:val="single" w:sz="8" w:space="0" w:color="auto"/>
            </w:tcBorders>
            <w:vAlign w:val="center"/>
          </w:tcPr>
          <w:p w:rsidR="00A32067" w:rsidRDefault="00A32067">
            <w:pPr>
              <w:spacing w:line="330" w:lineRule="atLeast"/>
              <w:jc w:val="center"/>
              <w:rPr>
                <w:color w:val="000000"/>
              </w:rPr>
            </w:pPr>
            <w:r>
              <w:rPr>
                <w:color w:val="000000"/>
              </w:rPr>
              <w:t>0.8~1.5</w:t>
            </w:r>
          </w:p>
        </w:tc>
        <w:tc>
          <w:tcPr>
            <w:tcW w:w="882" w:type="dxa"/>
            <w:tcBorders>
              <w:bottom w:val="single" w:sz="8" w:space="0" w:color="auto"/>
            </w:tcBorders>
            <w:vAlign w:val="center"/>
          </w:tcPr>
          <w:p w:rsidR="00A32067" w:rsidRDefault="00A32067">
            <w:pPr>
              <w:spacing w:line="330" w:lineRule="atLeast"/>
              <w:jc w:val="center"/>
              <w:rPr>
                <w:color w:val="000000"/>
              </w:rPr>
            </w:pPr>
            <w:r>
              <w:rPr>
                <w:color w:val="000000"/>
              </w:rPr>
              <w:t>1.5~2</w:t>
            </w:r>
          </w:p>
        </w:tc>
        <w:tc>
          <w:tcPr>
            <w:tcW w:w="2923" w:type="dxa"/>
            <w:gridSpan w:val="3"/>
            <w:tcBorders>
              <w:bottom w:val="single" w:sz="8" w:space="0" w:color="auto"/>
            </w:tcBorders>
            <w:vAlign w:val="center"/>
          </w:tcPr>
          <w:p w:rsidR="00A32067" w:rsidRDefault="00A32067">
            <w:pPr>
              <w:spacing w:line="330" w:lineRule="atLeast"/>
              <w:jc w:val="center"/>
              <w:rPr>
                <w:color w:val="000000"/>
              </w:rPr>
            </w:pPr>
            <w:r>
              <w:rPr>
                <w:color w:val="000000"/>
              </w:rPr>
              <w:t>2</w:t>
            </w:r>
            <w:r>
              <w:rPr>
                <w:rFonts w:cs="宋体" w:hint="eastAsia"/>
                <w:color w:val="000000"/>
              </w:rPr>
              <w:t>以上</w:t>
            </w:r>
          </w:p>
        </w:tc>
      </w:tr>
    </w:tbl>
    <w:p w:rsidR="00A32067" w:rsidRDefault="00A32067" w:rsidP="00A32067">
      <w:pPr>
        <w:spacing w:line="360" w:lineRule="auto"/>
        <w:ind w:firstLineChars="200" w:firstLine="31680"/>
        <w:jc w:val="left"/>
        <w:rPr>
          <w:color w:val="000000"/>
          <w:sz w:val="22"/>
          <w:szCs w:val="22"/>
        </w:rPr>
      </w:pPr>
      <w:r>
        <w:rPr>
          <w:rFonts w:cs="宋体" w:hint="eastAsia"/>
          <w:color w:val="000000"/>
          <w:sz w:val="22"/>
          <w:szCs w:val="22"/>
        </w:rPr>
        <w:t>注：</w:t>
      </w:r>
      <w:r>
        <w:rPr>
          <w:color w:val="000000"/>
          <w:sz w:val="22"/>
          <w:szCs w:val="22"/>
        </w:rPr>
        <w:t>1</w:t>
      </w:r>
      <w:r>
        <w:rPr>
          <w:rFonts w:cs="宋体" w:hint="eastAsia"/>
          <w:color w:val="000000"/>
          <w:sz w:val="22"/>
          <w:szCs w:val="22"/>
        </w:rPr>
        <w:t>、表中数字下限为不含，上限为包含</w:t>
      </w:r>
    </w:p>
    <w:p w:rsidR="00A32067" w:rsidRDefault="00A32067" w:rsidP="005431C7">
      <w:pPr>
        <w:spacing w:line="360" w:lineRule="auto"/>
        <w:ind w:firstLineChars="200" w:firstLine="31680"/>
        <w:jc w:val="left"/>
        <w:rPr>
          <w:color w:val="000000"/>
          <w:sz w:val="22"/>
          <w:szCs w:val="22"/>
        </w:rPr>
      </w:pPr>
      <w:r>
        <w:rPr>
          <w:color w:val="000000"/>
          <w:sz w:val="22"/>
          <w:szCs w:val="22"/>
        </w:rPr>
        <w:t>2</w:t>
      </w:r>
      <w:r>
        <w:rPr>
          <w:rFonts w:cs="宋体" w:hint="eastAsia"/>
          <w:color w:val="000000"/>
          <w:sz w:val="22"/>
          <w:szCs w:val="22"/>
        </w:rPr>
        <w:t>、估算投资额为项目建议书或可行性研究报告中的估算投资额；</w:t>
      </w:r>
    </w:p>
    <w:p w:rsidR="00A32067" w:rsidRDefault="00A32067" w:rsidP="005431C7">
      <w:pPr>
        <w:spacing w:line="360" w:lineRule="auto"/>
        <w:ind w:firstLineChars="200" w:firstLine="31680"/>
        <w:jc w:val="left"/>
        <w:rPr>
          <w:color w:val="000000"/>
          <w:sz w:val="22"/>
          <w:szCs w:val="22"/>
        </w:rPr>
      </w:pPr>
      <w:r>
        <w:rPr>
          <w:color w:val="000000"/>
          <w:sz w:val="22"/>
          <w:szCs w:val="22"/>
        </w:rPr>
        <w:t>3</w:t>
      </w:r>
      <w:r>
        <w:rPr>
          <w:rFonts w:cs="宋体" w:hint="eastAsia"/>
          <w:color w:val="000000"/>
          <w:sz w:val="22"/>
          <w:szCs w:val="22"/>
        </w:rPr>
        <w:t>、咨询服务项目收费标准根据估算投资额在对应区间内用插入法计算；</w:t>
      </w:r>
    </w:p>
    <w:p w:rsidR="00A32067" w:rsidRDefault="00A32067" w:rsidP="005431C7">
      <w:pPr>
        <w:spacing w:line="360" w:lineRule="auto"/>
        <w:ind w:leftChars="200" w:left="31680"/>
        <w:jc w:val="left"/>
        <w:rPr>
          <w:color w:val="000000"/>
          <w:sz w:val="22"/>
          <w:szCs w:val="22"/>
        </w:rPr>
      </w:pPr>
      <w:r>
        <w:rPr>
          <w:color w:val="000000"/>
          <w:sz w:val="22"/>
          <w:szCs w:val="22"/>
        </w:rPr>
        <w:t>4</w:t>
      </w:r>
      <w:r>
        <w:rPr>
          <w:rFonts w:cs="宋体" w:hint="eastAsia"/>
          <w:color w:val="000000"/>
          <w:sz w:val="22"/>
          <w:szCs w:val="22"/>
        </w:rPr>
        <w:t>、以本表收费标准为基础，按建设项目行业特点和所在区域的环境敏感程度，乘以高速系数，确定咨询服务收费基准价。调整系数见附件</w:t>
      </w:r>
      <w:r>
        <w:rPr>
          <w:color w:val="000000"/>
          <w:sz w:val="22"/>
          <w:szCs w:val="22"/>
        </w:rPr>
        <w:t>2</w:t>
      </w:r>
      <w:r>
        <w:rPr>
          <w:rFonts w:cs="宋体" w:hint="eastAsia"/>
          <w:color w:val="000000"/>
          <w:sz w:val="22"/>
          <w:szCs w:val="22"/>
        </w:rPr>
        <w:t>之表</w:t>
      </w:r>
      <w:r>
        <w:rPr>
          <w:color w:val="000000"/>
          <w:sz w:val="22"/>
          <w:szCs w:val="22"/>
        </w:rPr>
        <w:t>1</w:t>
      </w:r>
      <w:r>
        <w:rPr>
          <w:rFonts w:cs="宋体" w:hint="eastAsia"/>
          <w:color w:val="000000"/>
          <w:sz w:val="22"/>
          <w:szCs w:val="22"/>
        </w:rPr>
        <w:t>和表</w:t>
      </w:r>
      <w:r>
        <w:rPr>
          <w:color w:val="000000"/>
          <w:sz w:val="22"/>
          <w:szCs w:val="22"/>
        </w:rPr>
        <w:t>2</w:t>
      </w:r>
      <w:r>
        <w:rPr>
          <w:rFonts w:cs="宋体" w:hint="eastAsia"/>
          <w:color w:val="000000"/>
          <w:sz w:val="22"/>
          <w:szCs w:val="22"/>
        </w:rPr>
        <w:t>。</w:t>
      </w:r>
    </w:p>
    <w:p w:rsidR="00A32067" w:rsidRDefault="00A32067" w:rsidP="005431C7">
      <w:pPr>
        <w:spacing w:line="360" w:lineRule="auto"/>
        <w:ind w:leftChars="250" w:left="31680"/>
        <w:jc w:val="left"/>
        <w:rPr>
          <w:color w:val="000000"/>
          <w:sz w:val="22"/>
          <w:szCs w:val="22"/>
        </w:rPr>
      </w:pPr>
      <w:r>
        <w:rPr>
          <w:color w:val="000000"/>
          <w:sz w:val="22"/>
          <w:szCs w:val="22"/>
        </w:rPr>
        <w:t>5</w:t>
      </w:r>
      <w:r>
        <w:rPr>
          <w:rFonts w:cs="宋体" w:hint="eastAsia"/>
          <w:color w:val="000000"/>
          <w:sz w:val="22"/>
          <w:szCs w:val="22"/>
        </w:rPr>
        <w:t>、评估环境影响报告书</w:t>
      </w:r>
      <w:r>
        <w:rPr>
          <w:color w:val="000000"/>
          <w:sz w:val="22"/>
          <w:szCs w:val="22"/>
        </w:rPr>
        <w:t>(</w:t>
      </w:r>
      <w:r>
        <w:rPr>
          <w:rFonts w:cs="宋体" w:hint="eastAsia"/>
          <w:color w:val="000000"/>
          <w:sz w:val="22"/>
          <w:szCs w:val="22"/>
        </w:rPr>
        <w:t>含大纲</w:t>
      </w:r>
      <w:r>
        <w:rPr>
          <w:color w:val="000000"/>
          <w:sz w:val="22"/>
          <w:szCs w:val="22"/>
        </w:rPr>
        <w:t>)</w:t>
      </w:r>
      <w:r>
        <w:rPr>
          <w:rFonts w:cs="宋体" w:hint="eastAsia"/>
          <w:color w:val="000000"/>
          <w:sz w:val="22"/>
          <w:szCs w:val="22"/>
        </w:rPr>
        <w:t>的费用不含专家参加审查会议的差旅费；环境影响评价大纲的技术评估费用占环境影响报告书评估费用</w:t>
      </w:r>
      <w:r>
        <w:rPr>
          <w:color w:val="000000"/>
          <w:sz w:val="22"/>
          <w:szCs w:val="22"/>
        </w:rPr>
        <w:t>40%</w:t>
      </w:r>
      <w:r>
        <w:rPr>
          <w:rFonts w:cs="宋体" w:hint="eastAsia"/>
          <w:color w:val="000000"/>
          <w:sz w:val="22"/>
          <w:szCs w:val="22"/>
        </w:rPr>
        <w:t>。</w:t>
      </w:r>
    </w:p>
    <w:p w:rsidR="00A32067" w:rsidRDefault="00A32067" w:rsidP="005431C7">
      <w:pPr>
        <w:spacing w:line="360" w:lineRule="auto"/>
        <w:ind w:firstLineChars="250" w:firstLine="31680"/>
        <w:jc w:val="left"/>
        <w:rPr>
          <w:color w:val="000000"/>
          <w:sz w:val="22"/>
          <w:szCs w:val="22"/>
        </w:rPr>
      </w:pPr>
      <w:r>
        <w:rPr>
          <w:color w:val="000000"/>
          <w:sz w:val="22"/>
          <w:szCs w:val="22"/>
        </w:rPr>
        <w:t>6</w:t>
      </w:r>
      <w:r>
        <w:rPr>
          <w:rFonts w:cs="宋体" w:hint="eastAsia"/>
          <w:color w:val="000000"/>
          <w:sz w:val="22"/>
          <w:szCs w:val="22"/>
        </w:rPr>
        <w:t>、本表所列编制环境影响报告表收费标准为不设评价专题的基准价，每增加一个专题加收</w:t>
      </w:r>
      <w:r>
        <w:rPr>
          <w:color w:val="000000"/>
          <w:sz w:val="22"/>
          <w:szCs w:val="22"/>
        </w:rPr>
        <w:t>50%</w:t>
      </w:r>
      <w:r>
        <w:rPr>
          <w:rFonts w:cs="宋体" w:hint="eastAsia"/>
          <w:color w:val="000000"/>
          <w:sz w:val="22"/>
          <w:szCs w:val="22"/>
        </w:rPr>
        <w:t>。</w:t>
      </w:r>
    </w:p>
    <w:p w:rsidR="00A32067" w:rsidRDefault="00A32067" w:rsidP="005431C7">
      <w:pPr>
        <w:spacing w:line="360" w:lineRule="auto"/>
        <w:ind w:leftChars="250" w:left="31680"/>
        <w:jc w:val="left"/>
        <w:rPr>
          <w:color w:val="000000"/>
          <w:sz w:val="22"/>
          <w:szCs w:val="22"/>
        </w:rPr>
      </w:pPr>
      <w:r>
        <w:rPr>
          <w:color w:val="000000"/>
          <w:sz w:val="22"/>
          <w:szCs w:val="22"/>
        </w:rPr>
        <w:t>7</w:t>
      </w:r>
      <w:r>
        <w:rPr>
          <w:rFonts w:cs="宋体" w:hint="eastAsia"/>
          <w:color w:val="000000"/>
          <w:sz w:val="22"/>
          <w:szCs w:val="22"/>
        </w:rPr>
        <w:t>、本表中费用不包括遥感、遥测、风洞试验、污染气象观测、示踪试验、地探、物探、卫星图片解读、需要动用船、飞机等特殊监测等费用。</w:t>
      </w:r>
    </w:p>
    <w:p w:rsidR="00A32067" w:rsidRDefault="00A32067">
      <w:pPr>
        <w:spacing w:line="460" w:lineRule="atLeast"/>
        <w:ind w:firstLine="440"/>
        <w:rPr>
          <w:color w:val="000000"/>
          <w:sz w:val="24"/>
          <w:szCs w:val="24"/>
        </w:rPr>
      </w:pPr>
    </w:p>
    <w:p w:rsidR="00A32067" w:rsidRDefault="00A32067">
      <w:pPr>
        <w:spacing w:line="460" w:lineRule="atLeast"/>
        <w:ind w:firstLine="440"/>
        <w:rPr>
          <w:color w:val="000000"/>
          <w:sz w:val="24"/>
          <w:szCs w:val="24"/>
        </w:rPr>
      </w:pPr>
    </w:p>
    <w:p w:rsidR="00A32067" w:rsidRDefault="00A32067">
      <w:pPr>
        <w:spacing w:line="460" w:lineRule="atLeast"/>
        <w:rPr>
          <w:color w:val="000000"/>
          <w:sz w:val="24"/>
          <w:szCs w:val="24"/>
        </w:rPr>
      </w:pPr>
      <w:r>
        <w:rPr>
          <w:rFonts w:cs="宋体" w:hint="eastAsia"/>
          <w:color w:val="000000"/>
          <w:sz w:val="24"/>
          <w:szCs w:val="24"/>
        </w:rPr>
        <w:t>二、建设项目环境影响咨询收费调整系数</w:t>
      </w:r>
    </w:p>
    <w:p w:rsidR="00A32067" w:rsidRDefault="00A32067">
      <w:pPr>
        <w:spacing w:line="460" w:lineRule="atLeast"/>
        <w:ind w:firstLine="440"/>
        <w:rPr>
          <w:color w:val="000000"/>
          <w:sz w:val="24"/>
          <w:szCs w:val="24"/>
        </w:rPr>
      </w:pPr>
      <w:r>
        <w:rPr>
          <w:color w:val="000000"/>
          <w:sz w:val="24"/>
          <w:szCs w:val="24"/>
        </w:rPr>
        <w:t> </w:t>
      </w:r>
    </w:p>
    <w:p w:rsidR="00A32067" w:rsidRDefault="00A32067">
      <w:pPr>
        <w:spacing w:line="460" w:lineRule="atLeast"/>
        <w:jc w:val="center"/>
        <w:rPr>
          <w:color w:val="000000"/>
          <w:sz w:val="24"/>
          <w:szCs w:val="24"/>
        </w:rPr>
      </w:pPr>
      <w:r>
        <w:rPr>
          <w:rFonts w:cs="宋体" w:hint="eastAsia"/>
          <w:color w:val="000000"/>
          <w:sz w:val="24"/>
          <w:szCs w:val="24"/>
        </w:rPr>
        <w:t>表</w:t>
      </w:r>
      <w:r>
        <w:rPr>
          <w:color w:val="000000"/>
          <w:sz w:val="24"/>
          <w:szCs w:val="24"/>
        </w:rPr>
        <w:t xml:space="preserve">1  </w:t>
      </w:r>
      <w:r>
        <w:rPr>
          <w:rFonts w:cs="宋体" w:hint="eastAsia"/>
          <w:color w:val="000000"/>
          <w:sz w:val="24"/>
          <w:szCs w:val="24"/>
        </w:rPr>
        <w:t>环境影响评价大纲、报告书编制收费行业调整系数</w:t>
      </w:r>
    </w:p>
    <w:tbl>
      <w:tblPr>
        <w:tblW w:w="8558" w:type="dxa"/>
        <w:jc w:val="center"/>
        <w:tblCellSpacing w:w="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A0"/>
      </w:tblPr>
      <w:tblGrid>
        <w:gridCol w:w="6675"/>
        <w:gridCol w:w="1883"/>
      </w:tblGrid>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行</w:t>
            </w:r>
            <w:r>
              <w:rPr>
                <w:color w:val="000000"/>
                <w:sz w:val="24"/>
                <w:szCs w:val="24"/>
              </w:rPr>
              <w:t xml:space="preserve">    </w:t>
            </w:r>
            <w:r>
              <w:rPr>
                <w:rFonts w:cs="宋体" w:hint="eastAsia"/>
                <w:color w:val="000000"/>
                <w:sz w:val="24"/>
                <w:szCs w:val="24"/>
              </w:rPr>
              <w:t>业</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调整系数</w:t>
            </w:r>
          </w:p>
        </w:tc>
      </w:tr>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rPr>
                <w:color w:val="000000"/>
                <w:sz w:val="24"/>
                <w:szCs w:val="24"/>
              </w:rPr>
            </w:pPr>
            <w:r>
              <w:rPr>
                <w:rFonts w:cs="宋体" w:hint="eastAsia"/>
                <w:color w:val="000000"/>
                <w:sz w:val="24"/>
                <w:szCs w:val="24"/>
              </w:rPr>
              <w:t>化工、冶金、有色、黄金、煤炭、矿产、纺织、化纤、轻工、医药、区域</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1.2</w:t>
            </w:r>
          </w:p>
        </w:tc>
      </w:tr>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rPr>
                <w:color w:val="000000"/>
                <w:sz w:val="24"/>
                <w:szCs w:val="24"/>
              </w:rPr>
            </w:pPr>
            <w:r>
              <w:rPr>
                <w:rFonts w:cs="宋体" w:hint="eastAsia"/>
                <w:color w:val="000000"/>
                <w:sz w:val="24"/>
                <w:szCs w:val="24"/>
              </w:rPr>
              <w:t>石化、石油天然气、水利、水电、旅游</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1.1</w:t>
            </w:r>
          </w:p>
        </w:tc>
      </w:tr>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rPr>
                <w:color w:val="000000"/>
                <w:sz w:val="24"/>
                <w:szCs w:val="24"/>
              </w:rPr>
            </w:pPr>
            <w:r>
              <w:rPr>
                <w:rFonts w:cs="宋体" w:hint="eastAsia"/>
                <w:color w:val="000000"/>
                <w:sz w:val="24"/>
                <w:szCs w:val="24"/>
              </w:rPr>
              <w:t>林业、畜牧、渔业、农业、交通、铁道、民航、管线运输、建材、市政、烟草、兵器</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1.0</w:t>
            </w:r>
          </w:p>
        </w:tc>
      </w:tr>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rPr>
                <w:color w:val="000000"/>
                <w:sz w:val="24"/>
                <w:szCs w:val="24"/>
              </w:rPr>
            </w:pPr>
            <w:r>
              <w:rPr>
                <w:rFonts w:cs="宋体" w:hint="eastAsia"/>
                <w:color w:val="000000"/>
                <w:sz w:val="24"/>
                <w:szCs w:val="24"/>
              </w:rPr>
              <w:t>邮电、广播电视、航空、机械、船舶、航天、电子、勘探、社会服务、火电</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0.8</w:t>
            </w:r>
          </w:p>
        </w:tc>
      </w:tr>
      <w:tr w:rsidR="00A32067">
        <w:trPr>
          <w:tblCellSpacing w:w="0" w:type="dxa"/>
          <w:jc w:val="center"/>
        </w:trPr>
        <w:tc>
          <w:tcPr>
            <w:tcW w:w="6675" w:type="dxa"/>
            <w:tcBorders>
              <w:top w:val="single" w:sz="8" w:space="0" w:color="auto"/>
              <w:bottom w:val="single" w:sz="8" w:space="0" w:color="auto"/>
              <w:right w:val="single" w:sz="8" w:space="0" w:color="auto"/>
            </w:tcBorders>
            <w:vAlign w:val="center"/>
          </w:tcPr>
          <w:p w:rsidR="00A32067" w:rsidRDefault="00A32067">
            <w:pPr>
              <w:spacing w:line="330" w:lineRule="atLeast"/>
              <w:rPr>
                <w:color w:val="000000"/>
                <w:sz w:val="24"/>
                <w:szCs w:val="24"/>
              </w:rPr>
            </w:pPr>
            <w:r>
              <w:rPr>
                <w:rFonts w:cs="宋体" w:hint="eastAsia"/>
                <w:color w:val="000000"/>
                <w:sz w:val="24"/>
                <w:szCs w:val="24"/>
              </w:rPr>
              <w:t>粮食、建筑、信息产业、仓储</w:t>
            </w:r>
          </w:p>
        </w:tc>
        <w:tc>
          <w:tcPr>
            <w:tcW w:w="1883"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0.6</w:t>
            </w:r>
          </w:p>
        </w:tc>
      </w:tr>
    </w:tbl>
    <w:p w:rsidR="00A32067" w:rsidRDefault="00A32067">
      <w:pPr>
        <w:spacing w:line="460" w:lineRule="atLeast"/>
        <w:ind w:firstLine="440"/>
        <w:rPr>
          <w:color w:val="000000"/>
          <w:sz w:val="24"/>
          <w:szCs w:val="24"/>
        </w:rPr>
      </w:pPr>
      <w:r>
        <w:rPr>
          <w:color w:val="000000"/>
          <w:sz w:val="24"/>
          <w:szCs w:val="24"/>
        </w:rPr>
        <w:t> </w:t>
      </w:r>
    </w:p>
    <w:p w:rsidR="00A32067" w:rsidRDefault="00A32067">
      <w:pPr>
        <w:spacing w:line="460" w:lineRule="atLeast"/>
        <w:ind w:firstLine="440"/>
        <w:rPr>
          <w:color w:val="000000"/>
          <w:sz w:val="24"/>
          <w:szCs w:val="24"/>
        </w:rPr>
      </w:pPr>
      <w:r>
        <w:rPr>
          <w:color w:val="000000"/>
          <w:sz w:val="24"/>
          <w:szCs w:val="24"/>
        </w:rPr>
        <w:t> </w:t>
      </w:r>
    </w:p>
    <w:p w:rsidR="00A32067" w:rsidRDefault="00A32067">
      <w:pPr>
        <w:spacing w:line="460" w:lineRule="atLeast"/>
        <w:jc w:val="center"/>
        <w:rPr>
          <w:color w:val="000000"/>
          <w:sz w:val="24"/>
          <w:szCs w:val="24"/>
        </w:rPr>
      </w:pPr>
      <w:r>
        <w:rPr>
          <w:rFonts w:cs="宋体" w:hint="eastAsia"/>
          <w:color w:val="000000"/>
          <w:sz w:val="24"/>
          <w:szCs w:val="24"/>
        </w:rPr>
        <w:t>表</w:t>
      </w:r>
      <w:r>
        <w:rPr>
          <w:color w:val="000000"/>
          <w:sz w:val="24"/>
          <w:szCs w:val="24"/>
        </w:rPr>
        <w:t xml:space="preserve">2  </w:t>
      </w:r>
      <w:r>
        <w:rPr>
          <w:rFonts w:cs="宋体" w:hint="eastAsia"/>
          <w:color w:val="000000"/>
          <w:sz w:val="24"/>
          <w:szCs w:val="24"/>
        </w:rPr>
        <w:t>环境影响评价大纲、报告书编制收费环境敏感程度调整系数</w:t>
      </w:r>
    </w:p>
    <w:tbl>
      <w:tblPr>
        <w:tblW w:w="8558" w:type="dxa"/>
        <w:jc w:val="center"/>
        <w:tblCellSpacing w:w="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A0"/>
      </w:tblPr>
      <w:tblGrid>
        <w:gridCol w:w="4279"/>
        <w:gridCol w:w="4279"/>
      </w:tblGrid>
      <w:tr w:rsidR="00A32067">
        <w:trPr>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环境敏感程度</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调整系数</w:t>
            </w:r>
          </w:p>
        </w:tc>
      </w:tr>
      <w:tr w:rsidR="00A32067">
        <w:trPr>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敏感</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1.2</w:t>
            </w:r>
          </w:p>
        </w:tc>
      </w:tr>
      <w:tr w:rsidR="00A32067">
        <w:trPr>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一般</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0.8</w:t>
            </w:r>
          </w:p>
        </w:tc>
      </w:tr>
    </w:tbl>
    <w:p w:rsidR="00A32067" w:rsidRDefault="00A32067">
      <w:pPr>
        <w:spacing w:line="460" w:lineRule="atLeast"/>
        <w:ind w:firstLine="440"/>
        <w:rPr>
          <w:color w:val="000000"/>
          <w:sz w:val="24"/>
          <w:szCs w:val="24"/>
        </w:rPr>
      </w:pPr>
      <w:r>
        <w:rPr>
          <w:color w:val="000000"/>
          <w:sz w:val="24"/>
          <w:szCs w:val="24"/>
        </w:rPr>
        <w:t> </w:t>
      </w:r>
    </w:p>
    <w:p w:rsidR="00A32067" w:rsidRDefault="00A32067">
      <w:pPr>
        <w:spacing w:line="460" w:lineRule="atLeast"/>
        <w:ind w:firstLine="440"/>
        <w:rPr>
          <w:color w:val="000000"/>
          <w:sz w:val="24"/>
          <w:szCs w:val="24"/>
        </w:rPr>
      </w:pPr>
      <w:r>
        <w:rPr>
          <w:color w:val="000000"/>
          <w:sz w:val="24"/>
          <w:szCs w:val="24"/>
        </w:rPr>
        <w:t> </w:t>
      </w:r>
    </w:p>
    <w:p w:rsidR="00A32067" w:rsidRDefault="00A32067">
      <w:pPr>
        <w:spacing w:line="460" w:lineRule="atLeast"/>
        <w:ind w:firstLine="440"/>
        <w:rPr>
          <w:color w:val="000000"/>
          <w:sz w:val="24"/>
          <w:szCs w:val="24"/>
        </w:rPr>
      </w:pPr>
    </w:p>
    <w:p w:rsidR="00A32067" w:rsidRDefault="00A32067">
      <w:pPr>
        <w:spacing w:line="460" w:lineRule="atLeast"/>
        <w:ind w:firstLine="440"/>
        <w:rPr>
          <w:color w:val="000000"/>
          <w:sz w:val="24"/>
          <w:szCs w:val="24"/>
        </w:rPr>
      </w:pPr>
    </w:p>
    <w:p w:rsidR="00A32067" w:rsidRDefault="00A32067">
      <w:pPr>
        <w:spacing w:line="460" w:lineRule="atLeast"/>
        <w:jc w:val="left"/>
        <w:rPr>
          <w:color w:val="000000"/>
          <w:sz w:val="24"/>
          <w:szCs w:val="24"/>
        </w:rPr>
      </w:pPr>
      <w:r>
        <w:rPr>
          <w:rFonts w:cs="宋体" w:hint="eastAsia"/>
          <w:color w:val="000000"/>
          <w:sz w:val="24"/>
          <w:szCs w:val="24"/>
        </w:rPr>
        <w:t>三、按咨询服务人员工日计算建设项目环境影响咨询收费标准</w:t>
      </w:r>
    </w:p>
    <w:p w:rsidR="00A32067" w:rsidRDefault="00A32067">
      <w:pPr>
        <w:spacing w:line="460" w:lineRule="atLeast"/>
        <w:jc w:val="right"/>
        <w:rPr>
          <w:color w:val="000000"/>
          <w:sz w:val="24"/>
          <w:szCs w:val="24"/>
        </w:rPr>
      </w:pPr>
      <w:r>
        <w:rPr>
          <w:rFonts w:cs="宋体" w:hint="eastAsia"/>
          <w:color w:val="000000"/>
          <w:sz w:val="24"/>
          <w:szCs w:val="24"/>
        </w:rPr>
        <w:t>单位：元</w:t>
      </w:r>
    </w:p>
    <w:tbl>
      <w:tblPr>
        <w:tblW w:w="8558" w:type="dxa"/>
        <w:jc w:val="center"/>
        <w:tblCellSpacing w:w="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A0"/>
      </w:tblPr>
      <w:tblGrid>
        <w:gridCol w:w="4279"/>
        <w:gridCol w:w="4279"/>
      </w:tblGrid>
      <w:tr w:rsidR="00A32067">
        <w:trPr>
          <w:trHeight w:val="300"/>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咨询人员职级</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人工日收费标准</w:t>
            </w:r>
          </w:p>
        </w:tc>
      </w:tr>
      <w:tr w:rsidR="00A32067">
        <w:trPr>
          <w:trHeight w:val="270"/>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高级咨询专家</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1000</w:t>
            </w:r>
            <w:r>
              <w:rPr>
                <w:rFonts w:cs="宋体" w:hint="eastAsia"/>
                <w:color w:val="000000"/>
                <w:sz w:val="24"/>
                <w:szCs w:val="24"/>
              </w:rPr>
              <w:t>－</w:t>
            </w:r>
            <w:r>
              <w:rPr>
                <w:color w:val="000000"/>
                <w:sz w:val="24"/>
                <w:szCs w:val="24"/>
              </w:rPr>
              <w:t>1200</w:t>
            </w:r>
          </w:p>
        </w:tc>
      </w:tr>
      <w:tr w:rsidR="00A32067">
        <w:trPr>
          <w:trHeight w:val="285"/>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高级专业技术人员</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800</w:t>
            </w:r>
            <w:r>
              <w:rPr>
                <w:rFonts w:cs="宋体" w:hint="eastAsia"/>
                <w:color w:val="000000"/>
                <w:sz w:val="24"/>
                <w:szCs w:val="24"/>
              </w:rPr>
              <w:t>－</w:t>
            </w:r>
            <w:r>
              <w:rPr>
                <w:color w:val="000000"/>
                <w:sz w:val="24"/>
                <w:szCs w:val="24"/>
              </w:rPr>
              <w:t>1000</w:t>
            </w:r>
          </w:p>
        </w:tc>
      </w:tr>
      <w:tr w:rsidR="00A32067">
        <w:trPr>
          <w:trHeight w:val="300"/>
          <w:tblCellSpacing w:w="0" w:type="dxa"/>
          <w:jc w:val="center"/>
        </w:trPr>
        <w:tc>
          <w:tcPr>
            <w:tcW w:w="4279" w:type="dxa"/>
            <w:tcBorders>
              <w:top w:val="single" w:sz="8" w:space="0" w:color="auto"/>
              <w:bottom w:val="single" w:sz="8" w:space="0" w:color="auto"/>
              <w:right w:val="single" w:sz="8" w:space="0" w:color="auto"/>
            </w:tcBorders>
            <w:vAlign w:val="center"/>
          </w:tcPr>
          <w:p w:rsidR="00A32067" w:rsidRDefault="00A32067">
            <w:pPr>
              <w:spacing w:line="330" w:lineRule="atLeast"/>
              <w:jc w:val="center"/>
              <w:rPr>
                <w:color w:val="000000"/>
                <w:sz w:val="24"/>
                <w:szCs w:val="24"/>
              </w:rPr>
            </w:pPr>
            <w:r>
              <w:rPr>
                <w:rFonts w:cs="宋体" w:hint="eastAsia"/>
                <w:color w:val="000000"/>
                <w:sz w:val="24"/>
                <w:szCs w:val="24"/>
              </w:rPr>
              <w:t>一般专业技术人员</w:t>
            </w:r>
          </w:p>
        </w:tc>
        <w:tc>
          <w:tcPr>
            <w:tcW w:w="4279" w:type="dxa"/>
            <w:tcBorders>
              <w:top w:val="single" w:sz="8" w:space="0" w:color="auto"/>
              <w:left w:val="single" w:sz="8" w:space="0" w:color="auto"/>
              <w:bottom w:val="single" w:sz="8" w:space="0" w:color="auto"/>
            </w:tcBorders>
            <w:vAlign w:val="center"/>
          </w:tcPr>
          <w:p w:rsidR="00A32067" w:rsidRDefault="00A32067">
            <w:pPr>
              <w:spacing w:line="330" w:lineRule="atLeast"/>
              <w:jc w:val="center"/>
              <w:rPr>
                <w:color w:val="000000"/>
                <w:sz w:val="24"/>
                <w:szCs w:val="24"/>
              </w:rPr>
            </w:pPr>
            <w:r>
              <w:rPr>
                <w:color w:val="000000"/>
                <w:sz w:val="24"/>
                <w:szCs w:val="24"/>
              </w:rPr>
              <w:t>600</w:t>
            </w:r>
            <w:r>
              <w:rPr>
                <w:rFonts w:cs="宋体" w:hint="eastAsia"/>
                <w:color w:val="000000"/>
                <w:sz w:val="24"/>
                <w:szCs w:val="24"/>
              </w:rPr>
              <w:t>－</w:t>
            </w:r>
            <w:r>
              <w:rPr>
                <w:color w:val="000000"/>
                <w:sz w:val="24"/>
                <w:szCs w:val="24"/>
              </w:rPr>
              <w:t>800</w:t>
            </w:r>
          </w:p>
        </w:tc>
      </w:tr>
    </w:tbl>
    <w:p w:rsidR="00A32067" w:rsidRDefault="00A32067"/>
    <w:p w:rsidR="00A32067" w:rsidRDefault="00A32067">
      <w:pPr>
        <w:spacing w:line="220" w:lineRule="atLeast"/>
      </w:pPr>
      <w:r>
        <w:br w:type="page"/>
      </w: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color w:val="333333"/>
          <w:sz w:val="44"/>
          <w:szCs w:val="44"/>
        </w:rPr>
      </w:pPr>
      <w:bookmarkStart w:id="50" w:name="_Toc519872290"/>
      <w:r>
        <w:rPr>
          <w:rFonts w:ascii="Times New Roman" w:hAnsi="Times New Roman" w:hint="eastAsia"/>
          <w:b/>
          <w:bCs/>
          <w:color w:val="333333"/>
          <w:sz w:val="44"/>
          <w:szCs w:val="44"/>
        </w:rPr>
        <w:t>国务院关于修改</w:t>
      </w:r>
      <w:r>
        <w:rPr>
          <w:rFonts w:ascii="Times New Roman" w:hAnsi="Times New Roman" w:cs="Times New Roman"/>
          <w:color w:val="333333"/>
          <w:sz w:val="44"/>
          <w:szCs w:val="44"/>
        </w:rPr>
        <w:br/>
      </w:r>
      <w:r>
        <w:rPr>
          <w:rFonts w:ascii="Times New Roman" w:hAnsi="Times New Roman" w:hint="eastAsia"/>
          <w:b/>
          <w:bCs/>
          <w:color w:val="333333"/>
          <w:sz w:val="44"/>
          <w:szCs w:val="44"/>
        </w:rPr>
        <w:t>《建设项目环境保护管理条例》的决定</w:t>
      </w:r>
      <w:r>
        <w:rPr>
          <w:rFonts w:ascii="Times New Roman" w:hAnsi="Times New Roman" w:cs="Times New Roman"/>
          <w:color w:val="333333"/>
          <w:sz w:val="44"/>
          <w:szCs w:val="44"/>
        </w:rPr>
        <w:br/>
      </w:r>
      <w:r>
        <w:rPr>
          <w:rFonts w:ascii="Times New Roman" w:hAnsi="Times New Roman" w:hint="eastAsia"/>
          <w:color w:val="333333"/>
          <w:sz w:val="22"/>
          <w:szCs w:val="22"/>
        </w:rPr>
        <w:t>中华人民共和国国务院令第</w:t>
      </w:r>
      <w:r>
        <w:rPr>
          <w:rFonts w:ascii="Times New Roman" w:hAnsi="Times New Roman" w:cs="Times New Roman"/>
          <w:color w:val="333333"/>
          <w:sz w:val="22"/>
          <w:szCs w:val="22"/>
        </w:rPr>
        <w:t>682</w:t>
      </w:r>
      <w:r>
        <w:rPr>
          <w:rFonts w:ascii="Times New Roman" w:hAnsi="Times New Roman" w:hint="eastAsia"/>
          <w:color w:val="333333"/>
          <w:sz w:val="22"/>
          <w:szCs w:val="22"/>
        </w:rPr>
        <w:t>号</w:t>
      </w:r>
      <w:bookmarkEnd w:id="50"/>
    </w:p>
    <w:p w:rsidR="00A32067" w:rsidRDefault="00A32067">
      <w:pPr>
        <w:pStyle w:val="NormalWeb"/>
        <w:shd w:val="clear" w:color="auto" w:fill="FFFFFF"/>
        <w:spacing w:before="0" w:beforeAutospacing="0" w:after="0" w:afterAutospacing="0" w:line="360" w:lineRule="auto"/>
        <w:jc w:val="center"/>
        <w:outlineLvl w:val="0"/>
        <w:rPr>
          <w:rFonts w:ascii="Times New Roman" w:hAnsi="Times New Roman" w:cs="Times New Roman"/>
          <w:color w:val="333333"/>
          <w:sz w:val="22"/>
          <w:szCs w:val="22"/>
        </w:rPr>
      </w:pP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《国务院关于修改〈建设项目环境保护管理条例〉的决定》已经</w:t>
      </w: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6</w:t>
      </w:r>
      <w:r>
        <w:rPr>
          <w:rFonts w:ascii="Times New Roman" w:hAnsi="Times New Roman" w:hint="eastAsia"/>
          <w:color w:val="333333"/>
          <w:sz w:val="22"/>
          <w:szCs w:val="22"/>
        </w:rPr>
        <w:t>月</w:t>
      </w:r>
      <w:r>
        <w:rPr>
          <w:rFonts w:ascii="Times New Roman" w:hAnsi="Times New Roman" w:cs="Times New Roman"/>
          <w:color w:val="333333"/>
          <w:sz w:val="22"/>
          <w:szCs w:val="22"/>
        </w:rPr>
        <w:t>21</w:t>
      </w:r>
      <w:r>
        <w:rPr>
          <w:rFonts w:ascii="Times New Roman" w:hAnsi="Times New Roman" w:hint="eastAsia"/>
          <w:color w:val="333333"/>
          <w:sz w:val="22"/>
          <w:szCs w:val="22"/>
        </w:rPr>
        <w:t>日国务院第</w:t>
      </w:r>
      <w:r>
        <w:rPr>
          <w:rFonts w:ascii="Times New Roman" w:hAnsi="Times New Roman" w:cs="Times New Roman"/>
          <w:color w:val="333333"/>
          <w:sz w:val="22"/>
          <w:szCs w:val="22"/>
        </w:rPr>
        <w:t>177</w:t>
      </w:r>
      <w:r>
        <w:rPr>
          <w:rFonts w:ascii="Times New Roman" w:hAnsi="Times New Roman" w:hint="eastAsia"/>
          <w:color w:val="333333"/>
          <w:sz w:val="22"/>
          <w:szCs w:val="22"/>
        </w:rPr>
        <w:t>次常务会议通过，现予公布，自</w:t>
      </w: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10</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pStyle w:val="NormalWeb"/>
        <w:shd w:val="clear" w:color="auto" w:fill="FFFFFF"/>
        <w:wordWrap w:val="0"/>
        <w:spacing w:before="0" w:beforeAutospacing="0" w:after="0" w:afterAutospacing="0" w:line="360" w:lineRule="auto"/>
        <w:jc w:val="right"/>
        <w:rPr>
          <w:rFonts w:ascii="Times New Roman" w:hAnsi="Times New Roman" w:cs="Times New Roman"/>
          <w:color w:val="333333"/>
          <w:sz w:val="22"/>
          <w:szCs w:val="22"/>
        </w:rPr>
      </w:pPr>
      <w:r>
        <w:rPr>
          <w:rFonts w:ascii="Times New Roman" w:hAnsi="Times New Roman" w:hint="eastAsia"/>
          <w:color w:val="333333"/>
          <w:sz w:val="22"/>
          <w:szCs w:val="22"/>
        </w:rPr>
        <w:t xml:space="preserve">总　理　李克强　</w:t>
      </w:r>
    </w:p>
    <w:p w:rsidR="00A32067" w:rsidRDefault="00A32067">
      <w:pPr>
        <w:pStyle w:val="NormalWeb"/>
        <w:shd w:val="clear" w:color="auto" w:fill="FFFFFF"/>
        <w:spacing w:before="0" w:beforeAutospacing="0" w:after="0" w:afterAutospacing="0" w:line="360" w:lineRule="auto"/>
        <w:jc w:val="right"/>
        <w:rPr>
          <w:rFonts w:ascii="Times New Roman" w:eastAsia="微软雅黑" w:hAnsi="Times New Roman" w:cs="Times New Roman"/>
          <w:color w:val="333333"/>
        </w:rPr>
      </w:pP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7</w:t>
      </w:r>
      <w:r>
        <w:rPr>
          <w:rFonts w:ascii="Times New Roman" w:hAnsi="Times New Roman" w:hint="eastAsia"/>
          <w:color w:val="333333"/>
          <w:sz w:val="22"/>
          <w:szCs w:val="22"/>
        </w:rPr>
        <w:t>月</w:t>
      </w:r>
      <w:r>
        <w:rPr>
          <w:rFonts w:ascii="Times New Roman" w:hAnsi="Times New Roman" w:cs="Times New Roman"/>
          <w:color w:val="333333"/>
          <w:sz w:val="22"/>
          <w:szCs w:val="22"/>
        </w:rPr>
        <w:t>16</w:t>
      </w:r>
      <w:r>
        <w:rPr>
          <w:rFonts w:ascii="Times New Roman" w:hAnsi="Times New Roman" w:hint="eastAsia"/>
          <w:color w:val="333333"/>
          <w:sz w:val="22"/>
          <w:szCs w:val="22"/>
        </w:rPr>
        <w:t>日</w:t>
      </w:r>
      <w:r>
        <w:rPr>
          <w:rFonts w:ascii="Times New Roman" w:eastAsia="微软雅黑" w:hAnsi="Times New Roman" w:cs="微软雅黑" w:hint="eastAsia"/>
          <w:color w:val="333333"/>
        </w:rPr>
        <w:t xml:space="preserve">　　　</w:t>
      </w:r>
    </w:p>
    <w:p w:rsidR="00A32067" w:rsidRDefault="00A32067">
      <w:pPr>
        <w:pStyle w:val="NormalWeb"/>
        <w:shd w:val="clear" w:color="auto" w:fill="FFFFFF"/>
        <w:spacing w:before="0" w:beforeAutospacing="0" w:after="0" w:afterAutospacing="0" w:line="360" w:lineRule="auto"/>
        <w:jc w:val="center"/>
        <w:rPr>
          <w:rFonts w:ascii="Times New Roman" w:eastAsia="微软雅黑" w:hAnsi="Times New Roman" w:cs="Times New Roman"/>
          <w:b/>
          <w:bCs/>
          <w:color w:val="333333"/>
        </w:rPr>
      </w:pP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国务院决定对《建设项目环境保护管理条例》作如下修改：</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一、删去第六条第二款。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二、将第七条第二款修改为：</w:t>
      </w:r>
      <w:r>
        <w:rPr>
          <w:rFonts w:ascii="Times New Roman" w:hAnsi="Times New Roman" w:cs="Times New Roman"/>
          <w:color w:val="333333"/>
          <w:sz w:val="22"/>
          <w:szCs w:val="22"/>
        </w:rPr>
        <w:t>“</w:t>
      </w:r>
      <w:r>
        <w:rPr>
          <w:rFonts w:ascii="Times New Roman" w:hAnsi="Times New Roman" w:hint="eastAsia"/>
          <w:color w:val="333333"/>
          <w:sz w:val="22"/>
          <w:szCs w:val="22"/>
        </w:rPr>
        <w:t>建设项目环境影响评价分类管理名录，由国务院环境保护行政主管部门在组织专家进行论证和征求有关部门、行业协会、企事业单位、公众等意见的基础上制定并公布。</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三、删去第八条第二款。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四、将第九条、第十条合并，作为第九条，修改为：</w:t>
      </w:r>
      <w:r>
        <w:rPr>
          <w:rFonts w:ascii="Times New Roman" w:hAnsi="Times New Roman" w:cs="Times New Roman"/>
          <w:color w:val="333333"/>
          <w:sz w:val="22"/>
          <w:szCs w:val="22"/>
        </w:rPr>
        <w:t>“</w:t>
      </w:r>
      <w:r>
        <w:rPr>
          <w:rFonts w:ascii="Times New Roman" w:hAnsi="Times New Roman" w:hint="eastAsia"/>
          <w:color w:val="333333"/>
          <w:sz w:val="22"/>
          <w:szCs w:val="22"/>
        </w:rPr>
        <w:t>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环境保护行政主管部门审批环境影响报告书、环境影响报告表，应当重点审查建设项目的环境可行性、环境影响分析预测评估的可靠性、环境保护措施的有效性、环境影响评价结论的科学性等，并分别自收到环境影响报告书之日起</w:t>
      </w:r>
      <w:r>
        <w:rPr>
          <w:rFonts w:ascii="Times New Roman" w:hAnsi="Times New Roman" w:cs="Times New Roman"/>
          <w:color w:val="333333"/>
          <w:sz w:val="22"/>
          <w:szCs w:val="22"/>
        </w:rPr>
        <w:t>60</w:t>
      </w:r>
      <w:r>
        <w:rPr>
          <w:rFonts w:ascii="Times New Roman" w:hAnsi="Times New Roman" w:hint="eastAsia"/>
          <w:color w:val="333333"/>
          <w:sz w:val="22"/>
          <w:szCs w:val="22"/>
        </w:rPr>
        <w:t>日内、收到环境影响报告表之日起</w:t>
      </w:r>
      <w:r>
        <w:rPr>
          <w:rFonts w:ascii="Times New Roman" w:hAnsi="Times New Roman" w:cs="Times New Roman"/>
          <w:color w:val="333333"/>
          <w:sz w:val="22"/>
          <w:szCs w:val="22"/>
        </w:rPr>
        <w:t>30</w:t>
      </w:r>
      <w:r>
        <w:rPr>
          <w:rFonts w:ascii="Times New Roman" w:hAnsi="Times New Roman" w:hint="eastAsia"/>
          <w:color w:val="333333"/>
          <w:sz w:val="22"/>
          <w:szCs w:val="22"/>
        </w:rPr>
        <w:t>日内，作出审批决定并书面通知建设单位。</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环境保护行政主管部门可以组织技术机构对建设项目环境影响报告书、环境影响报告表进行技术评估，并承担相应费用；技术机构应当对其提出的技术评估意见负责，不得向建设单位、从事环境影响评价工作的单位收取任何费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依法应当填报环境影响登记表的建设项目，建设单位应当按照国务院环境保护行政主管部门的规定将环境影响登记表报建设项目所在地县级环境保护行政主管部门备案。</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环境保护行政主管部门应当开展环境影响评价文件网上审批、备案和信息公开。</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五、将第十一条改为第十条，删去该条中的</w:t>
      </w:r>
      <w:r>
        <w:rPr>
          <w:rFonts w:ascii="Times New Roman" w:hAnsi="Times New Roman" w:cs="Times New Roman"/>
          <w:color w:val="333333"/>
          <w:sz w:val="22"/>
          <w:szCs w:val="22"/>
        </w:rPr>
        <w:t>“</w:t>
      </w:r>
      <w:r>
        <w:rPr>
          <w:rFonts w:ascii="Times New Roman" w:hAnsi="Times New Roman" w:hint="eastAsia"/>
          <w:color w:val="333333"/>
          <w:sz w:val="22"/>
          <w:szCs w:val="22"/>
        </w:rPr>
        <w:t>或者环境影响登记表</w:t>
      </w:r>
      <w:r>
        <w:rPr>
          <w:rFonts w:ascii="Times New Roman" w:hAnsi="Times New Roman" w:cs="Times New Roman"/>
          <w:color w:val="333333"/>
          <w:sz w:val="22"/>
          <w:szCs w:val="22"/>
        </w:rPr>
        <w:t>”</w:t>
      </w:r>
      <w:r>
        <w:rPr>
          <w:rFonts w:ascii="Times New Roman" w:hAnsi="Times New Roman" w:hint="eastAsia"/>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六、增加一条，作为第十一条：</w:t>
      </w:r>
      <w:r>
        <w:rPr>
          <w:rFonts w:ascii="Times New Roman" w:hAnsi="Times New Roman" w:cs="Times New Roman"/>
          <w:color w:val="333333"/>
          <w:sz w:val="22"/>
          <w:szCs w:val="22"/>
        </w:rPr>
        <w:t>“</w:t>
      </w:r>
      <w:r>
        <w:rPr>
          <w:rFonts w:ascii="Times New Roman" w:hAnsi="Times New Roman" w:hint="eastAsia"/>
          <w:color w:val="333333"/>
          <w:sz w:val="22"/>
          <w:szCs w:val="22"/>
        </w:rPr>
        <w:t>建设项目有下列情形之一的，环境保护行政主管部门应当对环境影响报告书、环境影响报告表作出不予批准的决定：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（一）建设项目类型及其选址、布局、规模等不符合环境保护法律法规和相关法定规划；</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（二）所在区域环境质量未达到国家或者地方环境质量标准，且建设项目拟采取的措施不能满足区域环境质量改善目标管理要求；</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（三）建设项目采取的污染防治措施无法确保污染物排放达到国家和地方排放标准，或者未采取必要措施预防和控制生态破坏；</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（四）改建、扩建和技术改造项目，未针对项目原有环境污染和生态破坏提出有效防治措施；</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（五）建设项目的环境影响报告书、环境影响报告表的基础资料数据明显不实，内容存在重大缺陷、遗漏，或者环境影响评价结论不明确、不合理。</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七、将第十二条修改为：</w:t>
      </w:r>
      <w:r>
        <w:rPr>
          <w:rFonts w:ascii="Times New Roman" w:hAnsi="Times New Roman" w:cs="Times New Roman"/>
          <w:color w:val="333333"/>
          <w:sz w:val="22"/>
          <w:szCs w:val="22"/>
        </w:rPr>
        <w:t>“</w:t>
      </w:r>
      <w:r>
        <w:rPr>
          <w:rFonts w:ascii="Times New Roman" w:hAnsi="Times New Roman" w:hint="eastAsia"/>
          <w:color w:val="333333"/>
          <w:sz w:val="22"/>
          <w:szCs w:val="22"/>
        </w:rPr>
        <w:t>建设项目环境影响报告书、环境影响报告表经批准后，建设项目的性质、规模、地点、采用的生产工艺或者防治污染、防止生态破坏的措施发生重大变动的，建设单位应当重新报批建设项目环境影响报告书、环境影响报告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建设项目环境影响报告书、环境影响报告表自批准之日起满</w:t>
      </w:r>
      <w:r>
        <w:rPr>
          <w:rFonts w:ascii="Times New Roman" w:hAnsi="Times New Roman" w:cs="Times New Roman"/>
          <w:color w:val="333333"/>
          <w:sz w:val="22"/>
          <w:szCs w:val="22"/>
        </w:rPr>
        <w:t>5</w:t>
      </w:r>
      <w:r>
        <w:rPr>
          <w:rFonts w:ascii="Times New Roman" w:hAnsi="Times New Roman" w:hint="eastAsia"/>
          <w:color w:val="333333"/>
          <w:sz w:val="22"/>
          <w:szCs w:val="22"/>
        </w:rPr>
        <w:t>年，建设项目方开工建设的，其环境影响报告书、环境影响报告表应当报原审批部门重新审核。原审批部门应当自收到建设项目环境影响报告书、环境影响报告表之日起</w:t>
      </w:r>
      <w:r>
        <w:rPr>
          <w:rFonts w:ascii="Times New Roman" w:hAnsi="Times New Roman" w:cs="Times New Roman"/>
          <w:color w:val="333333"/>
          <w:sz w:val="22"/>
          <w:szCs w:val="22"/>
        </w:rPr>
        <w:t>10</w:t>
      </w:r>
      <w:r>
        <w:rPr>
          <w:rFonts w:ascii="Times New Roman" w:hAnsi="Times New Roman" w:hint="eastAsia"/>
          <w:color w:val="333333"/>
          <w:sz w:val="22"/>
          <w:szCs w:val="22"/>
        </w:rPr>
        <w:t>日内，将审核意见书面通知建设单位；逾期未通知的，视为审核同意。</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审核、审批建设项目环境影响报告书、环境影响报告表及备案环境影响登记表，不得收取任何费用。</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八、删去第十三条。</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九、将第十七条改为第十六条，修改为：</w:t>
      </w:r>
      <w:r>
        <w:rPr>
          <w:rFonts w:ascii="Times New Roman" w:hAnsi="Times New Roman" w:cs="Times New Roman"/>
          <w:color w:val="333333"/>
          <w:sz w:val="22"/>
          <w:szCs w:val="22"/>
        </w:rPr>
        <w:t>“</w:t>
      </w:r>
      <w:r>
        <w:rPr>
          <w:rFonts w:ascii="Times New Roman" w:hAnsi="Times New Roman" w:hint="eastAsia"/>
          <w:color w:val="333333"/>
          <w:sz w:val="22"/>
          <w:szCs w:val="22"/>
        </w:rPr>
        <w:t>建设项目的初步设计，应当按照环境保护设计规范的要求，编制环境保护篇章，落实防治环境污染和生态破坏的措施以及环境保护设施投资概算。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建设单位应当将环境保护设施建设纳入施工合同，保证环境保护设施建设进度和资金，并在项目建设过程中同时组织实施环境影响报告书、环境影响报告表及其审批部门审批决定中提出的环境保护对策措施。</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十、删去第十八条、第十九条。</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十一、将第二十条改为第十七条，修改为：</w:t>
      </w:r>
      <w:r>
        <w:rPr>
          <w:rFonts w:ascii="Times New Roman" w:hAnsi="Times New Roman" w:cs="Times New Roman"/>
          <w:color w:val="333333"/>
          <w:sz w:val="22"/>
          <w:szCs w:val="22"/>
        </w:rPr>
        <w:t>“</w:t>
      </w:r>
      <w:r>
        <w:rPr>
          <w:rFonts w:ascii="Times New Roman" w:hAnsi="Times New Roman" w:hint="eastAsia"/>
          <w:color w:val="333333"/>
          <w:sz w:val="22"/>
          <w:szCs w:val="22"/>
        </w:rPr>
        <w:t>编制环境影响报告书、环境影响报告表的建设项目竣工后，建设单位应当按照国务院环境保护行政主管部门规定的标准和程序，对配套建设的环境保护设施进行验收，编制验收报告。</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建设单位在环境保护设施验收过程中，应当如实查验、监测、记载建设项目环境保护设施的建设和调试情况，不得弄虚作假。</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除按照国家规定需要保密的情形外，建设单位应当依法向社会公开验收报告。</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十二、删去第二十二条。</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十三、将第二十三条改为第十九条，修改为：</w:t>
      </w:r>
      <w:r>
        <w:rPr>
          <w:rFonts w:ascii="Times New Roman" w:hAnsi="Times New Roman" w:cs="Times New Roman"/>
          <w:color w:val="333333"/>
          <w:sz w:val="22"/>
          <w:szCs w:val="22"/>
        </w:rPr>
        <w:t>“</w:t>
      </w:r>
      <w:r>
        <w:rPr>
          <w:rFonts w:ascii="Times New Roman" w:hAnsi="Times New Roman" w:hint="eastAsia"/>
          <w:color w:val="333333"/>
          <w:sz w:val="22"/>
          <w:szCs w:val="22"/>
        </w:rPr>
        <w:t>编制环境影响报告书、环境影响报告表的建设项目，其配套建设的环境保护设施经验收合格，方可投入生产或者使用；未经验收或者验收不合格的，不得投入生产或者使用。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前款规定的建设项目投入生产或者使用后，应当按照国务院环境保护行政主管部门的规定开展环境影响后评价。</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十四、增加一条，作为第二十条：</w:t>
      </w:r>
      <w:r>
        <w:rPr>
          <w:rFonts w:ascii="Times New Roman" w:hAnsi="Times New Roman" w:cs="Times New Roman"/>
          <w:color w:val="333333"/>
          <w:sz w:val="22"/>
          <w:szCs w:val="22"/>
        </w:rPr>
        <w:t>“</w:t>
      </w:r>
      <w:r>
        <w:rPr>
          <w:rFonts w:ascii="Times New Roman" w:hAnsi="Times New Roman" w:hint="eastAsia"/>
          <w:color w:val="333333"/>
          <w:sz w:val="22"/>
          <w:szCs w:val="22"/>
        </w:rPr>
        <w:t>环境保护行政主管部门应当对建设项目环境保护设施设计、施工、验收、投入生产或者使用情况，以及有关环境影响评价文件确定的其他环境保护措施的落实情况，进行监督检查。</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环境保护行政主管部门应当将建设项目有关环境违法信息记入社会诚信档案，及时向社会公开违法者名单。</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十五、将第二十四条、第二十五条合并，作为第二十一条，修改为：</w:t>
      </w:r>
      <w:r>
        <w:rPr>
          <w:rFonts w:ascii="Times New Roman" w:hAnsi="Times New Roman" w:cs="Times New Roman"/>
          <w:color w:val="333333"/>
          <w:sz w:val="22"/>
          <w:szCs w:val="22"/>
        </w:rPr>
        <w:t>“</w:t>
      </w:r>
      <w:r>
        <w:rPr>
          <w:rFonts w:ascii="Times New Roman" w:hAnsi="Times New Roman" w:hint="eastAsia"/>
          <w:color w:val="333333"/>
          <w:sz w:val="22"/>
          <w:szCs w:val="22"/>
        </w:rPr>
        <w:t>建设单位有下列行为之一的，依照《中华人民共和国环境影响评价法》的规定处罚：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（一）建设项目环境影响报告书、环境影响报告表未依法报批或者报请重新审核，擅自开工建设；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（二）建设项目环境影响报告书、环境影响报告表未经批准或者重新审核同意，擅自开工建设；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（三）建设项目环境影响登记表未依法备案。</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十六、增加一条，作为第二十二条：</w:t>
      </w:r>
      <w:r>
        <w:rPr>
          <w:rFonts w:ascii="Times New Roman" w:hAnsi="Times New Roman" w:cs="Times New Roman"/>
          <w:color w:val="333333"/>
          <w:sz w:val="22"/>
          <w:szCs w:val="22"/>
        </w:rPr>
        <w:t>“</w:t>
      </w:r>
      <w:r>
        <w:rPr>
          <w:rFonts w:ascii="Times New Roman" w:hAnsi="Times New Roman" w:hint="eastAsia"/>
          <w:color w:val="333333"/>
          <w:sz w:val="22"/>
          <w:szCs w:val="22"/>
        </w:rPr>
        <w:t>违反本条例规定，建设单位编制建设项目初步设计未落实防治环境污染和生态破坏的措施以及环境保护设施投资概算，未将环境保护设施建设纳入施工合同，或者未依法开展环境影响后评价的，由建设项目所在地县级以上环境保护行政主管部门责令限期改正，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万元以下的罚款；逾期不改正的，处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违反本条例规定，建设单位在项目建设过程中未同时组织实施环境影响报告书、环境影响报告表及其审批部门审批决定中提出的环境保护对策措施的，由建设项目所在地县级以上环境保护行政主管部门责令限期改正，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万元以下的罚款；逾期不改正的，责令停止建设。</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十七、删去第二十六条、第二十七条。</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十八、将第二十八条改为第二十三条，修改为：</w:t>
      </w:r>
      <w:r>
        <w:rPr>
          <w:rFonts w:ascii="Times New Roman" w:hAnsi="Times New Roman" w:cs="Times New Roman"/>
          <w:color w:val="333333"/>
          <w:sz w:val="22"/>
          <w:szCs w:val="22"/>
        </w:rPr>
        <w:t>“</w:t>
      </w:r>
      <w:r>
        <w:rPr>
          <w:rFonts w:ascii="Times New Roman" w:hAnsi="Times New Roman" w:hint="eastAsia"/>
          <w:color w:val="333333"/>
          <w:sz w:val="22"/>
          <w:szCs w:val="22"/>
        </w:rPr>
        <w:t>违反本条例规定，需要配套建设的环境保护设施未建成、未经验收或者验收不合格，建设项目即投入生产或者使用，或者在环境保护设施验收中弄虚作假的，由县级以上环境保护行政主管部门责令限期改正，处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万元以下的罚款；逾期不改正的，处</w:t>
      </w:r>
      <w:r>
        <w:rPr>
          <w:rFonts w:ascii="Times New Roman" w:hAnsi="Times New Roman" w:cs="Times New Roman"/>
          <w:color w:val="333333"/>
          <w:sz w:val="22"/>
          <w:szCs w:val="22"/>
        </w:rPr>
        <w:t>100</w:t>
      </w:r>
      <w:r>
        <w:rPr>
          <w:rFonts w:ascii="Times New Roman" w:hAnsi="Times New Roman" w:hint="eastAsia"/>
          <w:color w:val="333333"/>
          <w:sz w:val="22"/>
          <w:szCs w:val="22"/>
        </w:rPr>
        <w:t>万元以上</w:t>
      </w:r>
      <w:r>
        <w:rPr>
          <w:rFonts w:ascii="Times New Roman" w:hAnsi="Times New Roman" w:cs="Times New Roman"/>
          <w:color w:val="333333"/>
          <w:sz w:val="22"/>
          <w:szCs w:val="22"/>
        </w:rPr>
        <w:t>200</w:t>
      </w:r>
      <w:r>
        <w:rPr>
          <w:rFonts w:ascii="Times New Roman" w:hAnsi="Times New Roman" w:hint="eastAsia"/>
          <w:color w:val="333333"/>
          <w:sz w:val="22"/>
          <w:szCs w:val="22"/>
        </w:rPr>
        <w:t>万元以下的罚款；对直接负责的主管人员和其他责任人员，处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万元以下的罚款；造成重大环境污染或者生态破坏的，责令停止生产或者使用，或者报经有批准权的人民政府批准，责令关闭。</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违反本条例规定，建设单位未依法向社会公开环境保护设施验收报告的，由县级以上环境保护行政主管部门责令公开，处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万元以下的罚款，并予以公告。</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十九、增加一条，作为第二十四条：</w:t>
      </w:r>
      <w:r>
        <w:rPr>
          <w:rFonts w:ascii="Times New Roman" w:hAnsi="Times New Roman" w:cs="Times New Roman"/>
          <w:color w:val="333333"/>
          <w:sz w:val="22"/>
          <w:szCs w:val="22"/>
        </w:rPr>
        <w:t>“</w:t>
      </w:r>
      <w:r>
        <w:rPr>
          <w:rFonts w:ascii="Times New Roman" w:hAnsi="Times New Roman" w:hint="eastAsia"/>
          <w:color w:val="333333"/>
          <w:sz w:val="22"/>
          <w:szCs w:val="22"/>
        </w:rPr>
        <w:t>违反本条例规定，技术机构向建设单位、从事环境影响评价工作的单位收取费用的，由县级以上环境保护行政主管部门责令退还所收费用，处所收费用</w:t>
      </w:r>
      <w:r>
        <w:rPr>
          <w:rFonts w:ascii="Times New Roman" w:hAnsi="Times New Roman" w:cs="Times New Roman"/>
          <w:color w:val="333333"/>
          <w:sz w:val="22"/>
          <w:szCs w:val="22"/>
        </w:rPr>
        <w:t>1</w:t>
      </w:r>
      <w:r>
        <w:rPr>
          <w:rFonts w:ascii="Times New Roman" w:hAnsi="Times New Roman" w:hint="eastAsia"/>
          <w:color w:val="333333"/>
          <w:sz w:val="22"/>
          <w:szCs w:val="22"/>
        </w:rPr>
        <w:t>倍以上</w:t>
      </w:r>
      <w:r>
        <w:rPr>
          <w:rFonts w:ascii="Times New Roman" w:hAnsi="Times New Roman" w:cs="Times New Roman"/>
          <w:color w:val="333333"/>
          <w:sz w:val="22"/>
          <w:szCs w:val="22"/>
        </w:rPr>
        <w:t>3</w:t>
      </w:r>
      <w:r>
        <w:rPr>
          <w:rFonts w:ascii="Times New Roman" w:hAnsi="Times New Roman" w:hint="eastAsia"/>
          <w:color w:val="333333"/>
          <w:sz w:val="22"/>
          <w:szCs w:val="22"/>
        </w:rPr>
        <w:t>倍以下的罚款。</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二十、将第二十九条改为第二十五条，修改为：</w:t>
      </w:r>
      <w:r>
        <w:rPr>
          <w:rFonts w:ascii="Times New Roman" w:hAnsi="Times New Roman" w:cs="Times New Roman"/>
          <w:color w:val="333333"/>
          <w:sz w:val="22"/>
          <w:szCs w:val="22"/>
        </w:rPr>
        <w:t>“</w:t>
      </w:r>
      <w:r>
        <w:rPr>
          <w:rFonts w:ascii="Times New Roman" w:hAnsi="Times New Roman" w:hint="eastAsia"/>
          <w:color w:val="333333"/>
          <w:sz w:val="22"/>
          <w:szCs w:val="22"/>
        </w:rPr>
        <w:t>从事建设项目环境影响评价工作的单位，在环境影响评价工作中弄虚作假的，由县级以上环境保护行政主管部门处所收费用</w:t>
      </w:r>
      <w:r>
        <w:rPr>
          <w:rFonts w:ascii="Times New Roman" w:hAnsi="Times New Roman" w:cs="Times New Roman"/>
          <w:color w:val="333333"/>
          <w:sz w:val="22"/>
          <w:szCs w:val="22"/>
        </w:rPr>
        <w:t>1</w:t>
      </w:r>
      <w:r>
        <w:rPr>
          <w:rFonts w:ascii="Times New Roman" w:hAnsi="Times New Roman" w:hint="eastAsia"/>
          <w:color w:val="333333"/>
          <w:sz w:val="22"/>
          <w:szCs w:val="22"/>
        </w:rPr>
        <w:t>倍以上</w:t>
      </w:r>
      <w:r>
        <w:rPr>
          <w:rFonts w:ascii="Times New Roman" w:hAnsi="Times New Roman" w:cs="Times New Roman"/>
          <w:color w:val="333333"/>
          <w:sz w:val="22"/>
          <w:szCs w:val="22"/>
        </w:rPr>
        <w:t>3</w:t>
      </w:r>
      <w:r>
        <w:rPr>
          <w:rFonts w:ascii="Times New Roman" w:hAnsi="Times New Roman" w:hint="eastAsia"/>
          <w:color w:val="333333"/>
          <w:sz w:val="22"/>
          <w:szCs w:val="22"/>
        </w:rPr>
        <w:t>倍以下的罚款。</w:t>
      </w:r>
      <w:r>
        <w:rPr>
          <w:rFonts w:ascii="Times New Roman" w:hAnsi="Times New Roman" w:cs="Times New Roman"/>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二十一、将第三十二条改为第二十八条，并将该条中的</w:t>
      </w:r>
      <w:r>
        <w:rPr>
          <w:rFonts w:ascii="Times New Roman" w:hAnsi="Times New Roman" w:cs="Times New Roman"/>
          <w:color w:val="333333"/>
          <w:sz w:val="22"/>
          <w:szCs w:val="22"/>
        </w:rPr>
        <w:t>“</w:t>
      </w:r>
      <w:r>
        <w:rPr>
          <w:rFonts w:ascii="Times New Roman" w:hAnsi="Times New Roman" w:hint="eastAsia"/>
          <w:color w:val="333333"/>
          <w:sz w:val="22"/>
          <w:szCs w:val="22"/>
        </w:rPr>
        <w:t>海洋石油勘探开发</w:t>
      </w:r>
      <w:r>
        <w:rPr>
          <w:rFonts w:ascii="Times New Roman" w:hAnsi="Times New Roman" w:cs="Times New Roman"/>
          <w:color w:val="333333"/>
          <w:sz w:val="22"/>
          <w:szCs w:val="22"/>
        </w:rPr>
        <w:t>”</w:t>
      </w:r>
      <w:r>
        <w:rPr>
          <w:rFonts w:ascii="Times New Roman" w:hAnsi="Times New Roman" w:hint="eastAsia"/>
          <w:color w:val="333333"/>
          <w:sz w:val="22"/>
          <w:szCs w:val="22"/>
        </w:rPr>
        <w:t>修改为</w:t>
      </w:r>
      <w:r>
        <w:rPr>
          <w:rFonts w:ascii="Times New Roman" w:hAnsi="Times New Roman" w:cs="Times New Roman"/>
          <w:color w:val="333333"/>
          <w:sz w:val="22"/>
          <w:szCs w:val="22"/>
        </w:rPr>
        <w:t>“</w:t>
      </w:r>
      <w:r>
        <w:rPr>
          <w:rFonts w:ascii="Times New Roman" w:hAnsi="Times New Roman" w:hint="eastAsia"/>
          <w:color w:val="333333"/>
          <w:sz w:val="22"/>
          <w:szCs w:val="22"/>
        </w:rPr>
        <w:t>海洋工程</w:t>
      </w:r>
      <w:r>
        <w:rPr>
          <w:rFonts w:ascii="Times New Roman" w:hAnsi="Times New Roman" w:cs="Times New Roman"/>
          <w:color w:val="333333"/>
          <w:sz w:val="22"/>
          <w:szCs w:val="22"/>
        </w:rPr>
        <w:t>”</w:t>
      </w:r>
      <w:r>
        <w:rPr>
          <w:rFonts w:ascii="Times New Roman" w:hAnsi="Times New Roman" w:hint="eastAsia"/>
          <w:color w:val="333333"/>
          <w:sz w:val="22"/>
          <w:szCs w:val="22"/>
        </w:rPr>
        <w:t>。</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本决定自</w:t>
      </w: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10</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pStyle w:val="NormalWeb"/>
        <w:shd w:val="clear" w:color="auto" w:fill="FFFFFF"/>
        <w:spacing w:before="0" w:beforeAutospacing="0" w:after="0" w:afterAutospacing="0" w:line="360" w:lineRule="auto"/>
        <w:ind w:firstLine="482"/>
        <w:jc w:val="both"/>
        <w:rPr>
          <w:rFonts w:ascii="Times New Roman" w:eastAsia="微软雅黑" w:hAnsi="Times New Roman" w:cs="Times New Roman"/>
          <w:color w:val="333333"/>
        </w:rPr>
      </w:pPr>
      <w:r>
        <w:rPr>
          <w:rFonts w:ascii="Times New Roman" w:hAnsi="Times New Roman" w:hint="eastAsia"/>
          <w:color w:val="333333"/>
          <w:sz w:val="22"/>
          <w:szCs w:val="22"/>
        </w:rPr>
        <w:t>《建设项目环境保护管理条例》根据本决定作相应修改并对条文序号作相应调整，重新公布。</w:t>
      </w:r>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sectPr w:rsidR="00A32067">
          <w:pgSz w:w="11907" w:h="16840"/>
          <w:pgMar w:top="1134" w:right="1077" w:bottom="1134" w:left="1077" w:header="794" w:footer="567" w:gutter="284"/>
          <w:cols w:space="720"/>
          <w:docGrid w:linePitch="312"/>
        </w:sectPr>
      </w:pPr>
      <w:bookmarkStart w:id="51" w:name="_Toc519872291"/>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pPr>
      <w:r>
        <w:rPr>
          <w:rFonts w:ascii="Times New Roman" w:hAnsi="Times New Roman" w:hint="eastAsia"/>
          <w:b/>
          <w:bCs/>
          <w:color w:val="333333"/>
          <w:sz w:val="44"/>
          <w:szCs w:val="44"/>
        </w:rPr>
        <w:t>建设项目环境保护管理条例</w:t>
      </w:r>
      <w:bookmarkEnd w:id="51"/>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w:t>
      </w:r>
      <w:r>
        <w:rPr>
          <w:rFonts w:ascii="Times New Roman" w:hAnsi="Times New Roman" w:cs="Times New Roman"/>
          <w:color w:val="333333"/>
          <w:sz w:val="22"/>
          <w:szCs w:val="22"/>
        </w:rPr>
        <w:t>1998</w:t>
      </w:r>
      <w:r>
        <w:rPr>
          <w:rFonts w:ascii="Times New Roman" w:hAnsi="Times New Roman" w:hint="eastAsia"/>
          <w:color w:val="333333"/>
          <w:sz w:val="22"/>
          <w:szCs w:val="22"/>
        </w:rPr>
        <w:t>年</w:t>
      </w:r>
      <w:r>
        <w:rPr>
          <w:rFonts w:ascii="Times New Roman" w:hAnsi="Times New Roman" w:cs="Times New Roman"/>
          <w:color w:val="333333"/>
          <w:sz w:val="22"/>
          <w:szCs w:val="22"/>
        </w:rPr>
        <w:t>11</w:t>
      </w:r>
      <w:r>
        <w:rPr>
          <w:rFonts w:ascii="Times New Roman" w:hAnsi="Times New Roman" w:hint="eastAsia"/>
          <w:color w:val="333333"/>
          <w:sz w:val="22"/>
          <w:szCs w:val="22"/>
        </w:rPr>
        <w:t>月</w:t>
      </w:r>
      <w:r>
        <w:rPr>
          <w:rFonts w:ascii="Times New Roman" w:hAnsi="Times New Roman" w:cs="Times New Roman"/>
          <w:color w:val="333333"/>
          <w:sz w:val="22"/>
          <w:szCs w:val="22"/>
        </w:rPr>
        <w:t>29</w:t>
      </w:r>
      <w:r>
        <w:rPr>
          <w:rFonts w:ascii="Times New Roman" w:hAnsi="Times New Roman" w:hint="eastAsia"/>
          <w:color w:val="333333"/>
          <w:sz w:val="22"/>
          <w:szCs w:val="22"/>
        </w:rPr>
        <w:t>日中华人民共和国国务院令第</w:t>
      </w:r>
      <w:r>
        <w:rPr>
          <w:rFonts w:ascii="Times New Roman" w:hAnsi="Times New Roman" w:cs="Times New Roman"/>
          <w:color w:val="333333"/>
          <w:sz w:val="22"/>
          <w:szCs w:val="22"/>
        </w:rPr>
        <w:t>253</w:t>
      </w:r>
      <w:r>
        <w:rPr>
          <w:rFonts w:ascii="Times New Roman" w:hAnsi="Times New Roman" w:hint="eastAsia"/>
          <w:color w:val="333333"/>
          <w:sz w:val="22"/>
          <w:szCs w:val="22"/>
        </w:rPr>
        <w:t>号发布　根据</w:t>
      </w:r>
      <w:r>
        <w:rPr>
          <w:rFonts w:ascii="Times New Roman" w:hAnsi="Times New Roman" w:cs="Times New Roman"/>
          <w:color w:val="333333"/>
          <w:sz w:val="22"/>
          <w:szCs w:val="22"/>
        </w:rPr>
        <w:t>2017</w:t>
      </w:r>
      <w:r>
        <w:rPr>
          <w:rFonts w:ascii="Times New Roman" w:hAnsi="Times New Roman" w:hint="eastAsia"/>
          <w:color w:val="333333"/>
          <w:sz w:val="22"/>
          <w:szCs w:val="22"/>
        </w:rPr>
        <w:t>年</w:t>
      </w:r>
      <w:r>
        <w:rPr>
          <w:rFonts w:ascii="Times New Roman" w:hAnsi="Times New Roman" w:cs="Times New Roman"/>
          <w:color w:val="333333"/>
          <w:sz w:val="22"/>
          <w:szCs w:val="22"/>
        </w:rPr>
        <w:t>7</w:t>
      </w:r>
      <w:r>
        <w:rPr>
          <w:rFonts w:ascii="Times New Roman" w:hAnsi="Times New Roman" w:hint="eastAsia"/>
          <w:color w:val="333333"/>
          <w:sz w:val="22"/>
          <w:szCs w:val="22"/>
        </w:rPr>
        <w:t>月</w:t>
      </w:r>
      <w:r>
        <w:rPr>
          <w:rFonts w:ascii="Times New Roman" w:hAnsi="Times New Roman" w:cs="Times New Roman"/>
          <w:color w:val="333333"/>
          <w:sz w:val="22"/>
          <w:szCs w:val="22"/>
        </w:rPr>
        <w:t>16</w:t>
      </w:r>
      <w:r>
        <w:rPr>
          <w:rFonts w:ascii="Times New Roman" w:hAnsi="Times New Roman" w:hint="eastAsia"/>
          <w:color w:val="333333"/>
          <w:sz w:val="22"/>
          <w:szCs w:val="22"/>
        </w:rPr>
        <w:t>日《国务院关于修改〈建设项目环境保护管理条例〉的决定》修订）</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第一章　总　　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第一条　</w:t>
      </w:r>
      <w:r>
        <w:rPr>
          <w:rFonts w:ascii="Times New Roman" w:hAnsi="Times New Roman" w:hint="eastAsia"/>
          <w:color w:val="333333"/>
          <w:sz w:val="22"/>
          <w:szCs w:val="22"/>
        </w:rPr>
        <w:t>为了防止建设项目产生新的污染、破坏生态环境，制定本条例。</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第二条　</w:t>
      </w:r>
      <w:r>
        <w:rPr>
          <w:rFonts w:ascii="Times New Roman" w:hAnsi="Times New Roman" w:hint="eastAsia"/>
          <w:color w:val="333333"/>
          <w:sz w:val="22"/>
          <w:szCs w:val="22"/>
        </w:rPr>
        <w:t>在中华人民共和国领域和中华人民共和国管辖的其他海域内建设对环境有影响的建设项目，适用本条例。</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第三条　</w:t>
      </w:r>
      <w:r>
        <w:rPr>
          <w:rFonts w:ascii="Times New Roman" w:hAnsi="Times New Roman" w:hint="eastAsia"/>
          <w:color w:val="333333"/>
          <w:sz w:val="22"/>
          <w:szCs w:val="22"/>
        </w:rPr>
        <w:t>建设产生污染的建设项目，必须遵守污染物排放的国家标准和地方标准；在实施重点污染物排放总量控制的区域内，还必须符合重点污染物排放总量控制的要求。</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第四条　</w:t>
      </w:r>
      <w:r>
        <w:rPr>
          <w:rFonts w:ascii="Times New Roman" w:hAnsi="Times New Roman" w:hint="eastAsia"/>
          <w:color w:val="333333"/>
          <w:sz w:val="22"/>
          <w:szCs w:val="22"/>
        </w:rPr>
        <w:t>工业建设项目应当采用能耗物耗小、污染物产生量少的清洁生产工艺，合理利用自然资源，防止环境污染和生态破坏。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第五条　</w:t>
      </w:r>
      <w:r>
        <w:rPr>
          <w:rFonts w:ascii="Times New Roman" w:hAnsi="Times New Roman" w:hint="eastAsia"/>
          <w:color w:val="333333"/>
          <w:sz w:val="22"/>
          <w:szCs w:val="22"/>
        </w:rPr>
        <w:t>改建、扩建项目和技术改造项目必须采取措施，治理与该项目有关的原有环境污染和生态破坏。</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第二章　环境影响评价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第六条　</w:t>
      </w:r>
      <w:r>
        <w:rPr>
          <w:rFonts w:ascii="Times New Roman" w:hAnsi="Times New Roman" w:hint="eastAsia"/>
          <w:color w:val="333333"/>
          <w:sz w:val="22"/>
          <w:szCs w:val="22"/>
        </w:rPr>
        <w:t>国家实行建设项目环境影响评价制度。</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第七条　</w:t>
      </w:r>
      <w:r>
        <w:rPr>
          <w:rFonts w:ascii="Times New Roman" w:hAnsi="Times New Roman" w:hint="eastAsia"/>
          <w:color w:val="333333"/>
          <w:sz w:val="22"/>
          <w:szCs w:val="22"/>
        </w:rPr>
        <w:t>国家根据建设项目对环境的影响程度，按照下列规定对建设项目的环境保护实行分类管理：</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（一）建设项目对环境可能造成重大影响的，应当编制环境影响报告书，对建设项目产生的污染和对环境的影响进行全面、详细的评价；</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（二）建设项目对环境可能造成轻度影响的，应当编制环境影响报告表，对建设项目产生的污染和对环境的影响进行分析或者专项评价；</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（三）建设项目对环境影响很小，不需要进行环境影响评价的，应当填报环境影响登记表。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建设项目环境影响评价分类管理名录，由国务院环境保护行政主管部门在组织专家进行论证和征求有关部门、行业协会、企事业单位、公众等意见的基础上制定并公布。</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第八条　</w:t>
      </w:r>
      <w:r>
        <w:rPr>
          <w:rFonts w:ascii="Times New Roman" w:hAnsi="Times New Roman" w:hint="eastAsia"/>
          <w:color w:val="333333"/>
          <w:sz w:val="22"/>
          <w:szCs w:val="22"/>
        </w:rPr>
        <w:t>建设项目环境影响报告书，应当包括下列内容：</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（一）建设项目概况；</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（二）建设项目周围环境现状；</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（三）建设项目对环境可能造成影响的分析和预测；</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（四）环境保护措施及其经济、技术论证；</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（五）环境影响经济损益分析；</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（六）对建设项目实施环境监测的建议；</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（七）环境影响评价结论。</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建设项目环境影响报告表、环境影响登记表的内容和格式，由国务院环境保护行政主管部门规定。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第九条　</w:t>
      </w:r>
      <w:r>
        <w:rPr>
          <w:rFonts w:ascii="Times New Roman" w:hAnsi="Times New Roman" w:hint="eastAsia"/>
          <w:color w:val="333333"/>
          <w:sz w:val="22"/>
          <w:szCs w:val="22"/>
        </w:rPr>
        <w:t>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行政主管部门审批环境影响报告书、环境影响报告表，应当重点审查建设项目的环境可行性、环境影响分析预测评估的可靠性、环境保护措施的有效性、环境影响评价结论的科学性等，并分别自收到环境影响报告书之日起</w:t>
      </w:r>
      <w:r>
        <w:rPr>
          <w:rFonts w:ascii="Times New Roman" w:hAnsi="Times New Roman" w:cs="Times New Roman"/>
          <w:color w:val="333333"/>
          <w:sz w:val="22"/>
          <w:szCs w:val="22"/>
        </w:rPr>
        <w:t>60</w:t>
      </w:r>
      <w:r>
        <w:rPr>
          <w:rFonts w:ascii="Times New Roman" w:hAnsi="Times New Roman" w:hint="eastAsia"/>
          <w:color w:val="333333"/>
          <w:sz w:val="22"/>
          <w:szCs w:val="22"/>
        </w:rPr>
        <w:t>日内、收到环境影响报告表之日起</w:t>
      </w:r>
      <w:r>
        <w:rPr>
          <w:rFonts w:ascii="Times New Roman" w:hAnsi="Times New Roman" w:cs="Times New Roman"/>
          <w:color w:val="333333"/>
          <w:sz w:val="22"/>
          <w:szCs w:val="22"/>
        </w:rPr>
        <w:t>30</w:t>
      </w:r>
      <w:r>
        <w:rPr>
          <w:rFonts w:ascii="Times New Roman" w:hAnsi="Times New Roman" w:hint="eastAsia"/>
          <w:color w:val="333333"/>
          <w:sz w:val="22"/>
          <w:szCs w:val="22"/>
        </w:rPr>
        <w:t>日内，作出审批决定并书面通知建设单位。</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行政主管部门可以组织技术机构对建设项目环境影响报告书、环境影响报告表进行技术评估，并承担相应费用；技术机构应当对其提出的技术评估意见负责，不得向建设单位、从事环境影响评价工作的单位收取任何费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依法应当填报环境影响登记表的建设项目，建设单位应当按照国务院环境保护行政主管部门的规定将环境影响登记表报建设项目所在地县级环境保护行政主管部门备案。</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环境保护行政主管部门应当开展环境影响评价文件网上审批、备案和信息公开。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第十条　</w:t>
      </w:r>
      <w:r>
        <w:rPr>
          <w:rFonts w:ascii="Times New Roman" w:hAnsi="Times New Roman" w:hint="eastAsia"/>
          <w:color w:val="333333"/>
          <w:sz w:val="22"/>
          <w:szCs w:val="22"/>
        </w:rPr>
        <w:t>国务院环境保护行政主管部门负责审批下列建设项目环境影响报告书、环境影响报告表：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（一）核设施、绝密工程等特殊性质的建设项目；</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（二）跨省、自治区、直辖市行政区域的建设项目；</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（三）国务院审批的或者国务院授权有关部门审批的建设项目。</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前款规定以外的建设项目环境影响报告书、环境影响报告表的审批权限，由省、自治区、直辖市人民政府规定。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建设项目造成跨行政区域环境影响，有关环境保护行政主管部门对环境影响评价结论有争议的，其环境影响报告书或者环境影响报告表由共同上一级环境保护行政主管部门审批。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第十一条　</w:t>
      </w:r>
      <w:r>
        <w:rPr>
          <w:rFonts w:ascii="Times New Roman" w:hAnsi="Times New Roman" w:hint="eastAsia"/>
          <w:color w:val="333333"/>
          <w:sz w:val="22"/>
          <w:szCs w:val="22"/>
        </w:rPr>
        <w:t>建设项目有下列情形之一的，环境保护行政主管部门应当对环境影响报告书、环境影响报告表作出不予批准的决定：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（一）建设项目类型及其选址、布局、规模等不符合环境保护法律法规和相关法定规划；</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（二）所在区域环境质量未达到国家或者地方环境质量标准，且建设项目拟采取的措施不能满足区域环境质量改善目标管理要求；</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（三）建设项目采取的污染防治措施无法确保污染物排放达到国家和地方排放标准，或者未采取必要措施预防和控制生态破坏；</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（四）改建、扩建和技术改造项目，未针对项目原有环境污染和生态破坏提出有效防治措施；</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（五）建设项目的环境影响报告书、环境影响报告表的基础资料数据明显不实，内容存在重大缺陷、遗漏，或者环境影响评价结论不明确、不合理。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第十二条　</w:t>
      </w:r>
      <w:r>
        <w:rPr>
          <w:rFonts w:ascii="Times New Roman" w:hAnsi="Times New Roman" w:hint="eastAsia"/>
          <w:color w:val="333333"/>
          <w:sz w:val="22"/>
          <w:szCs w:val="22"/>
        </w:rPr>
        <w:t>建设项目环境影响报告书、环境影响报告表经批准后，建设项目的性质、规模、地点、采用的生产工艺或者防治污染、防止生态破坏的措施发生重大变动的，建设单位应当重新报批建设项目环境影响报告书、环境影响报告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建设项目环境影响报告书、环境影响报告表自批准之日起满</w:t>
      </w:r>
      <w:r>
        <w:rPr>
          <w:rFonts w:ascii="Times New Roman" w:hAnsi="Times New Roman" w:cs="Times New Roman"/>
          <w:color w:val="333333"/>
          <w:sz w:val="22"/>
          <w:szCs w:val="22"/>
        </w:rPr>
        <w:t>5</w:t>
      </w:r>
      <w:r>
        <w:rPr>
          <w:rFonts w:ascii="Times New Roman" w:hAnsi="Times New Roman" w:hint="eastAsia"/>
          <w:color w:val="333333"/>
          <w:sz w:val="22"/>
          <w:szCs w:val="22"/>
        </w:rPr>
        <w:t>年，建设项目方开工建设的，其环境影响报告书、环境影响报告表应当报原审批部门重新审核。原审批部门应当自收到建设项目环境影响报告书、环境影响报告表之日起</w:t>
      </w:r>
      <w:r>
        <w:rPr>
          <w:rFonts w:ascii="Times New Roman" w:hAnsi="Times New Roman" w:cs="Times New Roman"/>
          <w:color w:val="333333"/>
          <w:sz w:val="22"/>
          <w:szCs w:val="22"/>
        </w:rPr>
        <w:t>10</w:t>
      </w:r>
      <w:r>
        <w:rPr>
          <w:rFonts w:ascii="Times New Roman" w:hAnsi="Times New Roman" w:hint="eastAsia"/>
          <w:color w:val="333333"/>
          <w:sz w:val="22"/>
          <w:szCs w:val="22"/>
        </w:rPr>
        <w:t>日内，将审核意见书面通知建设单位；逾期未通知的，视为审核同意。</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审核、审批建设项目环境影响报告书、环境影响报告表及备案环境影响登记表，不得收取任何费用。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第十三条　</w:t>
      </w:r>
      <w:r>
        <w:rPr>
          <w:rFonts w:ascii="Times New Roman" w:hAnsi="Times New Roman" w:hint="eastAsia"/>
          <w:color w:val="333333"/>
          <w:sz w:val="22"/>
          <w:szCs w:val="22"/>
        </w:rPr>
        <w:t>建设单位可以采取公开招标的方式，选择从事环境影响评价工作的单位，对建设项目进行环境影响评价。</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任何行政机关不得为建设单位指定从事环境影响评价工作的单位，进行环境影响评价。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第十四条　</w:t>
      </w:r>
      <w:r>
        <w:rPr>
          <w:rFonts w:ascii="Times New Roman" w:hAnsi="Times New Roman" w:hint="eastAsia"/>
          <w:color w:val="333333"/>
          <w:sz w:val="22"/>
          <w:szCs w:val="22"/>
        </w:rPr>
        <w:t>建设单位编制环境影响报告书，应当依照有关法律规定，征求建设项目所在地有关单位和居民的意见。</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第三章　环境保护设施建设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第十五条　</w:t>
      </w:r>
      <w:r>
        <w:rPr>
          <w:rFonts w:ascii="Times New Roman" w:hAnsi="Times New Roman" w:hint="eastAsia"/>
          <w:color w:val="333333"/>
          <w:sz w:val="22"/>
          <w:szCs w:val="22"/>
        </w:rPr>
        <w:t>建设项目需要配套建设的环境保护设施，必须与主体工程同时设计、同时施工、同时投产使用。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第十六条　</w:t>
      </w:r>
      <w:r>
        <w:rPr>
          <w:rFonts w:ascii="Times New Roman" w:hAnsi="Times New Roman" w:hint="eastAsia"/>
          <w:color w:val="333333"/>
          <w:sz w:val="22"/>
          <w:szCs w:val="22"/>
        </w:rPr>
        <w:t>建设项目的初步设计，应当按照环境保护设计规范的要求，编制环境保护篇章，落实防治环境污染和生态破坏的措施以及环境保护设施投资概算。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建设单位应当将环境保护设施建设纳入施工合同，保证环境保护设施建设进度和资金，并在项目建设过程中同时组织实施环境影响报告书、环境影响报告表及其审批部门审批决定中提出的环境保护对策措施。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第十七条　</w:t>
      </w:r>
      <w:r>
        <w:rPr>
          <w:rFonts w:ascii="Times New Roman" w:hAnsi="Times New Roman" w:hint="eastAsia"/>
          <w:color w:val="333333"/>
          <w:sz w:val="22"/>
          <w:szCs w:val="22"/>
        </w:rPr>
        <w:t>编制环境影响报告书、环境影响报告表的建设项目竣工后，建设单位应当按照国务院环境保护行政主管部门规定的标准和程序，对配套建设的环境保护设施进行验收，编制验收报告。</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建设单位在环境保护设施验收过程中，应当如实查验、监测、记载建设项目环境保护设施的建设和调试情况，不得弄虚作假。</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除按照国家规定需要保密的情形外，建设单位应当依法向社会公开验收报告。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第十八条　</w:t>
      </w:r>
      <w:r>
        <w:rPr>
          <w:rFonts w:ascii="Times New Roman" w:hAnsi="Times New Roman" w:hint="eastAsia"/>
          <w:color w:val="333333"/>
          <w:sz w:val="22"/>
          <w:szCs w:val="22"/>
        </w:rPr>
        <w:t>分期建设、分期投入生产或者使用的建设项目，其相应的环境保护设施应当分期验收。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第十九条　</w:t>
      </w:r>
      <w:r>
        <w:rPr>
          <w:rFonts w:ascii="Times New Roman" w:hAnsi="Times New Roman" w:hint="eastAsia"/>
          <w:color w:val="333333"/>
          <w:sz w:val="22"/>
          <w:szCs w:val="22"/>
        </w:rPr>
        <w:t>编制环境影响报告书、环境影响报告表的建设项目，其配套建设的环境保护设施经验收合格，方可投入生产或者使用；未经验收或者验收不合格的，不得投入生产或者使用。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前款规定的建设项目投入生产或者使用后，应当按照国务院环境保护行政主管部门的规定开展环境影响后评价。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第二十条　</w:t>
      </w:r>
      <w:r>
        <w:rPr>
          <w:rFonts w:ascii="Times New Roman" w:hAnsi="Times New Roman" w:hint="eastAsia"/>
          <w:color w:val="333333"/>
          <w:sz w:val="22"/>
          <w:szCs w:val="22"/>
        </w:rPr>
        <w:t>环境保护行政主管部门应当对建设项目环境保护设施设计、施工、验收、投入生产或者使用情况，以及有关环境影响评价文件确定的其他环境保护措施的落实情况，进行监督检查。</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环境保护行政主管部门应当将建设项目有关环境违法信息记入社会诚信档案，及时向社会公开违法者名单。</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第四章　法律责任</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第二十一条　</w:t>
      </w:r>
      <w:r>
        <w:rPr>
          <w:rFonts w:ascii="Times New Roman" w:hAnsi="Times New Roman" w:hint="eastAsia"/>
          <w:color w:val="333333"/>
          <w:sz w:val="22"/>
          <w:szCs w:val="22"/>
        </w:rPr>
        <w:t>建设单位有下列行为之一的，依照《中华人民共和国环境影响评价法》的规定处罚：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（一）建设项目环境影响报告书、环境影响报告表未依法报批或者报请重新审核，擅自开工建设；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（二）建设项目环境影响报告书、环境影响报告表未经批准或者重新审核同意，擅自开工建设；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（三）建设项目环境影响登记表未依法备案。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第二十二条　</w:t>
      </w:r>
      <w:r>
        <w:rPr>
          <w:rFonts w:ascii="Times New Roman" w:hAnsi="Times New Roman" w:hint="eastAsia"/>
          <w:color w:val="333333"/>
          <w:sz w:val="22"/>
          <w:szCs w:val="22"/>
        </w:rPr>
        <w:t>违反本条例规定，建设单位编制建设项目初步设计未落实防治环境污染和生态破坏的措施以及环境保护设施投资概算，未将环境保护设施建设纳入施工合同，或者未依法开展环境影响后评价的，由建设项目所在地县级以上环境保护行政主管部门责令限期改正，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万元以下的罚款；逾期不改正的，处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违反本条例规定，建设单位在项目建设过程中未同时组织实施环境影响报告书、环境影响报告表及其审批部门审批决定中提出的环境保护对策措施的，由建设项目所在地县级以上环境保护行政主管部门责令限期改正，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万元以下的罚款；逾期不改正的，责令停止建设。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第二十三条　</w:t>
      </w:r>
      <w:r>
        <w:rPr>
          <w:rFonts w:ascii="Times New Roman" w:hAnsi="Times New Roman" w:hint="eastAsia"/>
          <w:color w:val="333333"/>
          <w:sz w:val="22"/>
          <w:szCs w:val="22"/>
        </w:rPr>
        <w:t>违反本条例规定，需要配套建设的环境保护设施未建成、未经验收或者验收不合格，建设项目即投入生产或者使用，或者在环境保护设施验收中弄虚作假的，由县级以上环境保护行政主管部门责令限期改正，处</w:t>
      </w:r>
      <w:r>
        <w:rPr>
          <w:rFonts w:ascii="Times New Roman" w:hAnsi="Times New Roman" w:cs="Times New Roman"/>
          <w:color w:val="333333"/>
          <w:sz w:val="22"/>
          <w:szCs w:val="22"/>
        </w:rPr>
        <w:t>20</w:t>
      </w:r>
      <w:r>
        <w:rPr>
          <w:rFonts w:ascii="Times New Roman" w:hAnsi="Times New Roman" w:hint="eastAsia"/>
          <w:color w:val="333333"/>
          <w:sz w:val="22"/>
          <w:szCs w:val="22"/>
        </w:rPr>
        <w:t>万元以上</w:t>
      </w:r>
      <w:r>
        <w:rPr>
          <w:rFonts w:ascii="Times New Roman" w:hAnsi="Times New Roman" w:cs="Times New Roman"/>
          <w:color w:val="333333"/>
          <w:sz w:val="22"/>
          <w:szCs w:val="22"/>
        </w:rPr>
        <w:t>100</w:t>
      </w:r>
      <w:r>
        <w:rPr>
          <w:rFonts w:ascii="Times New Roman" w:hAnsi="Times New Roman" w:hint="eastAsia"/>
          <w:color w:val="333333"/>
          <w:sz w:val="22"/>
          <w:szCs w:val="22"/>
        </w:rPr>
        <w:t>万元以下的罚款；逾期不改正的，处</w:t>
      </w:r>
      <w:r>
        <w:rPr>
          <w:rFonts w:ascii="Times New Roman" w:hAnsi="Times New Roman" w:cs="Times New Roman"/>
          <w:color w:val="333333"/>
          <w:sz w:val="22"/>
          <w:szCs w:val="22"/>
        </w:rPr>
        <w:t>100</w:t>
      </w:r>
      <w:r>
        <w:rPr>
          <w:rFonts w:ascii="Times New Roman" w:hAnsi="Times New Roman" w:hint="eastAsia"/>
          <w:color w:val="333333"/>
          <w:sz w:val="22"/>
          <w:szCs w:val="22"/>
        </w:rPr>
        <w:t>万元以上</w:t>
      </w:r>
      <w:r>
        <w:rPr>
          <w:rFonts w:ascii="Times New Roman" w:hAnsi="Times New Roman" w:cs="Times New Roman"/>
          <w:color w:val="333333"/>
          <w:sz w:val="22"/>
          <w:szCs w:val="22"/>
        </w:rPr>
        <w:t>200</w:t>
      </w:r>
      <w:r>
        <w:rPr>
          <w:rFonts w:ascii="Times New Roman" w:hAnsi="Times New Roman" w:hint="eastAsia"/>
          <w:color w:val="333333"/>
          <w:sz w:val="22"/>
          <w:szCs w:val="22"/>
        </w:rPr>
        <w:t>万元以下的罚款；对直接负责的主管人员和其他责任人员，处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万元以下的罚款；造成重大环境污染或者生态破坏的，责令停止生产或者使用，或者报经有批准权的人民政府批准，责令关闭。</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违反本条例规定，建设单位未依法向社会公开环境保护设施验收报告的，由县级以上环境保护行政主管部门责令公开，处</w:t>
      </w:r>
      <w:r>
        <w:rPr>
          <w:rFonts w:ascii="Times New Roman" w:hAnsi="Times New Roman" w:cs="Times New Roman"/>
          <w:color w:val="333333"/>
          <w:sz w:val="22"/>
          <w:szCs w:val="22"/>
        </w:rPr>
        <w:t>5</w:t>
      </w:r>
      <w:r>
        <w:rPr>
          <w:rFonts w:ascii="Times New Roman" w:hAnsi="Times New Roman" w:hint="eastAsia"/>
          <w:color w:val="333333"/>
          <w:sz w:val="22"/>
          <w:szCs w:val="22"/>
        </w:rPr>
        <w:t>万元以上</w:t>
      </w:r>
      <w:r>
        <w:rPr>
          <w:rFonts w:ascii="Times New Roman" w:hAnsi="Times New Roman" w:cs="Times New Roman"/>
          <w:color w:val="333333"/>
          <w:sz w:val="22"/>
          <w:szCs w:val="22"/>
        </w:rPr>
        <w:t>20</w:t>
      </w:r>
      <w:r>
        <w:rPr>
          <w:rFonts w:ascii="Times New Roman" w:hAnsi="Times New Roman" w:hint="eastAsia"/>
          <w:color w:val="333333"/>
          <w:sz w:val="22"/>
          <w:szCs w:val="22"/>
        </w:rPr>
        <w:t>万元以下的罚款，并予以公告。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第二十四条　</w:t>
      </w:r>
      <w:r>
        <w:rPr>
          <w:rFonts w:ascii="Times New Roman" w:hAnsi="Times New Roman" w:hint="eastAsia"/>
          <w:color w:val="333333"/>
          <w:sz w:val="22"/>
          <w:szCs w:val="22"/>
        </w:rPr>
        <w:t>违反本条例规定，技术机构向建设单位、从事环境影响评价工作的单位收取费用的，由县级以上环境保护行政主管部门责令退还所收费用，处所收费用</w:t>
      </w:r>
      <w:r>
        <w:rPr>
          <w:rFonts w:ascii="Times New Roman" w:hAnsi="Times New Roman" w:cs="Times New Roman"/>
          <w:color w:val="333333"/>
          <w:sz w:val="22"/>
          <w:szCs w:val="22"/>
        </w:rPr>
        <w:t>1</w:t>
      </w:r>
      <w:r>
        <w:rPr>
          <w:rFonts w:ascii="Times New Roman" w:hAnsi="Times New Roman" w:hint="eastAsia"/>
          <w:color w:val="333333"/>
          <w:sz w:val="22"/>
          <w:szCs w:val="22"/>
        </w:rPr>
        <w:t>倍以上</w:t>
      </w:r>
      <w:r>
        <w:rPr>
          <w:rFonts w:ascii="Times New Roman" w:hAnsi="Times New Roman" w:cs="Times New Roman"/>
          <w:color w:val="333333"/>
          <w:sz w:val="22"/>
          <w:szCs w:val="22"/>
        </w:rPr>
        <w:t>3</w:t>
      </w:r>
      <w:r>
        <w:rPr>
          <w:rFonts w:ascii="Times New Roman" w:hAnsi="Times New Roman" w:hint="eastAsia"/>
          <w:color w:val="333333"/>
          <w:sz w:val="22"/>
          <w:szCs w:val="22"/>
        </w:rPr>
        <w:t>倍以下的罚款。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第二十五条　</w:t>
      </w:r>
      <w:r>
        <w:rPr>
          <w:rFonts w:ascii="Times New Roman" w:hAnsi="Times New Roman" w:hint="eastAsia"/>
          <w:color w:val="333333"/>
          <w:sz w:val="22"/>
          <w:szCs w:val="22"/>
        </w:rPr>
        <w:t>从事建设项目环境影响评价工作的单位，在环境影响评价工作中弄虚作假的，由县级以上环境保护行政主管部门处所收费用</w:t>
      </w:r>
      <w:r>
        <w:rPr>
          <w:rFonts w:ascii="Times New Roman" w:hAnsi="Times New Roman" w:cs="Times New Roman"/>
          <w:color w:val="333333"/>
          <w:sz w:val="22"/>
          <w:szCs w:val="22"/>
        </w:rPr>
        <w:t>1</w:t>
      </w:r>
      <w:r>
        <w:rPr>
          <w:rFonts w:ascii="Times New Roman" w:hAnsi="Times New Roman" w:hint="eastAsia"/>
          <w:color w:val="333333"/>
          <w:sz w:val="22"/>
          <w:szCs w:val="22"/>
        </w:rPr>
        <w:t>倍以上</w:t>
      </w:r>
      <w:r>
        <w:rPr>
          <w:rFonts w:ascii="Times New Roman" w:hAnsi="Times New Roman" w:cs="Times New Roman"/>
          <w:color w:val="333333"/>
          <w:sz w:val="22"/>
          <w:szCs w:val="22"/>
        </w:rPr>
        <w:t>3</w:t>
      </w:r>
      <w:r>
        <w:rPr>
          <w:rFonts w:ascii="Times New Roman" w:hAnsi="Times New Roman" w:hint="eastAsia"/>
          <w:color w:val="333333"/>
          <w:sz w:val="22"/>
          <w:szCs w:val="22"/>
        </w:rPr>
        <w:t>倍以下的罚款。</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第二十六条　</w:t>
      </w:r>
      <w:r>
        <w:rPr>
          <w:rFonts w:ascii="Times New Roman" w:hAnsi="Times New Roman" w:hint="eastAsia"/>
          <w:color w:val="333333"/>
          <w:sz w:val="22"/>
          <w:szCs w:val="22"/>
        </w:rPr>
        <w:t>环境保护行政主管部门的工作人员徇私舞弊、滥用职权、玩忽职守，构成犯罪的，依法追究刑事责任；尚不构成犯罪的，依法给予行政处分。</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第五章　附　　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第二十七条　</w:t>
      </w:r>
      <w:r>
        <w:rPr>
          <w:rFonts w:ascii="Times New Roman" w:hAnsi="Times New Roman" w:hint="eastAsia"/>
          <w:color w:val="333333"/>
          <w:sz w:val="22"/>
          <w:szCs w:val="22"/>
        </w:rPr>
        <w:t>流域开发、开发区建设、城市新区建设和旧区改建等区域性开发，编制建设规划时，应当进行环境影响评价。具体办法由国务院环境保护行政主管部门会同国务院有关部门另行规定。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第二十八条　</w:t>
      </w:r>
      <w:r>
        <w:rPr>
          <w:rFonts w:ascii="Times New Roman" w:hAnsi="Times New Roman" w:hint="eastAsia"/>
          <w:color w:val="333333"/>
          <w:sz w:val="22"/>
          <w:szCs w:val="22"/>
        </w:rPr>
        <w:t>海洋工程建设项目的环境保护管理，按照国务院关于海洋工程环境保护管理的规定执行。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 xml:space="preserve">第二十九条　</w:t>
      </w:r>
      <w:r>
        <w:rPr>
          <w:rFonts w:ascii="Times New Roman" w:hAnsi="Times New Roman" w:hint="eastAsia"/>
          <w:color w:val="333333"/>
          <w:sz w:val="22"/>
          <w:szCs w:val="22"/>
        </w:rPr>
        <w:t>军事设施建设项目的环境保护管理，按照中央军事委员会的有关规定执行。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第三十条</w:t>
      </w:r>
      <w:r>
        <w:rPr>
          <w:rFonts w:ascii="Times New Roman" w:hAnsi="Times New Roman" w:hint="eastAsia"/>
          <w:color w:val="333333"/>
          <w:sz w:val="22"/>
          <w:szCs w:val="22"/>
        </w:rPr>
        <w:t xml:space="preserve">　本条例自发布之日起施行。</w:t>
      </w:r>
    </w:p>
    <w:p w:rsidR="00A32067" w:rsidRDefault="00A32067">
      <w:pPr>
        <w:rPr>
          <w:color w:val="333333"/>
          <w:kern w:val="0"/>
          <w:sz w:val="22"/>
          <w:szCs w:val="22"/>
        </w:rPr>
      </w:pPr>
    </w:p>
    <w:p w:rsidR="00A32067" w:rsidRDefault="00A32067">
      <w:pPr>
        <w:spacing w:line="220" w:lineRule="atLeast"/>
      </w:pPr>
      <w:r>
        <w:br w:type="page"/>
      </w:r>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pPr>
      <w:bookmarkStart w:id="52" w:name="_Toc519872292"/>
      <w:r>
        <w:rPr>
          <w:rFonts w:ascii="Times New Roman" w:hAnsi="Times New Roman" w:hint="eastAsia"/>
          <w:b/>
          <w:bCs/>
          <w:color w:val="333333"/>
          <w:sz w:val="44"/>
          <w:szCs w:val="44"/>
        </w:rPr>
        <w:t>中华人民共和国环境保护税法</w:t>
      </w:r>
      <w:bookmarkEnd w:id="52"/>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w:t>
      </w:r>
      <w:r>
        <w:rPr>
          <w:rFonts w:ascii="Times New Roman" w:hAnsi="Times New Roman" w:cs="Times New Roman"/>
          <w:sz w:val="22"/>
          <w:szCs w:val="22"/>
        </w:rPr>
        <w:t>2016</w:t>
      </w:r>
      <w:r>
        <w:rPr>
          <w:rFonts w:ascii="Times New Roman" w:hAnsi="Times New Roman" w:hint="eastAsia"/>
          <w:sz w:val="22"/>
          <w:szCs w:val="22"/>
        </w:rPr>
        <w:t>年</w:t>
      </w:r>
      <w:r>
        <w:rPr>
          <w:rFonts w:ascii="Times New Roman" w:hAnsi="Times New Roman" w:cs="Times New Roman"/>
          <w:sz w:val="22"/>
          <w:szCs w:val="22"/>
        </w:rPr>
        <w:t>12</w:t>
      </w:r>
      <w:r>
        <w:rPr>
          <w:rFonts w:ascii="Times New Roman" w:hAnsi="Times New Roman" w:hint="eastAsia"/>
          <w:sz w:val="22"/>
          <w:szCs w:val="22"/>
        </w:rPr>
        <w:t>月</w:t>
      </w:r>
      <w:r>
        <w:rPr>
          <w:rFonts w:ascii="Times New Roman" w:hAnsi="Times New Roman" w:cs="Times New Roman"/>
          <w:sz w:val="22"/>
          <w:szCs w:val="22"/>
        </w:rPr>
        <w:t>25</w:t>
      </w:r>
      <w:r>
        <w:rPr>
          <w:rFonts w:ascii="Times New Roman" w:hAnsi="Times New Roman" w:hint="eastAsia"/>
          <w:sz w:val="22"/>
          <w:szCs w:val="22"/>
        </w:rPr>
        <w:t>日第十二届全国人民代表大会常务委员会第二十五次会议通过）</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p>
    <w:p w:rsidR="00A32067" w:rsidRDefault="00A32067">
      <w:pPr>
        <w:pStyle w:val="NormalWeb"/>
        <w:shd w:val="clear" w:color="auto" w:fill="FFFFFF"/>
        <w:spacing w:before="0" w:beforeAutospacing="0" w:after="0" w:afterAutospacing="0" w:line="360" w:lineRule="auto"/>
        <w:ind w:firstLine="615"/>
        <w:jc w:val="center"/>
        <w:rPr>
          <w:rFonts w:ascii="Times New Roman" w:hAnsi="Times New Roman" w:cs="Times New Roman"/>
          <w:b/>
          <w:bCs/>
          <w:color w:val="333333"/>
          <w:sz w:val="36"/>
          <w:szCs w:val="36"/>
        </w:rPr>
      </w:pPr>
      <w:r>
        <w:rPr>
          <w:rFonts w:ascii="Times New Roman" w:hAnsi="Times New Roman" w:hint="eastAsia"/>
          <w:b/>
          <w:bCs/>
          <w:color w:val="333333"/>
          <w:sz w:val="36"/>
          <w:szCs w:val="36"/>
        </w:rPr>
        <w:t>目</w:t>
      </w:r>
      <w:r>
        <w:rPr>
          <w:rFonts w:ascii="Times New Roman" w:hAnsi="Times New Roman" w:cs="Times New Roman"/>
          <w:b/>
          <w:bCs/>
          <w:color w:val="333333"/>
          <w:sz w:val="36"/>
          <w:szCs w:val="36"/>
        </w:rPr>
        <w:t xml:space="preserve">  </w:t>
      </w:r>
      <w:r>
        <w:rPr>
          <w:rFonts w:ascii="Times New Roman" w:hAnsi="Times New Roman" w:hint="eastAsia"/>
          <w:b/>
          <w:bCs/>
          <w:color w:val="333333"/>
          <w:sz w:val="36"/>
          <w:szCs w:val="36"/>
        </w:rPr>
        <w:t>录</w:t>
      </w:r>
    </w:p>
    <w:p w:rsidR="00A32067" w:rsidRDefault="00A32067">
      <w:pPr>
        <w:pStyle w:val="NormalWeb"/>
        <w:shd w:val="clear" w:color="auto" w:fill="FFFFFF"/>
        <w:spacing w:before="0" w:beforeAutospacing="0" w:after="0" w:afterAutospacing="0" w:line="360" w:lineRule="auto"/>
        <w:ind w:firstLine="615"/>
        <w:jc w:val="center"/>
        <w:rPr>
          <w:rFonts w:ascii="Times New Roman" w:hAnsi="Times New Roman" w:cs="Times New Roman"/>
          <w:b/>
          <w:bCs/>
          <w:color w:val="333333"/>
          <w:sz w:val="36"/>
          <w:szCs w:val="36"/>
        </w:rPr>
      </w:pPr>
    </w:p>
    <w:p w:rsidR="00A32067" w:rsidRDefault="00A32067">
      <w:pPr>
        <w:pStyle w:val="NormalWeb"/>
        <w:shd w:val="clear" w:color="auto" w:fill="FFFFFF"/>
        <w:spacing w:before="0" w:beforeAutospacing="0" w:after="0" w:afterAutospacing="0" w:line="360" w:lineRule="auto"/>
        <w:ind w:firstLine="615"/>
        <w:jc w:val="center"/>
        <w:rPr>
          <w:rFonts w:ascii="Times New Roman" w:hAnsi="Times New Roman" w:cs="Times New Roman"/>
          <w:b/>
          <w:bCs/>
          <w:color w:val="333333"/>
          <w:sz w:val="36"/>
          <w:szCs w:val="36"/>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color w:val="333333"/>
          <w:sz w:val="22"/>
          <w:szCs w:val="22"/>
        </w:rPr>
      </w:pPr>
      <w:r>
        <w:rPr>
          <w:rFonts w:ascii="Times New Roman" w:hAnsi="Times New Roman" w:hint="eastAsia"/>
          <w:color w:val="000000"/>
        </w:rPr>
        <w:t xml:space="preserve">　</w:t>
      </w:r>
      <w:r>
        <w:rPr>
          <w:rFonts w:ascii="Times New Roman" w:hAnsi="Times New Roman" w:hint="eastAsia"/>
          <w:b/>
          <w:bCs/>
          <w:color w:val="000000"/>
        </w:rPr>
        <w:t xml:space="preserve">　</w:t>
      </w:r>
      <w:r>
        <w:rPr>
          <w:rFonts w:ascii="Times New Roman" w:hAnsi="Times New Roman" w:hint="eastAsia"/>
          <w:b/>
          <w:bCs/>
          <w:color w:val="333333"/>
          <w:sz w:val="22"/>
          <w:szCs w:val="22"/>
        </w:rPr>
        <w:t>第一章</w:t>
      </w:r>
      <w:r>
        <w:rPr>
          <w:rFonts w:ascii="Times New Roman" w:hAnsi="Times New Roman" w:cs="Times New Roman"/>
          <w:b/>
          <w:bCs/>
          <w:color w:val="333333"/>
          <w:sz w:val="22"/>
          <w:szCs w:val="22"/>
        </w:rPr>
        <w:t>  </w:t>
      </w:r>
      <w:r>
        <w:rPr>
          <w:rFonts w:ascii="Times New Roman" w:hAnsi="Times New Roman" w:hint="eastAsia"/>
          <w:b/>
          <w:bCs/>
          <w:color w:val="333333"/>
          <w:sz w:val="22"/>
          <w:szCs w:val="22"/>
        </w:rPr>
        <w:t>总则</w:t>
      </w: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color w:val="333333"/>
          <w:sz w:val="22"/>
          <w:szCs w:val="22"/>
        </w:rPr>
      </w:pPr>
      <w:r>
        <w:rPr>
          <w:rFonts w:ascii="Times New Roman" w:hAnsi="Times New Roman" w:hint="eastAsia"/>
          <w:b/>
          <w:bCs/>
          <w:color w:val="333333"/>
          <w:sz w:val="22"/>
          <w:szCs w:val="22"/>
        </w:rPr>
        <w:t xml:space="preserve">　　第二章</w:t>
      </w:r>
      <w:r>
        <w:rPr>
          <w:rFonts w:ascii="Times New Roman" w:hAnsi="Times New Roman" w:cs="Times New Roman"/>
          <w:b/>
          <w:bCs/>
          <w:color w:val="333333"/>
          <w:sz w:val="22"/>
          <w:szCs w:val="22"/>
        </w:rPr>
        <w:t>  </w:t>
      </w:r>
      <w:r>
        <w:rPr>
          <w:rFonts w:ascii="Times New Roman" w:hAnsi="Times New Roman" w:hint="eastAsia"/>
          <w:b/>
          <w:bCs/>
          <w:color w:val="333333"/>
          <w:sz w:val="22"/>
          <w:szCs w:val="22"/>
        </w:rPr>
        <w:t>计税依据和应纳税额</w:t>
      </w: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color w:val="333333"/>
          <w:sz w:val="22"/>
          <w:szCs w:val="22"/>
        </w:rPr>
      </w:pPr>
      <w:r>
        <w:rPr>
          <w:rFonts w:ascii="Times New Roman" w:hAnsi="Times New Roman" w:hint="eastAsia"/>
          <w:b/>
          <w:bCs/>
          <w:color w:val="333333"/>
          <w:sz w:val="22"/>
          <w:szCs w:val="22"/>
        </w:rPr>
        <w:t xml:space="preserve">　　第三章</w:t>
      </w:r>
      <w:r>
        <w:rPr>
          <w:rFonts w:ascii="Times New Roman" w:hAnsi="Times New Roman" w:cs="Times New Roman"/>
          <w:b/>
          <w:bCs/>
          <w:color w:val="333333"/>
          <w:sz w:val="22"/>
          <w:szCs w:val="22"/>
        </w:rPr>
        <w:t>  </w:t>
      </w:r>
      <w:r>
        <w:rPr>
          <w:rFonts w:ascii="Times New Roman" w:hAnsi="Times New Roman" w:hint="eastAsia"/>
          <w:b/>
          <w:bCs/>
          <w:color w:val="333333"/>
          <w:sz w:val="22"/>
          <w:szCs w:val="22"/>
        </w:rPr>
        <w:t>税收减免</w:t>
      </w: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color w:val="333333"/>
          <w:sz w:val="22"/>
          <w:szCs w:val="22"/>
        </w:rPr>
      </w:pPr>
      <w:r>
        <w:rPr>
          <w:rFonts w:ascii="Times New Roman" w:hAnsi="Times New Roman" w:hint="eastAsia"/>
          <w:b/>
          <w:bCs/>
          <w:color w:val="333333"/>
          <w:sz w:val="22"/>
          <w:szCs w:val="22"/>
        </w:rPr>
        <w:t xml:space="preserve">　　第四章</w:t>
      </w:r>
      <w:r>
        <w:rPr>
          <w:rFonts w:ascii="Times New Roman" w:hAnsi="Times New Roman" w:cs="Times New Roman"/>
          <w:b/>
          <w:bCs/>
          <w:color w:val="333333"/>
          <w:sz w:val="22"/>
          <w:szCs w:val="22"/>
        </w:rPr>
        <w:t>  </w:t>
      </w:r>
      <w:r>
        <w:rPr>
          <w:rFonts w:ascii="Times New Roman" w:hAnsi="Times New Roman" w:hint="eastAsia"/>
          <w:b/>
          <w:bCs/>
          <w:color w:val="333333"/>
          <w:sz w:val="22"/>
          <w:szCs w:val="22"/>
        </w:rPr>
        <w:t>征收管理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rPr>
      </w:pPr>
      <w:r>
        <w:rPr>
          <w:rFonts w:ascii="Times New Roman" w:hAnsi="Times New Roman" w:hint="eastAsia"/>
          <w:b/>
          <w:bCs/>
          <w:color w:val="333333"/>
          <w:sz w:val="22"/>
          <w:szCs w:val="22"/>
        </w:rPr>
        <w:t xml:space="preserve">　　第五章</w:t>
      </w:r>
      <w:r>
        <w:rPr>
          <w:rFonts w:ascii="Times New Roman" w:hAnsi="Times New Roman" w:cs="Times New Roman"/>
          <w:b/>
          <w:bCs/>
          <w:color w:val="333333"/>
          <w:sz w:val="22"/>
          <w:szCs w:val="22"/>
        </w:rPr>
        <w:t>  </w:t>
      </w:r>
      <w:r>
        <w:rPr>
          <w:rFonts w:ascii="Times New Roman" w:hAnsi="Times New Roman" w:hint="eastAsia"/>
          <w:b/>
          <w:bCs/>
          <w:color w:val="333333"/>
          <w:sz w:val="22"/>
          <w:szCs w:val="22"/>
        </w:rPr>
        <w:t>附则</w:t>
      </w:r>
    </w:p>
    <w:p w:rsidR="00A32067" w:rsidRDefault="00A32067">
      <w:pPr>
        <w:spacing w:line="220" w:lineRule="atLeast"/>
        <w:rPr>
          <w:color w:val="000000"/>
          <w:sz w:val="24"/>
          <w:szCs w:val="24"/>
        </w:rPr>
      </w:pPr>
      <w:r>
        <w:rPr>
          <w:color w:val="000000"/>
          <w:sz w:val="24"/>
          <w:szCs w:val="24"/>
        </w:rPr>
        <w:br w:type="page"/>
      </w:r>
    </w:p>
    <w:p w:rsidR="00A32067" w:rsidRDefault="00A32067" w:rsidP="0002085C">
      <w:pPr>
        <w:pStyle w:val="NormalWeb"/>
        <w:shd w:val="clear" w:color="auto" w:fill="FFFFFF"/>
        <w:spacing w:beforeLines="50" w:beforeAutospacing="0" w:afterLines="50" w:afterAutospacing="0" w:line="480" w:lineRule="auto"/>
        <w:jc w:val="center"/>
        <w:rPr>
          <w:rFonts w:ascii="Times New Roman" w:eastAsia="微软雅黑" w:hAnsi="Times New Roman" w:cs="Times New Roman"/>
          <w:b/>
          <w:bCs/>
        </w:rPr>
      </w:pPr>
      <w:r>
        <w:rPr>
          <w:rFonts w:ascii="Times New Roman" w:eastAsia="微软雅黑" w:hAnsi="Times New Roman" w:cs="微软雅黑" w:hint="eastAsia"/>
          <w:b/>
          <w:bCs/>
        </w:rPr>
        <w:t xml:space="preserve">　</w:t>
      </w:r>
      <w:r>
        <w:rPr>
          <w:rFonts w:ascii="Times New Roman" w:hAnsi="Times New Roman" w:hint="eastAsia"/>
          <w:b/>
          <w:bCs/>
          <w:color w:val="333333"/>
        </w:rPr>
        <w:t xml:space="preserve">　第一章总</w:t>
      </w:r>
      <w:r>
        <w:rPr>
          <w:rFonts w:ascii="Times New Roman" w:hAnsi="Times New Roman" w:cs="Times New Roman"/>
          <w:b/>
          <w:bCs/>
          <w:color w:val="333333"/>
        </w:rPr>
        <w:t>  </w:t>
      </w:r>
      <w:r>
        <w:rPr>
          <w:rFonts w:ascii="Times New Roman" w:hAnsi="Times New Roman" w:hint="eastAsia"/>
          <w:b/>
          <w:bCs/>
          <w:color w:val="333333"/>
        </w:rPr>
        <w:t>则</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cs="Times New Roman"/>
          <w:color w:val="333333"/>
          <w:sz w:val="22"/>
          <w:szCs w:val="22"/>
        </w:rPr>
        <w:t> </w:t>
      </w:r>
      <w:r>
        <w:rPr>
          <w:rFonts w:ascii="Times New Roman" w:hAnsi="Times New Roman" w:hint="eastAsia"/>
          <w:color w:val="333333"/>
          <w:sz w:val="22"/>
          <w:szCs w:val="22"/>
        </w:rPr>
        <w:t>为了保护和改善环境</w:t>
      </w:r>
      <w:r>
        <w:rPr>
          <w:rFonts w:ascii="Times New Roman" w:hAnsi="Times New Roman" w:cs="Times New Roman"/>
          <w:color w:val="333333"/>
          <w:sz w:val="22"/>
          <w:szCs w:val="22"/>
        </w:rPr>
        <w:t>,</w:t>
      </w:r>
      <w:r>
        <w:rPr>
          <w:rFonts w:ascii="Times New Roman" w:hAnsi="Times New Roman" w:hint="eastAsia"/>
          <w:color w:val="333333"/>
          <w:sz w:val="22"/>
          <w:szCs w:val="22"/>
        </w:rPr>
        <w:t>减少污染物排放，推进生态文明建设，制定本法。</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cs="Times New Roman"/>
          <w:color w:val="333333"/>
          <w:sz w:val="22"/>
          <w:szCs w:val="22"/>
        </w:rPr>
        <w:t> </w:t>
      </w:r>
      <w:r>
        <w:rPr>
          <w:rFonts w:ascii="Times New Roman" w:hAnsi="Times New Roman" w:hint="eastAsia"/>
          <w:color w:val="333333"/>
          <w:sz w:val="22"/>
          <w:szCs w:val="22"/>
        </w:rPr>
        <w:t>在中华人民共和国领域和中华人民共和国管辖的其他海域，直接向环境排放应税污染物的企业事业单位和其他生产经营者为环境保护税的纳税人，应当依照本法规定缴纳环境保护税。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第三条</w:t>
      </w:r>
      <w:r>
        <w:rPr>
          <w:rFonts w:ascii="Times New Roman" w:hAnsi="Times New Roman" w:cs="Times New Roman"/>
          <w:color w:val="333333"/>
          <w:sz w:val="22"/>
          <w:szCs w:val="22"/>
        </w:rPr>
        <w:t> </w:t>
      </w:r>
      <w:r>
        <w:rPr>
          <w:rFonts w:ascii="Times New Roman" w:hAnsi="Times New Roman" w:hint="eastAsia"/>
          <w:color w:val="333333"/>
          <w:sz w:val="22"/>
          <w:szCs w:val="22"/>
        </w:rPr>
        <w:t>本法所称应税污染物，是指本法所附《环境保护税税目税额表》、《应税污染物和当量值表》规定的大气污染物、水污染物、固体废物和噪声。</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第四条</w:t>
      </w:r>
      <w:r>
        <w:rPr>
          <w:rFonts w:ascii="Times New Roman" w:hAnsi="Times New Roman" w:cs="Times New Roman"/>
          <w:color w:val="333333"/>
          <w:sz w:val="22"/>
          <w:szCs w:val="22"/>
        </w:rPr>
        <w:t> </w:t>
      </w:r>
      <w:r>
        <w:rPr>
          <w:rFonts w:ascii="Times New Roman" w:hAnsi="Times New Roman" w:hint="eastAsia"/>
          <w:color w:val="333333"/>
          <w:sz w:val="22"/>
          <w:szCs w:val="22"/>
        </w:rPr>
        <w:t>有下列情形之一的，不属于直接向环境排放污染物，不缴纳相应污染物的环境保护税：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（一）企业事业单位和其他生产经营者向依法设立的污水集中处理、生活垃圾集中处理场所排放应税污染物的；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（二）企业事业单位和其他生产经营者在符合国家和地方环境保护标准的设施、场所贮存或者处置固体废物的。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第五条</w:t>
      </w:r>
      <w:r>
        <w:rPr>
          <w:rFonts w:ascii="Times New Roman" w:hAnsi="Times New Roman" w:cs="Times New Roman"/>
          <w:color w:val="333333"/>
          <w:sz w:val="22"/>
          <w:szCs w:val="22"/>
        </w:rPr>
        <w:t> </w:t>
      </w:r>
      <w:r>
        <w:rPr>
          <w:rFonts w:ascii="Times New Roman" w:hAnsi="Times New Roman" w:hint="eastAsia"/>
          <w:color w:val="333333"/>
          <w:sz w:val="22"/>
          <w:szCs w:val="22"/>
        </w:rPr>
        <w:t>依法设立的城乡污水集中处理、生活垃圾集中处理场所超过国家和地方规定的排放标准向环境排放应税污染物的，应当缴纳环境保护税。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企业事业单位和其他生产经营者贮存或者处置固体废物不符合国家和地方环境保护标准的，应当缴纳环境保护税。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第六条</w:t>
      </w:r>
      <w:r>
        <w:rPr>
          <w:rFonts w:ascii="Times New Roman" w:hAnsi="Times New Roman" w:cs="Times New Roman"/>
          <w:color w:val="333333"/>
          <w:sz w:val="22"/>
          <w:szCs w:val="22"/>
        </w:rPr>
        <w:t> </w:t>
      </w:r>
      <w:r>
        <w:rPr>
          <w:rFonts w:ascii="Times New Roman" w:hAnsi="Times New Roman" w:hint="eastAsia"/>
          <w:color w:val="333333"/>
          <w:sz w:val="22"/>
          <w:szCs w:val="22"/>
        </w:rPr>
        <w:t>环境保护税的税目、税额，依照本法所附《环境保护税税目税额表》执行。</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应税大气污染物和水污染物的具体适用税额的确定和调整，由省、自治区、直辖市人民政府统筹考虑本地区环境承载能力、污染物排放现状和经济社会生态发展目标要求，在本法所附《环境保护税税目税额表》规定的税额幅度内提出，报同级人民代表大会常务委员会决定，并报全国人民代表大会常务委员会和国务院备案。</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第二章计税依据和应纳税额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cs="Times New Roman"/>
          <w:color w:val="333333"/>
          <w:sz w:val="22"/>
          <w:szCs w:val="22"/>
        </w:rPr>
        <w:t> </w:t>
      </w:r>
      <w:r>
        <w:rPr>
          <w:rFonts w:ascii="Times New Roman" w:hAnsi="Times New Roman" w:hint="eastAsia"/>
          <w:color w:val="333333"/>
          <w:sz w:val="22"/>
          <w:szCs w:val="22"/>
        </w:rPr>
        <w:t>应税污染物的计税依据，按照下列方法确定：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（一）应税大气污染物按照污染物排放量折合的污染当量数确定；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（二）应税水污染物按照污染物排放量折合的污染当量数确定；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（三）应税固体废物按照固体废物的排放量确定；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（四）应税噪声按照超过国家规定标准的分贝数确定。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第八条</w:t>
      </w:r>
      <w:r>
        <w:rPr>
          <w:rFonts w:ascii="Times New Roman" w:hAnsi="Times New Roman" w:cs="Times New Roman"/>
          <w:color w:val="333333"/>
          <w:sz w:val="22"/>
          <w:szCs w:val="22"/>
        </w:rPr>
        <w:t> </w:t>
      </w:r>
      <w:r>
        <w:rPr>
          <w:rFonts w:ascii="Times New Roman" w:hAnsi="Times New Roman" w:hint="eastAsia"/>
          <w:color w:val="333333"/>
          <w:sz w:val="22"/>
          <w:szCs w:val="22"/>
        </w:rPr>
        <w:t>应税大气污染物、水污染物的污染当量数，以该污染物的排放量除以该污染物的污染当量值计算。每种应税大气污染物、水污染物的具体污染当量值，依照本法所附《应税污染物和当量值表》执行。</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第九条</w:t>
      </w:r>
      <w:r>
        <w:rPr>
          <w:rFonts w:ascii="Times New Roman" w:hAnsi="Times New Roman" w:cs="Times New Roman"/>
          <w:color w:val="333333"/>
          <w:sz w:val="22"/>
          <w:szCs w:val="22"/>
        </w:rPr>
        <w:t> </w:t>
      </w:r>
      <w:r>
        <w:rPr>
          <w:rFonts w:ascii="Times New Roman" w:hAnsi="Times New Roman" w:hint="eastAsia"/>
          <w:color w:val="333333"/>
          <w:sz w:val="22"/>
          <w:szCs w:val="22"/>
        </w:rPr>
        <w:t>每一排放口或者没有排放口的应税大气污染物，按照污染当量数从大到小排序</w:t>
      </w:r>
      <w:r>
        <w:rPr>
          <w:rFonts w:ascii="Times New Roman" w:hAnsi="Times New Roman" w:cs="Times New Roman"/>
          <w:color w:val="333333"/>
          <w:sz w:val="22"/>
          <w:szCs w:val="22"/>
        </w:rPr>
        <w:t>,</w:t>
      </w:r>
      <w:r>
        <w:rPr>
          <w:rFonts w:ascii="Times New Roman" w:hAnsi="Times New Roman" w:hint="eastAsia"/>
          <w:color w:val="333333"/>
          <w:sz w:val="22"/>
          <w:szCs w:val="22"/>
        </w:rPr>
        <w:t>对前三项污染物征收环境保护税。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每一排放口的应税水污染物，按照本法所附《应税污染物和当量值表》，区分第一类水污染物和其他类水污染物，按照污染当量数从大到小排序，对第一类水污染物按照前五项征收环境保护税，对其他类水污染物按照前三项征收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省、自治区、直辖市人民政府根据本地区污染物减排的特殊需要，可以增加同一排放口征收环境保护税的应税污染物项目数，报同级人民代表大会常务委员会决定，并报全国人民代表大会常务委员会和国务院备案。</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第十条</w:t>
      </w:r>
      <w:r>
        <w:rPr>
          <w:rFonts w:ascii="Times New Roman" w:hAnsi="Times New Roman" w:cs="Times New Roman"/>
          <w:color w:val="333333"/>
          <w:sz w:val="22"/>
          <w:szCs w:val="22"/>
        </w:rPr>
        <w:t> </w:t>
      </w:r>
      <w:r>
        <w:rPr>
          <w:rFonts w:ascii="Times New Roman" w:hAnsi="Times New Roman" w:hint="eastAsia"/>
          <w:color w:val="333333"/>
          <w:sz w:val="22"/>
          <w:szCs w:val="22"/>
        </w:rPr>
        <w:t>应税大气污染物、水污染物、固体废物的排放量和噪声的分贝数，按照下列方法和顺序计算：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（一）纳税人安装使用符合国家规定和监测规范的污染物自动监测设备的，按照污染物自动监测数据计算；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（二）纳税人未安装使用污染物自动监测设备的，按照监测机构出具的符合国家有关规定和监测规范的监测数据计算；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（三）因排放污染物种类多等原因不具备监测条件的，按照国务院环境保护主管部门规定的排污系数、物料衡算方法计算；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（四）不能按照本条第一项至第三项规定的方法计算的，按照省、自治区、直辖市人民政府环境保护主管部门规定的抽样测算的方法核定计算。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第十一条</w:t>
      </w:r>
      <w:r>
        <w:rPr>
          <w:rFonts w:ascii="Times New Roman" w:hAnsi="Times New Roman" w:cs="Times New Roman"/>
          <w:color w:val="333333"/>
          <w:sz w:val="22"/>
          <w:szCs w:val="22"/>
        </w:rPr>
        <w:t> </w:t>
      </w:r>
      <w:r>
        <w:rPr>
          <w:rFonts w:ascii="Times New Roman" w:hAnsi="Times New Roman" w:hint="eastAsia"/>
          <w:color w:val="333333"/>
          <w:sz w:val="22"/>
          <w:szCs w:val="22"/>
        </w:rPr>
        <w:t>环境保护税应纳税额按照下列方法计算：</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（一）应税大气污染物的应纳税额为污染当量数乘以具体适用税额；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（二）应税水污染物的应纳税额为污染当量数乘以具体适用税额；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（三）应税固体废物的应纳税额为固体废物排放量乘以具体适用税额；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（四）应税噪声的应纳税额为超过国家规定标准的分贝数对应的具体适用税额。</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第三章税收减免</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第十二条</w:t>
      </w:r>
      <w:r>
        <w:rPr>
          <w:rFonts w:ascii="Times New Roman" w:hAnsi="Times New Roman" w:cs="Times New Roman"/>
          <w:color w:val="333333"/>
          <w:sz w:val="22"/>
          <w:szCs w:val="22"/>
        </w:rPr>
        <w:t> </w:t>
      </w:r>
      <w:r>
        <w:rPr>
          <w:rFonts w:ascii="Times New Roman" w:hAnsi="Times New Roman" w:hint="eastAsia"/>
          <w:color w:val="333333"/>
          <w:sz w:val="22"/>
          <w:szCs w:val="22"/>
        </w:rPr>
        <w:t>下列情形，暂予免征环境保护税：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（一）农业生产（不包括规模化养殖）排放应税污染物的；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（二）机动车、铁路机车、非道路移动机械、船舶和航空器等流动污染源排放应税污染物的；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（三）依法设立的城乡污水集中处理、生活垃圾集中处理场所排放相应应税污染物，不超过国家和地方规定的排放标准的；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（四）纳税人综合利用的固体废物，符合国家和地方环境保护标准的；</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（五）国务院批准免税的其他情形。</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前款第五项免税规定，由国务院报全国人民代表大会常务委员会备案。</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第十三条</w:t>
      </w:r>
      <w:r>
        <w:rPr>
          <w:rFonts w:ascii="Times New Roman" w:hAnsi="Times New Roman" w:cs="Times New Roman"/>
          <w:color w:val="333333"/>
          <w:sz w:val="22"/>
          <w:szCs w:val="22"/>
        </w:rPr>
        <w:t> </w:t>
      </w:r>
      <w:r>
        <w:rPr>
          <w:rFonts w:ascii="Times New Roman" w:hAnsi="Times New Roman" w:hint="eastAsia"/>
          <w:color w:val="333333"/>
          <w:sz w:val="22"/>
          <w:szCs w:val="22"/>
        </w:rPr>
        <w:t>纳税人排放应税大气污染物或者水污染物的浓度值低于国家和地方规定的污染物排放标准百分之三十的，减按百分之七十五征收环境保护税。纳税人排放应税大气污染物或者水污染物的浓度值低于国家和地方规定的污染物排放标准百分之五十的，减按百分之五十征收环境保护税。</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第四章征收管理</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第十四条</w:t>
      </w:r>
      <w:r>
        <w:rPr>
          <w:rFonts w:ascii="Times New Roman" w:hAnsi="Times New Roman" w:cs="Times New Roman"/>
          <w:color w:val="333333"/>
          <w:sz w:val="22"/>
          <w:szCs w:val="22"/>
        </w:rPr>
        <w:t> </w:t>
      </w:r>
      <w:r>
        <w:rPr>
          <w:rFonts w:ascii="Times New Roman" w:hAnsi="Times New Roman" w:hint="eastAsia"/>
          <w:color w:val="333333"/>
          <w:sz w:val="22"/>
          <w:szCs w:val="22"/>
        </w:rPr>
        <w:t>环境保护税由税务机关依照《中华人民共和国税收征收管理法》和本法的有关规定征收管理。</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环境保护主管部门依照本法和有关环境保护法律法规的规定负责对污染物的监测管理。</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县级以上地方人民政府应当建立税务机关、环境保护主管部门和其他相关单位分工协作工作机制，加强环境保护税征收管理，保障税款及时足额入库。</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第十五条</w:t>
      </w:r>
      <w:r>
        <w:rPr>
          <w:rFonts w:ascii="Times New Roman" w:hAnsi="Times New Roman" w:cs="Times New Roman"/>
          <w:color w:val="333333"/>
          <w:sz w:val="22"/>
          <w:szCs w:val="22"/>
        </w:rPr>
        <w:t> </w:t>
      </w:r>
      <w:r>
        <w:rPr>
          <w:rFonts w:ascii="Times New Roman" w:hAnsi="Times New Roman" w:hint="eastAsia"/>
          <w:color w:val="333333"/>
          <w:sz w:val="22"/>
          <w:szCs w:val="22"/>
        </w:rPr>
        <w:t>环境保护主管部门和税务机关应当建立涉税信息共享平台和工作配合机制。</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环境保护主管部门应当将排污单位的排污许可、污染物排放数据、环境违法和受行政处罚情况等环境保护相关信息，定期交送税务机关。</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税务机关应当将纳税人的纳税申报、税款入库、减免税额、欠缴税款以及风险疑点等环境保护税涉税信息，定期交送环境保护主管部门。</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第十六条</w:t>
      </w:r>
      <w:r>
        <w:rPr>
          <w:rFonts w:ascii="Times New Roman" w:hAnsi="Times New Roman" w:cs="Times New Roman"/>
          <w:color w:val="333333"/>
          <w:sz w:val="22"/>
          <w:szCs w:val="22"/>
        </w:rPr>
        <w:t> </w:t>
      </w:r>
      <w:r>
        <w:rPr>
          <w:rFonts w:ascii="Times New Roman" w:hAnsi="Times New Roman" w:hint="eastAsia"/>
          <w:color w:val="333333"/>
          <w:sz w:val="22"/>
          <w:szCs w:val="22"/>
        </w:rPr>
        <w:t>纳税义务发生时间为纳税人排放应税污染物的当日。</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第十七条</w:t>
      </w:r>
      <w:r>
        <w:rPr>
          <w:rFonts w:ascii="Times New Roman" w:hAnsi="Times New Roman" w:cs="Times New Roman"/>
          <w:color w:val="333333"/>
          <w:sz w:val="22"/>
          <w:szCs w:val="22"/>
        </w:rPr>
        <w:t> </w:t>
      </w:r>
      <w:r>
        <w:rPr>
          <w:rFonts w:ascii="Times New Roman" w:hAnsi="Times New Roman" w:hint="eastAsia"/>
          <w:color w:val="333333"/>
          <w:sz w:val="22"/>
          <w:szCs w:val="22"/>
        </w:rPr>
        <w:t>纳税人应当向应税污染物排放地的税务机关申报缴纳环境保护税。</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第十八条</w:t>
      </w:r>
      <w:r>
        <w:rPr>
          <w:rFonts w:ascii="Times New Roman" w:hAnsi="Times New Roman" w:cs="Times New Roman"/>
          <w:color w:val="333333"/>
          <w:sz w:val="22"/>
          <w:szCs w:val="22"/>
        </w:rPr>
        <w:t> </w:t>
      </w:r>
      <w:r>
        <w:rPr>
          <w:rFonts w:ascii="Times New Roman" w:hAnsi="Times New Roman" w:hint="eastAsia"/>
          <w:color w:val="333333"/>
          <w:sz w:val="22"/>
          <w:szCs w:val="22"/>
        </w:rPr>
        <w:t>环境保护税按月计算，按季申报缴纳。不能按固定期限计算缴纳的，可以按次申报缴纳。</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纳税人申报缴纳时，应当向税务机关报送所排放应税污染物的种类、数量，大气污染物、水污染物的浓度值，以及税务机关根据实际需要要求纳税人报送的其他纳税资料。</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第十九条</w:t>
      </w:r>
      <w:r>
        <w:rPr>
          <w:rFonts w:ascii="Times New Roman" w:hAnsi="Times New Roman" w:cs="Times New Roman"/>
          <w:color w:val="333333"/>
          <w:sz w:val="22"/>
          <w:szCs w:val="22"/>
        </w:rPr>
        <w:t> </w:t>
      </w:r>
      <w:r>
        <w:rPr>
          <w:rFonts w:ascii="Times New Roman" w:hAnsi="Times New Roman" w:hint="eastAsia"/>
          <w:color w:val="333333"/>
          <w:sz w:val="22"/>
          <w:szCs w:val="22"/>
        </w:rPr>
        <w:t>纳税人按季申报缴纳的，应当自季度终了之日起十五日内，向税务机关办理纳税申报并缴纳税款。纳税人按次申报缴纳的，应当自纳税义务发生之日起十五日内，向税务机关办理纳税申报并缴纳税款。</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纳税人应当依法如实办理纳税申报，对申报的真实性和完整性承担责任。</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第二十条</w:t>
      </w:r>
      <w:r>
        <w:rPr>
          <w:rFonts w:ascii="Times New Roman" w:hAnsi="Times New Roman" w:cs="Times New Roman"/>
          <w:color w:val="333333"/>
          <w:sz w:val="22"/>
          <w:szCs w:val="22"/>
        </w:rPr>
        <w:t> </w:t>
      </w:r>
      <w:r>
        <w:rPr>
          <w:rFonts w:ascii="Times New Roman" w:hAnsi="Times New Roman" w:hint="eastAsia"/>
          <w:color w:val="333333"/>
          <w:sz w:val="22"/>
          <w:szCs w:val="22"/>
        </w:rPr>
        <w:t>税务机关应当将纳税人的纳税申报数据资料与环境保护主管部门交送的相关数据资料进行比对。</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税务机关发现纳税人的纳税申报数据资料异常或者纳税人未按照规定期限办理纳税申报的，可以提请环境保护主管部门进行复核，环境保护主管部门应当自收到税务机关的数据资料之日起十五日内向税务机关出具复核意见。税务机关应当按照环境保护主管部门复核的数据资料调整纳税人的应纳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第二十一条</w:t>
      </w:r>
      <w:r>
        <w:rPr>
          <w:rFonts w:ascii="Times New Roman" w:hAnsi="Times New Roman" w:cs="Times New Roman"/>
          <w:color w:val="333333"/>
          <w:sz w:val="22"/>
          <w:szCs w:val="22"/>
        </w:rPr>
        <w:t> </w:t>
      </w:r>
      <w:r>
        <w:rPr>
          <w:rFonts w:ascii="Times New Roman" w:hAnsi="Times New Roman" w:hint="eastAsia"/>
          <w:color w:val="333333"/>
          <w:sz w:val="22"/>
          <w:szCs w:val="22"/>
        </w:rPr>
        <w:t>依照本法第十条第四项的规定核定计算污染物排放量的，由税务机关会同环境保护主管部门核定污染物排放种类、数量和应纳税额。</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第二十二条</w:t>
      </w:r>
      <w:r>
        <w:rPr>
          <w:rFonts w:ascii="Times New Roman" w:hAnsi="Times New Roman" w:cs="Times New Roman"/>
          <w:color w:val="333333"/>
          <w:sz w:val="22"/>
          <w:szCs w:val="22"/>
        </w:rPr>
        <w:t> </w:t>
      </w:r>
      <w:r>
        <w:rPr>
          <w:rFonts w:ascii="Times New Roman" w:hAnsi="Times New Roman" w:hint="eastAsia"/>
          <w:color w:val="333333"/>
          <w:sz w:val="22"/>
          <w:szCs w:val="22"/>
        </w:rPr>
        <w:t>纳税人从事海洋工程向中华人民共和国管辖海域排放应税大气污染物、水污染物或者固体废物，申报缴纳环境保护税的具体办法，由国务院税务主管部门会同国务院海洋主管部门规定。</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第二十三条</w:t>
      </w:r>
      <w:r>
        <w:rPr>
          <w:rFonts w:ascii="Times New Roman" w:hAnsi="Times New Roman" w:cs="Times New Roman"/>
          <w:color w:val="333333"/>
          <w:sz w:val="22"/>
          <w:szCs w:val="22"/>
        </w:rPr>
        <w:t> </w:t>
      </w:r>
      <w:r>
        <w:rPr>
          <w:rFonts w:ascii="Times New Roman" w:hAnsi="Times New Roman" w:hint="eastAsia"/>
          <w:color w:val="333333"/>
          <w:sz w:val="22"/>
          <w:szCs w:val="22"/>
        </w:rPr>
        <w:t>纳税人和税务机关、环境保护主管部门及其工作人员违反本法规定的，依照《中华人民共和国税收征收管理法》、《中华人民共和国环境保护法》和有关法律法规的规定追究法律责任。</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第二十四条</w:t>
      </w:r>
      <w:r>
        <w:rPr>
          <w:rFonts w:ascii="Times New Roman" w:hAnsi="Times New Roman" w:cs="Times New Roman"/>
          <w:color w:val="333333"/>
          <w:sz w:val="22"/>
          <w:szCs w:val="22"/>
        </w:rPr>
        <w:t> </w:t>
      </w:r>
      <w:r>
        <w:rPr>
          <w:rFonts w:ascii="Times New Roman" w:hAnsi="Times New Roman" w:hint="eastAsia"/>
          <w:color w:val="333333"/>
          <w:sz w:val="22"/>
          <w:szCs w:val="22"/>
        </w:rPr>
        <w:t>各级人民政府应当鼓励纳税人加大环境保护建设投入，对纳税人用于污染物自动监测设备的投资予以资金和政策支持。</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第五章附</w:t>
      </w:r>
      <w:r>
        <w:rPr>
          <w:rFonts w:ascii="Times New Roman" w:hAnsi="Times New Roman" w:cs="Times New Roman"/>
          <w:b/>
          <w:bCs/>
          <w:color w:val="333333"/>
        </w:rPr>
        <w:t>  </w:t>
      </w:r>
      <w:r>
        <w:rPr>
          <w:rFonts w:ascii="Times New Roman" w:hAnsi="Times New Roman" w:hint="eastAsia"/>
          <w:b/>
          <w:bCs/>
          <w:color w:val="333333"/>
        </w:rPr>
        <w:t>则</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第二十五条</w:t>
      </w:r>
      <w:r>
        <w:rPr>
          <w:rFonts w:ascii="Times New Roman" w:hAnsi="Times New Roman" w:cs="Times New Roman"/>
          <w:color w:val="333333"/>
          <w:sz w:val="22"/>
          <w:szCs w:val="22"/>
        </w:rPr>
        <w:t> </w:t>
      </w:r>
      <w:r>
        <w:rPr>
          <w:rFonts w:ascii="Times New Roman" w:hAnsi="Times New Roman" w:hint="eastAsia"/>
          <w:color w:val="333333"/>
          <w:sz w:val="22"/>
          <w:szCs w:val="22"/>
        </w:rPr>
        <w:t>本法下列用语的含义：</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一）污染当量，是指根据污染物或者污染排放活动对环境的有害程度以及处理的技术经济性，衡量不同污染物对环境污染的综合性指标或者计量单位。同一介质相同污染当量的不同污染物，其污染程度基本相当。</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（二）排污系数，是指在正常技术经济和管理条件下，生产单位产品所应排放的污染物量的统计平均值。</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color w:val="333333"/>
          <w:sz w:val="22"/>
          <w:szCs w:val="22"/>
        </w:rPr>
        <w:t>（三）物料衡算，是指根据物质质量守恒原理对生产过程中使用的原料、生产的产品和产生的废物等进行测算的一种方法。</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第二十六条</w:t>
      </w:r>
      <w:r>
        <w:rPr>
          <w:rFonts w:ascii="Times New Roman" w:hAnsi="Times New Roman" w:cs="Times New Roman"/>
          <w:color w:val="333333"/>
          <w:sz w:val="22"/>
          <w:szCs w:val="22"/>
        </w:rPr>
        <w:t> </w:t>
      </w:r>
      <w:r>
        <w:rPr>
          <w:rFonts w:ascii="Times New Roman" w:hAnsi="Times New Roman" w:hint="eastAsia"/>
          <w:color w:val="333333"/>
          <w:sz w:val="22"/>
          <w:szCs w:val="22"/>
        </w:rPr>
        <w:t>直接向环境排放应税污染物的企业事业单位和其他生产经营者，除依照本法规定缴纳环境保护税外，应当对所造成的损害依法承担责任。</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第二十七条</w:t>
      </w:r>
      <w:r>
        <w:rPr>
          <w:rFonts w:ascii="Times New Roman" w:hAnsi="Times New Roman" w:cs="Times New Roman"/>
          <w:color w:val="333333"/>
          <w:sz w:val="22"/>
          <w:szCs w:val="22"/>
        </w:rPr>
        <w:t> </w:t>
      </w:r>
      <w:r>
        <w:rPr>
          <w:rFonts w:ascii="Times New Roman" w:hAnsi="Times New Roman" w:hint="eastAsia"/>
          <w:color w:val="333333"/>
          <w:sz w:val="22"/>
          <w:szCs w:val="22"/>
        </w:rPr>
        <w:t>自本法施行之日起，依照本法规定征收环境保护税，不再征收排污费。</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hint="eastAsia"/>
          <w:b/>
          <w:bCs/>
          <w:color w:val="333333"/>
          <w:sz w:val="22"/>
          <w:szCs w:val="22"/>
        </w:rPr>
        <w:t>第二十八条</w:t>
      </w:r>
      <w:r>
        <w:rPr>
          <w:rFonts w:ascii="Times New Roman" w:hAnsi="Times New Roman" w:cs="Times New Roman"/>
          <w:color w:val="333333"/>
          <w:sz w:val="22"/>
          <w:szCs w:val="22"/>
        </w:rPr>
        <w:t> </w:t>
      </w:r>
      <w:r>
        <w:rPr>
          <w:rFonts w:ascii="Times New Roman" w:hAnsi="Times New Roman" w:hint="eastAsia"/>
          <w:color w:val="333333"/>
          <w:sz w:val="22"/>
          <w:szCs w:val="22"/>
        </w:rPr>
        <w:t>本法自</w:t>
      </w:r>
      <w:r>
        <w:rPr>
          <w:rFonts w:ascii="Times New Roman" w:hAnsi="Times New Roman" w:cs="Times New Roman"/>
          <w:color w:val="333333"/>
          <w:sz w:val="22"/>
          <w:szCs w:val="22"/>
        </w:rPr>
        <w:t>2018</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spacing w:line="360" w:lineRule="auto"/>
        <w:rPr>
          <w:sz w:val="24"/>
          <w:szCs w:val="24"/>
        </w:rPr>
      </w:pPr>
    </w:p>
    <w:p w:rsidR="00A32067" w:rsidRDefault="00A32067"/>
    <w:p w:rsidR="00A32067" w:rsidRDefault="00A32067">
      <w:pPr>
        <w:spacing w:line="220" w:lineRule="atLeast"/>
      </w:pPr>
      <w:r>
        <w:br w:type="page"/>
      </w:r>
    </w:p>
    <w:p w:rsidR="00A32067" w:rsidRDefault="00A32067" w:rsidP="0002085C">
      <w:pPr>
        <w:pStyle w:val="NormalWeb"/>
        <w:shd w:val="clear" w:color="auto" w:fill="FFFFFF"/>
        <w:spacing w:before="0" w:beforeAutospacing="0" w:afterLines="100" w:afterAutospacing="0" w:line="360" w:lineRule="auto"/>
        <w:jc w:val="center"/>
        <w:outlineLvl w:val="2"/>
        <w:rPr>
          <w:rFonts w:ascii="Times New Roman" w:hAnsi="Times New Roman" w:cs="Times New Roman"/>
          <w:b/>
          <w:bCs/>
          <w:color w:val="333333"/>
          <w:sz w:val="44"/>
          <w:szCs w:val="44"/>
        </w:rPr>
      </w:pPr>
      <w:bookmarkStart w:id="53" w:name="_Toc519872293"/>
      <w:r>
        <w:rPr>
          <w:rFonts w:ascii="Times New Roman" w:hAnsi="Times New Roman" w:hint="eastAsia"/>
          <w:b/>
          <w:bCs/>
          <w:color w:val="333333"/>
          <w:sz w:val="44"/>
          <w:szCs w:val="44"/>
        </w:rPr>
        <w:t>建设项目</w:t>
      </w:r>
      <w:r>
        <w:rPr>
          <w:rFonts w:ascii="Times New Roman" w:hAnsi="Times New Roman" w:cs="Times New Roman"/>
          <w:b/>
          <w:bCs/>
          <w:color w:val="333333"/>
          <w:sz w:val="44"/>
          <w:szCs w:val="44"/>
        </w:rPr>
        <w:t>(</w:t>
      </w:r>
      <w:r>
        <w:rPr>
          <w:rFonts w:ascii="Times New Roman" w:hAnsi="Times New Roman" w:hint="eastAsia"/>
          <w:b/>
          <w:bCs/>
          <w:color w:val="333333"/>
          <w:sz w:val="44"/>
          <w:szCs w:val="44"/>
        </w:rPr>
        <w:t>工程</w:t>
      </w:r>
      <w:r>
        <w:rPr>
          <w:rFonts w:ascii="Times New Roman" w:hAnsi="Times New Roman" w:cs="Times New Roman"/>
          <w:b/>
          <w:bCs/>
          <w:color w:val="333333"/>
          <w:sz w:val="44"/>
          <w:szCs w:val="44"/>
        </w:rPr>
        <w:t>)</w:t>
      </w:r>
      <w:r>
        <w:rPr>
          <w:rFonts w:ascii="Times New Roman" w:hAnsi="Times New Roman" w:hint="eastAsia"/>
          <w:b/>
          <w:bCs/>
          <w:color w:val="333333"/>
          <w:sz w:val="44"/>
          <w:szCs w:val="44"/>
        </w:rPr>
        <w:t>劳动安全卫生监察规定</w:t>
      </w:r>
      <w:r>
        <w:rPr>
          <w:rFonts w:ascii="Times New Roman" w:hAnsi="Times New Roman" w:cs="Times New Roman"/>
          <w:b/>
          <w:bCs/>
          <w:color w:val="333333"/>
          <w:sz w:val="44"/>
          <w:szCs w:val="44"/>
        </w:rPr>
        <w:br/>
      </w:r>
      <w:r>
        <w:rPr>
          <w:rFonts w:ascii="Times New Roman" w:hAnsi="Times New Roman" w:hint="eastAsia"/>
          <w:color w:val="333333"/>
          <w:sz w:val="22"/>
          <w:szCs w:val="22"/>
        </w:rPr>
        <w:t>中华人民共和国劳动部令第</w:t>
      </w:r>
      <w:r>
        <w:rPr>
          <w:rFonts w:ascii="Times New Roman" w:hAnsi="Times New Roman" w:cs="Times New Roman"/>
          <w:color w:val="333333"/>
          <w:sz w:val="22"/>
          <w:szCs w:val="22"/>
        </w:rPr>
        <w:t>3</w:t>
      </w:r>
      <w:r>
        <w:rPr>
          <w:rFonts w:ascii="Times New Roman" w:hAnsi="Times New Roman" w:hint="eastAsia"/>
          <w:color w:val="333333"/>
          <w:sz w:val="22"/>
          <w:szCs w:val="22"/>
        </w:rPr>
        <w:t>号</w:t>
      </w:r>
      <w:bookmarkEnd w:id="53"/>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color w:val="333333"/>
          <w:sz w:val="22"/>
          <w:szCs w:val="22"/>
        </w:rPr>
      </w:pPr>
      <w:r>
        <w:rPr>
          <w:rFonts w:ascii="Times New Roman" w:hAnsi="Times New Roman" w:hint="eastAsia"/>
          <w:color w:val="333333"/>
          <w:sz w:val="22"/>
          <w:szCs w:val="22"/>
        </w:rPr>
        <w:t xml:space="preserve">　</w:t>
      </w:r>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color w:val="333333"/>
          <w:sz w:val="22"/>
          <w:szCs w:val="22"/>
        </w:rPr>
      </w:pPr>
      <w:r>
        <w:rPr>
          <w:rFonts w:ascii="Times New Roman" w:hAnsi="Times New Roman" w:cs="Times New Roman"/>
          <w:color w:val="333333"/>
          <w:sz w:val="22"/>
          <w:szCs w:val="22"/>
        </w:rPr>
        <w:t>&lt;&lt;</w:t>
      </w:r>
      <w:r>
        <w:rPr>
          <w:rFonts w:ascii="Times New Roman" w:hAnsi="Times New Roman" w:hint="eastAsia"/>
          <w:color w:val="333333"/>
          <w:sz w:val="22"/>
          <w:szCs w:val="22"/>
        </w:rPr>
        <w:t>建设项目</w:t>
      </w:r>
      <w:r>
        <w:rPr>
          <w:rFonts w:ascii="Times New Roman" w:hAnsi="Times New Roman" w:cs="Times New Roman"/>
          <w:color w:val="333333"/>
          <w:sz w:val="22"/>
          <w:szCs w:val="22"/>
        </w:rPr>
        <w:t>(</w:t>
      </w:r>
      <w:r>
        <w:rPr>
          <w:rFonts w:ascii="Times New Roman" w:hAnsi="Times New Roman" w:hint="eastAsia"/>
          <w:color w:val="333333"/>
          <w:sz w:val="22"/>
          <w:szCs w:val="22"/>
        </w:rPr>
        <w:t>工程</w:t>
      </w:r>
      <w:r>
        <w:rPr>
          <w:rFonts w:ascii="Times New Roman" w:hAnsi="Times New Roman" w:cs="Times New Roman"/>
          <w:color w:val="333333"/>
          <w:sz w:val="22"/>
          <w:szCs w:val="22"/>
        </w:rPr>
        <w:t>)</w:t>
      </w:r>
      <w:r>
        <w:rPr>
          <w:rFonts w:ascii="Times New Roman" w:hAnsi="Times New Roman" w:hint="eastAsia"/>
          <w:color w:val="333333"/>
          <w:sz w:val="22"/>
          <w:szCs w:val="22"/>
        </w:rPr>
        <w:t>劳动安全卫生监察规定</w:t>
      </w:r>
      <w:r>
        <w:rPr>
          <w:rFonts w:ascii="Times New Roman" w:hAnsi="Times New Roman" w:cs="Times New Roman"/>
          <w:color w:val="333333"/>
          <w:sz w:val="22"/>
          <w:szCs w:val="22"/>
        </w:rPr>
        <w:t>&gt;&gt;</w:t>
      </w:r>
      <w:r>
        <w:rPr>
          <w:rFonts w:ascii="Times New Roman" w:hAnsi="Times New Roman" w:hint="eastAsia"/>
          <w:color w:val="333333"/>
          <w:sz w:val="22"/>
          <w:szCs w:val="22"/>
        </w:rPr>
        <w:t>已经</w:t>
      </w:r>
      <w:r>
        <w:rPr>
          <w:rFonts w:ascii="Times New Roman" w:hAnsi="Times New Roman" w:cs="Times New Roman"/>
          <w:color w:val="333333"/>
          <w:sz w:val="22"/>
          <w:szCs w:val="22"/>
        </w:rPr>
        <w:t>1996</w:t>
      </w:r>
      <w:r>
        <w:rPr>
          <w:rFonts w:ascii="Times New Roman" w:hAnsi="Times New Roman" w:hint="eastAsia"/>
          <w:color w:val="333333"/>
          <w:sz w:val="22"/>
          <w:szCs w:val="22"/>
        </w:rPr>
        <w:t>年</w:t>
      </w:r>
      <w:r>
        <w:rPr>
          <w:rFonts w:ascii="Times New Roman" w:hAnsi="Times New Roman" w:cs="Times New Roman"/>
          <w:color w:val="333333"/>
          <w:sz w:val="22"/>
          <w:szCs w:val="22"/>
        </w:rPr>
        <w:t>10</w:t>
      </w:r>
      <w:r>
        <w:rPr>
          <w:rFonts w:ascii="Times New Roman" w:hAnsi="Times New Roman" w:hint="eastAsia"/>
          <w:color w:val="333333"/>
          <w:sz w:val="22"/>
          <w:szCs w:val="22"/>
        </w:rPr>
        <w:t>月</w:t>
      </w:r>
      <w:r>
        <w:rPr>
          <w:rFonts w:ascii="Times New Roman" w:hAnsi="Times New Roman" w:cs="Times New Roman"/>
          <w:color w:val="333333"/>
          <w:sz w:val="22"/>
          <w:szCs w:val="22"/>
        </w:rPr>
        <w:t>4</w:t>
      </w:r>
      <w:r>
        <w:rPr>
          <w:rFonts w:ascii="Times New Roman" w:hAnsi="Times New Roman" w:hint="eastAsia"/>
          <w:color w:val="333333"/>
          <w:sz w:val="22"/>
          <w:szCs w:val="22"/>
        </w:rPr>
        <w:t>日劳动部部长办公会议通过</w:t>
      </w:r>
      <w:r>
        <w:rPr>
          <w:rFonts w:ascii="Times New Roman" w:hAnsi="Times New Roman" w:cs="Times New Roman"/>
          <w:color w:val="333333"/>
          <w:sz w:val="22"/>
          <w:szCs w:val="22"/>
        </w:rPr>
        <w:t>,</w:t>
      </w:r>
      <w:r>
        <w:rPr>
          <w:rFonts w:ascii="Times New Roman" w:hAnsi="Times New Roman" w:hint="eastAsia"/>
          <w:color w:val="333333"/>
          <w:sz w:val="22"/>
          <w:szCs w:val="22"/>
        </w:rPr>
        <w:t>现予以颁布</w:t>
      </w:r>
      <w:r>
        <w:rPr>
          <w:rFonts w:ascii="Times New Roman" w:hAnsi="Times New Roman" w:cs="Times New Roman"/>
          <w:color w:val="333333"/>
          <w:sz w:val="22"/>
          <w:szCs w:val="22"/>
        </w:rPr>
        <w:t>,</w:t>
      </w:r>
      <w:r>
        <w:rPr>
          <w:rFonts w:ascii="Times New Roman" w:hAnsi="Times New Roman" w:hint="eastAsia"/>
          <w:color w:val="333333"/>
          <w:sz w:val="22"/>
          <w:szCs w:val="22"/>
        </w:rPr>
        <w:t>自</w:t>
      </w:r>
      <w:r>
        <w:rPr>
          <w:rFonts w:ascii="Times New Roman" w:hAnsi="Times New Roman" w:cs="Times New Roman"/>
          <w:color w:val="333333"/>
          <w:sz w:val="22"/>
          <w:szCs w:val="22"/>
        </w:rPr>
        <w:t>1997</w:t>
      </w:r>
      <w:r>
        <w:rPr>
          <w:rFonts w:ascii="Times New Roman" w:hAnsi="Times New Roman" w:hint="eastAsia"/>
          <w:color w:val="333333"/>
          <w:sz w:val="22"/>
          <w:szCs w:val="22"/>
        </w:rPr>
        <w:t>年</w:t>
      </w:r>
      <w:r>
        <w:rPr>
          <w:rFonts w:ascii="Times New Roman" w:hAnsi="Times New Roman" w:cs="Times New Roman"/>
          <w:color w:val="333333"/>
          <w:sz w:val="22"/>
          <w:szCs w:val="22"/>
        </w:rPr>
        <w:t>1</w:t>
      </w:r>
      <w:r>
        <w:rPr>
          <w:rFonts w:ascii="Times New Roman" w:hAnsi="Times New Roman" w:hint="eastAsia"/>
          <w:color w:val="333333"/>
          <w:sz w:val="22"/>
          <w:szCs w:val="22"/>
        </w:rPr>
        <w:t>月</w:t>
      </w:r>
      <w:r>
        <w:rPr>
          <w:rFonts w:ascii="Times New Roman" w:hAnsi="Times New Roman" w:cs="Times New Roman"/>
          <w:color w:val="333333"/>
          <w:sz w:val="22"/>
          <w:szCs w:val="22"/>
        </w:rPr>
        <w:t>1</w:t>
      </w:r>
      <w:r>
        <w:rPr>
          <w:rFonts w:ascii="Times New Roman" w:hAnsi="Times New Roman" w:hint="eastAsia"/>
          <w:color w:val="333333"/>
          <w:sz w:val="22"/>
          <w:szCs w:val="22"/>
        </w:rPr>
        <w:t>日起施行。</w:t>
      </w:r>
    </w:p>
    <w:p w:rsidR="00A32067" w:rsidRDefault="00A32067">
      <w:pPr>
        <w:spacing w:line="360" w:lineRule="auto"/>
        <w:jc w:val="right"/>
        <w:rPr>
          <w:color w:val="000000"/>
          <w:sz w:val="22"/>
          <w:szCs w:val="22"/>
        </w:rPr>
      </w:pPr>
      <w:r>
        <w:rPr>
          <w:rFonts w:cs="宋体" w:hint="eastAsia"/>
          <w:color w:val="000000"/>
          <w:sz w:val="28"/>
          <w:szCs w:val="28"/>
        </w:rPr>
        <w:t xml:space="preserve">　</w:t>
      </w:r>
      <w:r>
        <w:rPr>
          <w:rFonts w:cs="宋体" w:hint="eastAsia"/>
          <w:color w:val="000000"/>
          <w:sz w:val="22"/>
          <w:szCs w:val="22"/>
        </w:rPr>
        <w:t xml:space="preserve">　</w:t>
      </w:r>
      <w:r>
        <w:rPr>
          <w:rFonts w:cs="宋体" w:hint="eastAsia"/>
          <w:sz w:val="22"/>
          <w:szCs w:val="22"/>
        </w:rPr>
        <w:t>部长李伯勇</w:t>
      </w:r>
    </w:p>
    <w:p w:rsidR="00A32067" w:rsidRDefault="00A32067">
      <w:pPr>
        <w:spacing w:line="360" w:lineRule="auto"/>
        <w:jc w:val="right"/>
        <w:rPr>
          <w:sz w:val="22"/>
          <w:szCs w:val="22"/>
        </w:rPr>
      </w:pPr>
      <w:r>
        <w:rPr>
          <w:rFonts w:cs="宋体" w:hint="eastAsia"/>
          <w:color w:val="000000"/>
          <w:sz w:val="22"/>
          <w:szCs w:val="22"/>
        </w:rPr>
        <w:t xml:space="preserve">　　</w:t>
      </w:r>
      <w:r>
        <w:rPr>
          <w:rFonts w:cs="宋体" w:hint="eastAsia"/>
          <w:sz w:val="22"/>
          <w:szCs w:val="22"/>
        </w:rPr>
        <w:t>一九九六年十月十七日</w:t>
      </w:r>
    </w:p>
    <w:p w:rsidR="00A32067" w:rsidRDefault="00A32067">
      <w:pPr>
        <w:spacing w:line="360" w:lineRule="auto"/>
        <w:jc w:val="right"/>
        <w:rPr>
          <w:sz w:val="22"/>
          <w:szCs w:val="22"/>
        </w:rPr>
      </w:pPr>
    </w:p>
    <w:p w:rsidR="00A32067" w:rsidRDefault="00A32067">
      <w:pPr>
        <w:rPr>
          <w:color w:val="000000"/>
        </w:rPr>
      </w:pPr>
      <w:r>
        <w:rPr>
          <w:rFonts w:cs="宋体" w:hint="eastAsia"/>
          <w:color w:val="000000"/>
          <w:sz w:val="28"/>
          <w:szCs w:val="28"/>
        </w:rPr>
        <w:t xml:space="preserve">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第一条</w:t>
      </w:r>
      <w:r>
        <w:rPr>
          <w:rFonts w:ascii="Times New Roman" w:hAnsi="Times New Roman" w:hint="eastAsia"/>
          <w:color w:val="333333"/>
          <w:sz w:val="22"/>
          <w:szCs w:val="22"/>
        </w:rPr>
        <w:t>为了贯彻</w:t>
      </w:r>
      <w:r>
        <w:rPr>
          <w:rFonts w:ascii="Times New Roman" w:hAnsi="Times New Roman" w:cs="Times New Roman"/>
          <w:color w:val="333333"/>
          <w:sz w:val="22"/>
          <w:szCs w:val="22"/>
        </w:rPr>
        <w:t>"</w:t>
      </w:r>
      <w:r>
        <w:rPr>
          <w:rFonts w:ascii="Times New Roman" w:hAnsi="Times New Roman" w:hint="eastAsia"/>
          <w:color w:val="333333"/>
          <w:sz w:val="22"/>
          <w:szCs w:val="22"/>
        </w:rPr>
        <w:t>安全第一、预防为主</w:t>
      </w:r>
      <w:r>
        <w:rPr>
          <w:rFonts w:ascii="Times New Roman" w:hAnsi="Times New Roman" w:cs="Times New Roman"/>
          <w:color w:val="333333"/>
          <w:sz w:val="22"/>
          <w:szCs w:val="22"/>
        </w:rPr>
        <w:t>"</w:t>
      </w:r>
      <w:r>
        <w:rPr>
          <w:rFonts w:ascii="Times New Roman" w:hAnsi="Times New Roman" w:hint="eastAsia"/>
          <w:color w:val="333333"/>
          <w:sz w:val="22"/>
          <w:szCs w:val="22"/>
        </w:rPr>
        <w:t>的方针</w:t>
      </w:r>
      <w:r>
        <w:rPr>
          <w:rFonts w:ascii="Times New Roman" w:hAnsi="Times New Roman" w:cs="Times New Roman"/>
          <w:color w:val="333333"/>
          <w:sz w:val="22"/>
          <w:szCs w:val="22"/>
        </w:rPr>
        <w:t>,</w:t>
      </w:r>
      <w:r>
        <w:rPr>
          <w:rFonts w:ascii="Times New Roman" w:hAnsi="Times New Roman" w:hint="eastAsia"/>
          <w:color w:val="333333"/>
          <w:sz w:val="22"/>
          <w:szCs w:val="22"/>
        </w:rPr>
        <w:t>确保建设项目</w:t>
      </w:r>
      <w:r>
        <w:rPr>
          <w:rFonts w:ascii="Times New Roman" w:hAnsi="Times New Roman" w:cs="Times New Roman"/>
          <w:color w:val="333333"/>
          <w:sz w:val="22"/>
          <w:szCs w:val="22"/>
        </w:rPr>
        <w:t>(</w:t>
      </w:r>
      <w:r>
        <w:rPr>
          <w:rFonts w:ascii="Times New Roman" w:hAnsi="Times New Roman" w:hint="eastAsia"/>
          <w:color w:val="333333"/>
          <w:sz w:val="22"/>
          <w:szCs w:val="22"/>
        </w:rPr>
        <w:t>工程</w:t>
      </w:r>
      <w:r>
        <w:rPr>
          <w:rFonts w:ascii="Times New Roman" w:hAnsi="Times New Roman" w:cs="Times New Roman"/>
          <w:color w:val="333333"/>
          <w:sz w:val="22"/>
          <w:szCs w:val="22"/>
        </w:rPr>
        <w:t>)</w:t>
      </w:r>
      <w:r>
        <w:rPr>
          <w:rFonts w:ascii="Times New Roman" w:hAnsi="Times New Roman" w:hint="eastAsia"/>
          <w:color w:val="333333"/>
          <w:sz w:val="22"/>
          <w:szCs w:val="22"/>
        </w:rPr>
        <w:t>符合国家规定的劳动安全卫生标准</w:t>
      </w:r>
      <w:r>
        <w:rPr>
          <w:rFonts w:ascii="Times New Roman" w:hAnsi="Times New Roman" w:cs="Times New Roman"/>
          <w:color w:val="333333"/>
          <w:sz w:val="22"/>
          <w:szCs w:val="22"/>
        </w:rPr>
        <w:t>,</w:t>
      </w:r>
      <w:r>
        <w:rPr>
          <w:rFonts w:ascii="Times New Roman" w:hAnsi="Times New Roman" w:hint="eastAsia"/>
          <w:color w:val="333333"/>
          <w:sz w:val="22"/>
          <w:szCs w:val="22"/>
        </w:rPr>
        <w:t>保障劳动者在生产过程中的安全与健康</w:t>
      </w:r>
      <w:r>
        <w:rPr>
          <w:rFonts w:ascii="Times New Roman" w:hAnsi="Times New Roman" w:cs="Times New Roman"/>
          <w:color w:val="333333"/>
          <w:sz w:val="22"/>
          <w:szCs w:val="22"/>
        </w:rPr>
        <w:t>,</w:t>
      </w:r>
      <w:r>
        <w:rPr>
          <w:rFonts w:ascii="Times New Roman" w:hAnsi="Times New Roman" w:hint="eastAsia"/>
          <w:color w:val="333333"/>
          <w:sz w:val="22"/>
          <w:szCs w:val="22"/>
        </w:rPr>
        <w:t>根据</w:t>
      </w:r>
      <w:r>
        <w:rPr>
          <w:rFonts w:ascii="Times New Roman" w:hAnsi="Times New Roman" w:cs="Times New Roman"/>
          <w:color w:val="333333"/>
          <w:sz w:val="22"/>
          <w:szCs w:val="22"/>
        </w:rPr>
        <w:t>&lt;&lt;</w:t>
      </w:r>
      <w:r>
        <w:rPr>
          <w:rFonts w:ascii="Times New Roman" w:hAnsi="Times New Roman" w:hint="eastAsia"/>
          <w:color w:val="333333"/>
          <w:sz w:val="22"/>
          <w:szCs w:val="22"/>
        </w:rPr>
        <w:t>劳动法</w:t>
      </w:r>
      <w:r>
        <w:rPr>
          <w:rFonts w:ascii="Times New Roman" w:hAnsi="Times New Roman" w:cs="Times New Roman"/>
          <w:color w:val="333333"/>
          <w:sz w:val="22"/>
          <w:szCs w:val="22"/>
        </w:rPr>
        <w:t>&gt;&gt;,</w:t>
      </w:r>
      <w:r>
        <w:rPr>
          <w:rFonts w:ascii="Times New Roman" w:hAnsi="Times New Roman" w:hint="eastAsia"/>
          <w:color w:val="333333"/>
          <w:sz w:val="22"/>
          <w:szCs w:val="22"/>
        </w:rPr>
        <w:t>制定本规定</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第二条</w:t>
      </w:r>
      <w:r>
        <w:rPr>
          <w:rFonts w:ascii="Times New Roman" w:hAnsi="Times New Roman" w:hint="eastAsia"/>
          <w:color w:val="333333"/>
          <w:sz w:val="22"/>
          <w:szCs w:val="22"/>
        </w:rPr>
        <w:t>本规定适用于我国境内的新建、改建、扩建的基本建设项目</w:t>
      </w:r>
      <w:r>
        <w:rPr>
          <w:rFonts w:ascii="Times New Roman" w:hAnsi="Times New Roman" w:cs="Times New Roman"/>
          <w:color w:val="333333"/>
          <w:sz w:val="22"/>
          <w:szCs w:val="22"/>
        </w:rPr>
        <w:t>(</w:t>
      </w:r>
      <w:r>
        <w:rPr>
          <w:rFonts w:ascii="Times New Roman" w:hAnsi="Times New Roman" w:hint="eastAsia"/>
          <w:color w:val="333333"/>
          <w:sz w:val="22"/>
          <w:szCs w:val="22"/>
        </w:rPr>
        <w:t>工程</w:t>
      </w:r>
      <w:r>
        <w:rPr>
          <w:rFonts w:ascii="Times New Roman" w:hAnsi="Times New Roman" w:cs="Times New Roman"/>
          <w:color w:val="333333"/>
          <w:sz w:val="22"/>
          <w:szCs w:val="22"/>
        </w:rPr>
        <w:t>)</w:t>
      </w:r>
      <w:r>
        <w:rPr>
          <w:rFonts w:ascii="Times New Roman" w:hAnsi="Times New Roman" w:hint="eastAsia"/>
          <w:color w:val="333333"/>
          <w:sz w:val="22"/>
          <w:szCs w:val="22"/>
        </w:rPr>
        <w:t>、技术改造项目</w:t>
      </w:r>
      <w:r>
        <w:rPr>
          <w:rFonts w:ascii="Times New Roman" w:hAnsi="Times New Roman" w:cs="Times New Roman"/>
          <w:color w:val="333333"/>
          <w:sz w:val="22"/>
          <w:szCs w:val="22"/>
        </w:rPr>
        <w:t>(</w:t>
      </w:r>
      <w:r>
        <w:rPr>
          <w:rFonts w:ascii="Times New Roman" w:hAnsi="Times New Roman" w:hint="eastAsia"/>
          <w:color w:val="333333"/>
          <w:sz w:val="22"/>
          <w:szCs w:val="22"/>
        </w:rPr>
        <w:t>工程</w:t>
      </w:r>
      <w:r>
        <w:rPr>
          <w:rFonts w:ascii="Times New Roman" w:hAnsi="Times New Roman" w:cs="Times New Roman"/>
          <w:color w:val="333333"/>
          <w:sz w:val="22"/>
          <w:szCs w:val="22"/>
        </w:rPr>
        <w:t>)</w:t>
      </w:r>
      <w:r>
        <w:rPr>
          <w:rFonts w:ascii="Times New Roman" w:hAnsi="Times New Roman" w:hint="eastAsia"/>
          <w:color w:val="333333"/>
          <w:sz w:val="22"/>
          <w:szCs w:val="22"/>
        </w:rPr>
        <w:t>和引进的建设项目</w:t>
      </w:r>
      <w:r>
        <w:rPr>
          <w:rFonts w:ascii="Times New Roman" w:hAnsi="Times New Roman" w:cs="Times New Roman"/>
          <w:color w:val="333333"/>
          <w:sz w:val="22"/>
          <w:szCs w:val="22"/>
        </w:rPr>
        <w:t>(</w:t>
      </w:r>
      <w:r>
        <w:rPr>
          <w:rFonts w:ascii="Times New Roman" w:hAnsi="Times New Roman" w:hint="eastAsia"/>
          <w:color w:val="333333"/>
          <w:sz w:val="22"/>
          <w:szCs w:val="22"/>
        </w:rPr>
        <w:t>工程</w:t>
      </w:r>
      <w:r>
        <w:rPr>
          <w:rFonts w:ascii="Times New Roman" w:hAnsi="Times New Roman" w:cs="Times New Roman"/>
          <w:color w:val="333333"/>
          <w:sz w:val="22"/>
          <w:szCs w:val="22"/>
        </w:rPr>
        <w:t>)(</w:t>
      </w:r>
      <w:r>
        <w:rPr>
          <w:rFonts w:ascii="Times New Roman" w:hAnsi="Times New Roman" w:hint="eastAsia"/>
          <w:color w:val="333333"/>
          <w:sz w:val="22"/>
          <w:szCs w:val="22"/>
        </w:rPr>
        <w:t>以下简称建设项目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矿山建设工程的安全卫生监察按矿山安全法律、法规和劳动部颁布的</w:t>
      </w:r>
      <w:r>
        <w:rPr>
          <w:rFonts w:ascii="Times New Roman" w:hAnsi="Times New Roman" w:cs="Times New Roman"/>
          <w:color w:val="333333"/>
          <w:sz w:val="22"/>
          <w:szCs w:val="22"/>
        </w:rPr>
        <w:t>&lt;&lt;</w:t>
      </w:r>
      <w:r>
        <w:rPr>
          <w:rFonts w:ascii="Times New Roman" w:hAnsi="Times New Roman" w:hint="eastAsia"/>
          <w:color w:val="333333"/>
          <w:sz w:val="22"/>
          <w:szCs w:val="22"/>
        </w:rPr>
        <w:t>矿山建设工程安全监督实施办法</w:t>
      </w:r>
      <w:r>
        <w:rPr>
          <w:rFonts w:ascii="Times New Roman" w:hAnsi="Times New Roman" w:cs="Times New Roman"/>
          <w:color w:val="333333"/>
          <w:sz w:val="22"/>
          <w:szCs w:val="22"/>
        </w:rPr>
        <w:t>&gt;&gt;</w:t>
      </w:r>
      <w:r>
        <w:rPr>
          <w:rFonts w:ascii="Times New Roman" w:hAnsi="Times New Roman" w:hint="eastAsia"/>
          <w:color w:val="333333"/>
          <w:sz w:val="22"/>
          <w:szCs w:val="22"/>
        </w:rPr>
        <w:t>执行</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第三条</w:t>
      </w:r>
      <w:r>
        <w:rPr>
          <w:rFonts w:ascii="Times New Roman" w:hAnsi="Times New Roman" w:hint="eastAsia"/>
          <w:color w:val="333333"/>
          <w:sz w:val="22"/>
          <w:szCs w:val="22"/>
        </w:rPr>
        <w:t>建设项目中的劳动安全卫生设施必须符合国家规定的标准</w:t>
      </w:r>
      <w:r>
        <w:rPr>
          <w:rFonts w:ascii="Times New Roman" w:hAnsi="Times New Roman" w:cs="Times New Roman"/>
          <w:color w:val="333333"/>
          <w:sz w:val="22"/>
          <w:szCs w:val="22"/>
        </w:rPr>
        <w:t>,</w:t>
      </w:r>
      <w:r>
        <w:rPr>
          <w:rFonts w:ascii="Times New Roman" w:hAnsi="Times New Roman" w:hint="eastAsia"/>
          <w:color w:val="333333"/>
          <w:sz w:val="22"/>
          <w:szCs w:val="22"/>
        </w:rPr>
        <w:t>必须与主体工程同时设计、同时施工、同时投入生产和使用</w:t>
      </w:r>
      <w:r>
        <w:rPr>
          <w:rFonts w:ascii="Times New Roman" w:hAnsi="Times New Roman" w:cs="Times New Roman"/>
          <w:color w:val="333333"/>
          <w:sz w:val="22"/>
          <w:szCs w:val="22"/>
        </w:rPr>
        <w:t>(</w:t>
      </w:r>
      <w:r>
        <w:rPr>
          <w:rFonts w:ascii="Times New Roman" w:hAnsi="Times New Roman" w:hint="eastAsia"/>
          <w:color w:val="333333"/>
          <w:sz w:val="22"/>
          <w:szCs w:val="22"/>
        </w:rPr>
        <w:t>以下简称</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第四条</w:t>
      </w:r>
      <w:r>
        <w:rPr>
          <w:rFonts w:ascii="Times New Roman" w:hAnsi="Times New Roman" w:hint="eastAsia"/>
          <w:color w:val="333333"/>
          <w:sz w:val="22"/>
          <w:szCs w:val="22"/>
        </w:rPr>
        <w:t>建设项目中引进的国外技术和设备应符合我国规定或认可的劳动安全卫生标准</w:t>
      </w:r>
      <w:r>
        <w:rPr>
          <w:rFonts w:ascii="Times New Roman" w:hAnsi="Times New Roman" w:cs="Times New Roman"/>
          <w:color w:val="333333"/>
          <w:sz w:val="22"/>
          <w:szCs w:val="22"/>
        </w:rPr>
        <w:t>;</w:t>
      </w:r>
      <w:r>
        <w:rPr>
          <w:rFonts w:ascii="Times New Roman" w:hAnsi="Times New Roman" w:hint="eastAsia"/>
          <w:color w:val="333333"/>
          <w:sz w:val="22"/>
          <w:szCs w:val="22"/>
        </w:rPr>
        <w:t>全部设计应符合我国有关规范和规定的要求</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第五条</w:t>
      </w:r>
      <w:r>
        <w:rPr>
          <w:rFonts w:ascii="Times New Roman" w:hAnsi="Times New Roman" w:hint="eastAsia"/>
          <w:color w:val="333333"/>
          <w:sz w:val="22"/>
          <w:szCs w:val="22"/>
        </w:rPr>
        <w:t>各级经济管理部门和行业管理部门在建设项目劳动安全卫生</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工作中的职责是</w:t>
      </w:r>
      <w:r>
        <w:rPr>
          <w:rFonts w:ascii="Times New Roman" w:hAnsi="Times New Roman" w:cs="Times New Roman"/>
          <w:color w:val="333333"/>
          <w:sz w:val="22"/>
          <w:szCs w:val="22"/>
        </w:rPr>
        <w:t>;1.</w:t>
      </w:r>
      <w:r>
        <w:rPr>
          <w:rFonts w:ascii="Times New Roman" w:hAnsi="Times New Roman" w:hint="eastAsia"/>
          <w:color w:val="333333"/>
          <w:sz w:val="22"/>
          <w:szCs w:val="22"/>
        </w:rPr>
        <w:t>在建设项目立项和管理工作中贯彻执行国家的劳动安全卫生</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规定</w:t>
      </w:r>
      <w:r>
        <w:rPr>
          <w:rFonts w:ascii="Times New Roman" w:hAnsi="Times New Roman" w:cs="Times New Roman"/>
          <w:color w:val="333333"/>
          <w:sz w:val="22"/>
          <w:szCs w:val="22"/>
        </w:rPr>
        <w:t>,</w:t>
      </w:r>
      <w:r>
        <w:rPr>
          <w:rFonts w:ascii="Times New Roman" w:hAnsi="Times New Roman" w:hint="eastAsia"/>
          <w:color w:val="333333"/>
          <w:sz w:val="22"/>
          <w:szCs w:val="22"/>
        </w:rPr>
        <w:t>管理和指导建设、设计、施工等单位严格执行</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规定</w:t>
      </w:r>
      <w:r>
        <w:rPr>
          <w:rFonts w:ascii="Times New Roman" w:hAnsi="Times New Roman" w:cs="Times New Roman"/>
          <w:color w:val="333333"/>
          <w:sz w:val="22"/>
          <w:szCs w:val="22"/>
        </w:rPr>
        <w:t>;2.</w:t>
      </w:r>
      <w:r>
        <w:rPr>
          <w:rFonts w:ascii="Times New Roman" w:hAnsi="Times New Roman" w:hint="eastAsia"/>
          <w:color w:val="333333"/>
          <w:sz w:val="22"/>
          <w:szCs w:val="22"/>
        </w:rPr>
        <w:t>国务院家关行业管理部门应根据国家劳动安全卫生标准</w:t>
      </w:r>
      <w:r>
        <w:rPr>
          <w:rFonts w:ascii="Times New Roman" w:hAnsi="Times New Roman" w:cs="Times New Roman"/>
          <w:color w:val="333333"/>
          <w:sz w:val="22"/>
          <w:szCs w:val="22"/>
        </w:rPr>
        <w:t>,</w:t>
      </w:r>
      <w:r>
        <w:rPr>
          <w:rFonts w:ascii="Times New Roman" w:hAnsi="Times New Roman" w:hint="eastAsia"/>
          <w:color w:val="333333"/>
          <w:sz w:val="22"/>
          <w:szCs w:val="22"/>
        </w:rPr>
        <w:t>会同劳动部制定本行业的建设项目劳动安全卫生设计规定</w:t>
      </w:r>
      <w:r>
        <w:rPr>
          <w:rFonts w:ascii="Times New Roman" w:hAnsi="Times New Roman" w:cs="Times New Roman"/>
          <w:color w:val="333333"/>
          <w:sz w:val="22"/>
          <w:szCs w:val="22"/>
        </w:rPr>
        <w:t>;3.</w:t>
      </w:r>
      <w:r>
        <w:rPr>
          <w:rFonts w:ascii="Times New Roman" w:hAnsi="Times New Roman" w:hint="eastAsia"/>
          <w:color w:val="333333"/>
          <w:sz w:val="22"/>
          <w:szCs w:val="22"/>
        </w:rPr>
        <w:t>负责将本行业建设项目年度计划及时抄送同级劳动行政部门</w:t>
      </w:r>
      <w:r>
        <w:rPr>
          <w:rFonts w:ascii="Times New Roman" w:hAnsi="Times New Roman" w:cs="Times New Roman"/>
          <w:color w:val="333333"/>
          <w:sz w:val="22"/>
          <w:szCs w:val="22"/>
        </w:rPr>
        <w:t>.4.</w:t>
      </w:r>
      <w:r>
        <w:rPr>
          <w:rFonts w:ascii="Times New Roman" w:hAnsi="Times New Roman" w:hint="eastAsia"/>
          <w:color w:val="333333"/>
          <w:sz w:val="22"/>
          <w:szCs w:val="22"/>
        </w:rPr>
        <w:t>在组织建设项目可行性研究时</w:t>
      </w:r>
      <w:r>
        <w:rPr>
          <w:rFonts w:ascii="Times New Roman" w:hAnsi="Times New Roman" w:cs="Times New Roman"/>
          <w:color w:val="333333"/>
          <w:sz w:val="22"/>
          <w:szCs w:val="22"/>
        </w:rPr>
        <w:t>,</w:t>
      </w:r>
      <w:r>
        <w:rPr>
          <w:rFonts w:ascii="Times New Roman" w:hAnsi="Times New Roman" w:hint="eastAsia"/>
          <w:color w:val="333333"/>
          <w:sz w:val="22"/>
          <w:szCs w:val="22"/>
        </w:rPr>
        <w:t>应有劳动安全卫生的论证内容</w:t>
      </w:r>
      <w:r>
        <w:rPr>
          <w:rFonts w:ascii="Times New Roman" w:hAnsi="Times New Roman" w:cs="Times New Roman"/>
          <w:color w:val="333333"/>
          <w:sz w:val="22"/>
          <w:szCs w:val="22"/>
        </w:rPr>
        <w:t>,</w:t>
      </w:r>
      <w:r>
        <w:rPr>
          <w:rFonts w:ascii="Times New Roman" w:hAnsi="Times New Roman" w:hint="eastAsia"/>
          <w:color w:val="333333"/>
          <w:sz w:val="22"/>
          <w:szCs w:val="22"/>
        </w:rPr>
        <w:t>并将论证内容作为可行性研究报告的真心诚意让章</w:t>
      </w:r>
      <w:r>
        <w:rPr>
          <w:rFonts w:ascii="Times New Roman" w:hAnsi="Times New Roman" w:cs="Times New Roman"/>
          <w:color w:val="333333"/>
          <w:sz w:val="22"/>
          <w:szCs w:val="22"/>
        </w:rPr>
        <w:t>(</w:t>
      </w:r>
      <w:r>
        <w:rPr>
          <w:rFonts w:ascii="Times New Roman" w:hAnsi="Times New Roman" w:hint="eastAsia"/>
          <w:color w:val="333333"/>
          <w:sz w:val="22"/>
          <w:szCs w:val="22"/>
        </w:rPr>
        <w:t>节</w:t>
      </w:r>
      <w:r>
        <w:rPr>
          <w:rFonts w:ascii="Times New Roman" w:hAnsi="Times New Roman" w:cs="Times New Roman"/>
          <w:color w:val="333333"/>
          <w:sz w:val="22"/>
          <w:szCs w:val="22"/>
        </w:rPr>
        <w:t>)</w:t>
      </w:r>
      <w:r>
        <w:rPr>
          <w:rFonts w:ascii="Times New Roman" w:hAnsi="Times New Roman" w:hint="eastAsia"/>
          <w:color w:val="333333"/>
          <w:sz w:val="22"/>
          <w:szCs w:val="22"/>
        </w:rPr>
        <w:t>编入可行性研究报告</w:t>
      </w:r>
      <w:r>
        <w:rPr>
          <w:rFonts w:ascii="Times New Roman" w:hAnsi="Times New Roman" w:cs="Times New Roman"/>
          <w:color w:val="333333"/>
          <w:sz w:val="22"/>
          <w:szCs w:val="22"/>
        </w:rPr>
        <w:t>;5.</w:t>
      </w:r>
      <w:r>
        <w:rPr>
          <w:rFonts w:ascii="Times New Roman" w:hAnsi="Times New Roman" w:hint="eastAsia"/>
          <w:color w:val="333333"/>
          <w:sz w:val="22"/>
          <w:szCs w:val="22"/>
        </w:rPr>
        <w:t>在编制</w:t>
      </w:r>
      <w:r>
        <w:rPr>
          <w:rFonts w:ascii="Times New Roman" w:hAnsi="Times New Roman" w:cs="Times New Roman"/>
          <w:color w:val="333333"/>
          <w:sz w:val="22"/>
          <w:szCs w:val="22"/>
        </w:rPr>
        <w:t>(</w:t>
      </w:r>
      <w:r>
        <w:rPr>
          <w:rFonts w:ascii="Times New Roman" w:hAnsi="Times New Roman" w:hint="eastAsia"/>
          <w:color w:val="333333"/>
          <w:sz w:val="22"/>
          <w:szCs w:val="22"/>
        </w:rPr>
        <w:t>或审批</w:t>
      </w:r>
      <w:r>
        <w:rPr>
          <w:rFonts w:ascii="Times New Roman" w:hAnsi="Times New Roman" w:cs="Times New Roman"/>
          <w:color w:val="333333"/>
          <w:sz w:val="22"/>
          <w:szCs w:val="22"/>
        </w:rPr>
        <w:t>)</w:t>
      </w:r>
      <w:r>
        <w:rPr>
          <w:rFonts w:ascii="Times New Roman" w:hAnsi="Times New Roman" w:hint="eastAsia"/>
          <w:color w:val="333333"/>
          <w:sz w:val="22"/>
          <w:szCs w:val="22"/>
        </w:rPr>
        <w:t>建设项目计划任务书时</w:t>
      </w:r>
      <w:r>
        <w:rPr>
          <w:rFonts w:ascii="Times New Roman" w:hAnsi="Times New Roman" w:cs="Times New Roman"/>
          <w:color w:val="333333"/>
          <w:sz w:val="22"/>
          <w:szCs w:val="22"/>
        </w:rPr>
        <w:t>,</w:t>
      </w:r>
      <w:r>
        <w:rPr>
          <w:rFonts w:ascii="Times New Roman" w:hAnsi="Times New Roman" w:hint="eastAsia"/>
          <w:color w:val="333333"/>
          <w:sz w:val="22"/>
          <w:szCs w:val="22"/>
        </w:rPr>
        <w:t>应编制</w:t>
      </w:r>
      <w:r>
        <w:rPr>
          <w:rFonts w:ascii="Times New Roman" w:hAnsi="Times New Roman" w:cs="Times New Roman"/>
          <w:color w:val="333333"/>
          <w:sz w:val="22"/>
          <w:szCs w:val="22"/>
        </w:rPr>
        <w:t>(</w:t>
      </w:r>
      <w:r>
        <w:rPr>
          <w:rFonts w:ascii="Times New Roman" w:hAnsi="Times New Roman" w:hint="eastAsia"/>
          <w:color w:val="333333"/>
          <w:sz w:val="22"/>
          <w:szCs w:val="22"/>
        </w:rPr>
        <w:t>或审批</w:t>
      </w:r>
      <w:r>
        <w:rPr>
          <w:rFonts w:ascii="Times New Roman" w:hAnsi="Times New Roman" w:cs="Times New Roman"/>
          <w:color w:val="333333"/>
          <w:sz w:val="22"/>
          <w:szCs w:val="22"/>
        </w:rPr>
        <w:t>)</w:t>
      </w:r>
      <w:r>
        <w:rPr>
          <w:rFonts w:ascii="Times New Roman" w:hAnsi="Times New Roman" w:hint="eastAsia"/>
          <w:color w:val="333333"/>
          <w:sz w:val="22"/>
          <w:szCs w:val="22"/>
        </w:rPr>
        <w:t>劳动安全卫生设施所需投资</w:t>
      </w:r>
      <w:r>
        <w:rPr>
          <w:rFonts w:ascii="Times New Roman" w:hAnsi="Times New Roman" w:cs="Times New Roman"/>
          <w:color w:val="333333"/>
          <w:sz w:val="22"/>
          <w:szCs w:val="22"/>
        </w:rPr>
        <w:t>,</w:t>
      </w:r>
      <w:r>
        <w:rPr>
          <w:rFonts w:ascii="Times New Roman" w:hAnsi="Times New Roman" w:hint="eastAsia"/>
          <w:color w:val="333333"/>
          <w:sz w:val="22"/>
          <w:szCs w:val="22"/>
        </w:rPr>
        <w:t>并纳入投资控制数额内</w:t>
      </w:r>
      <w:r>
        <w:rPr>
          <w:rFonts w:ascii="Times New Roman" w:hAnsi="Times New Roman" w:cs="Times New Roman"/>
          <w:color w:val="333333"/>
          <w:sz w:val="22"/>
          <w:szCs w:val="22"/>
        </w:rPr>
        <w:t>;6.</w:t>
      </w:r>
      <w:r>
        <w:rPr>
          <w:rFonts w:ascii="Times New Roman" w:hAnsi="Times New Roman" w:hint="eastAsia"/>
          <w:color w:val="333333"/>
          <w:sz w:val="22"/>
          <w:szCs w:val="22"/>
        </w:rPr>
        <w:t>在组织建设项目可行性研究审查、初步设计审查和竣工验收时</w:t>
      </w:r>
      <w:r>
        <w:rPr>
          <w:rFonts w:ascii="Times New Roman" w:hAnsi="Times New Roman" w:cs="Times New Roman"/>
          <w:color w:val="333333"/>
          <w:sz w:val="22"/>
          <w:szCs w:val="22"/>
        </w:rPr>
        <w:t>,</w:t>
      </w:r>
      <w:r>
        <w:rPr>
          <w:rFonts w:ascii="Times New Roman" w:hAnsi="Times New Roman" w:hint="eastAsia"/>
          <w:color w:val="333333"/>
          <w:sz w:val="22"/>
          <w:szCs w:val="22"/>
        </w:rPr>
        <w:t>应当有劳动行政部门和行业管理部门中的劳动安全卫生管理机构参加</w:t>
      </w:r>
      <w:r>
        <w:rPr>
          <w:rFonts w:ascii="Times New Roman" w:hAnsi="Times New Roman" w:cs="Times New Roman"/>
          <w:color w:val="333333"/>
          <w:sz w:val="22"/>
          <w:szCs w:val="22"/>
        </w:rPr>
        <w:t>,</w:t>
      </w:r>
      <w:r>
        <w:rPr>
          <w:rFonts w:ascii="Times New Roman" w:hAnsi="Times New Roman" w:hint="eastAsia"/>
          <w:color w:val="333333"/>
          <w:sz w:val="22"/>
          <w:szCs w:val="22"/>
        </w:rPr>
        <w:t>并提供有关的文件、资料</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第六条</w:t>
      </w:r>
      <w:r>
        <w:rPr>
          <w:rFonts w:ascii="Times New Roman" w:hAnsi="Times New Roman" w:hint="eastAsia"/>
          <w:color w:val="333333"/>
          <w:sz w:val="22"/>
          <w:szCs w:val="22"/>
        </w:rPr>
        <w:t>建设单位对建设项目实施劳动安全卫生</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负全面责任</w:t>
      </w:r>
      <w:r>
        <w:rPr>
          <w:rFonts w:ascii="Times New Roman" w:hAnsi="Times New Roman" w:cs="Times New Roman"/>
          <w:color w:val="333333"/>
          <w:sz w:val="22"/>
          <w:szCs w:val="22"/>
        </w:rPr>
        <w:t>.</w:t>
      </w:r>
      <w:r>
        <w:rPr>
          <w:rFonts w:ascii="Times New Roman" w:hAnsi="Times New Roman" w:hint="eastAsia"/>
          <w:color w:val="333333"/>
          <w:sz w:val="22"/>
          <w:szCs w:val="22"/>
        </w:rPr>
        <w:t>其职责是</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在编制建设项目投资计划时</w:t>
      </w:r>
      <w:r>
        <w:rPr>
          <w:rFonts w:ascii="Times New Roman" w:hAnsi="Times New Roman" w:cs="Times New Roman"/>
          <w:color w:val="333333"/>
          <w:sz w:val="22"/>
          <w:szCs w:val="22"/>
        </w:rPr>
        <w:t>,</w:t>
      </w:r>
      <w:r>
        <w:rPr>
          <w:rFonts w:ascii="Times New Roman" w:hAnsi="Times New Roman" w:hint="eastAsia"/>
          <w:color w:val="333333"/>
          <w:sz w:val="22"/>
          <w:szCs w:val="22"/>
        </w:rPr>
        <w:t>应将劳动安全卫生设施所需投资一并纳入计划</w:t>
      </w:r>
      <w:r>
        <w:rPr>
          <w:rFonts w:ascii="Times New Roman" w:hAnsi="Times New Roman" w:cs="Times New Roman"/>
          <w:color w:val="333333"/>
          <w:sz w:val="22"/>
          <w:szCs w:val="22"/>
        </w:rPr>
        <w:t>,</w:t>
      </w:r>
      <w:r>
        <w:rPr>
          <w:rFonts w:ascii="Times New Roman" w:hAnsi="Times New Roman" w:hint="eastAsia"/>
          <w:color w:val="333333"/>
          <w:sz w:val="22"/>
          <w:szCs w:val="22"/>
        </w:rPr>
        <w:t>同时编报</w:t>
      </w:r>
      <w:r>
        <w:rPr>
          <w:rFonts w:ascii="Times New Roman" w:hAnsi="Times New Roman" w:cs="Times New Roman"/>
          <w:color w:val="333333"/>
          <w:sz w:val="22"/>
          <w:szCs w:val="22"/>
        </w:rPr>
        <w:t>.</w:t>
      </w:r>
      <w:r>
        <w:rPr>
          <w:rFonts w:ascii="Times New Roman" w:hAnsi="Times New Roman" w:hint="eastAsia"/>
          <w:color w:val="333333"/>
          <w:sz w:val="22"/>
          <w:szCs w:val="22"/>
        </w:rPr>
        <w:t>引进技术、设备的建设项目</w:t>
      </w:r>
      <w:r>
        <w:rPr>
          <w:rFonts w:ascii="Times New Roman" w:hAnsi="Times New Roman" w:cs="Times New Roman"/>
          <w:color w:val="333333"/>
          <w:sz w:val="22"/>
          <w:szCs w:val="22"/>
        </w:rPr>
        <w:t>,</w:t>
      </w:r>
      <w:r>
        <w:rPr>
          <w:rFonts w:ascii="Times New Roman" w:hAnsi="Times New Roman" w:hint="eastAsia"/>
          <w:color w:val="333333"/>
          <w:sz w:val="22"/>
          <w:szCs w:val="22"/>
        </w:rPr>
        <w:t>原有劳动安全卫生设施不得削减</w:t>
      </w:r>
      <w:r>
        <w:rPr>
          <w:rFonts w:ascii="Times New Roman" w:hAnsi="Times New Roman" w:cs="Times New Roman"/>
          <w:color w:val="333333"/>
          <w:sz w:val="22"/>
          <w:szCs w:val="22"/>
        </w:rPr>
        <w:t>,</w:t>
      </w:r>
      <w:r>
        <w:rPr>
          <w:rFonts w:ascii="Times New Roman" w:hAnsi="Times New Roman" w:hint="eastAsia"/>
          <w:color w:val="333333"/>
          <w:sz w:val="22"/>
          <w:szCs w:val="22"/>
        </w:rPr>
        <w:t>没有劳动卫生设施或设施不能满足国家劳动安全卫生标准规定的应同时编报国内配套的投资计划</w:t>
      </w:r>
      <w:r>
        <w:rPr>
          <w:rFonts w:ascii="Times New Roman" w:hAnsi="Times New Roman" w:cs="Times New Roman"/>
          <w:color w:val="333333"/>
          <w:sz w:val="22"/>
          <w:szCs w:val="22"/>
        </w:rPr>
        <w:t>,</w:t>
      </w:r>
      <w:r>
        <w:rPr>
          <w:rFonts w:ascii="Times New Roman" w:hAnsi="Times New Roman" w:hint="eastAsia"/>
          <w:color w:val="333333"/>
          <w:sz w:val="22"/>
          <w:szCs w:val="22"/>
        </w:rPr>
        <w:t>并保证建设项目投产后其劳动安全卫生设施符合国家规定的标准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初步设计会审前</w:t>
      </w:r>
      <w:r>
        <w:rPr>
          <w:rFonts w:ascii="Times New Roman" w:hAnsi="Times New Roman" w:cs="Times New Roman"/>
          <w:color w:val="333333"/>
          <w:sz w:val="22"/>
          <w:szCs w:val="22"/>
        </w:rPr>
        <w:t>,</w:t>
      </w:r>
      <w:r>
        <w:rPr>
          <w:rFonts w:ascii="Times New Roman" w:hAnsi="Times New Roman" w:hint="eastAsia"/>
          <w:color w:val="333333"/>
          <w:sz w:val="22"/>
          <w:szCs w:val="22"/>
        </w:rPr>
        <w:t>必须向劳动行政部门报送建设项目劳动安全卫生预评价报告和初步设计文件</w:t>
      </w:r>
      <w:r>
        <w:rPr>
          <w:rFonts w:ascii="Times New Roman" w:hAnsi="Times New Roman" w:cs="Times New Roman"/>
          <w:color w:val="333333"/>
          <w:sz w:val="22"/>
          <w:szCs w:val="22"/>
        </w:rPr>
        <w:t>[</w:t>
      </w:r>
      <w:r>
        <w:rPr>
          <w:rFonts w:ascii="Times New Roman" w:hAnsi="Times New Roman" w:hint="eastAsia"/>
          <w:color w:val="333333"/>
          <w:sz w:val="22"/>
          <w:szCs w:val="22"/>
        </w:rPr>
        <w:t>含</w:t>
      </w:r>
      <w:r>
        <w:rPr>
          <w:rFonts w:ascii="Times New Roman" w:hAnsi="Times New Roman" w:cs="Times New Roman"/>
          <w:color w:val="333333"/>
          <w:sz w:val="22"/>
          <w:szCs w:val="22"/>
        </w:rPr>
        <w:t>&lt;&lt;</w:t>
      </w:r>
      <w:r>
        <w:rPr>
          <w:rFonts w:ascii="Times New Roman" w:hAnsi="Times New Roman" w:hint="eastAsia"/>
          <w:color w:val="333333"/>
          <w:sz w:val="22"/>
          <w:szCs w:val="22"/>
        </w:rPr>
        <w:t>劳动安全卫生专篇</w:t>
      </w:r>
      <w:r>
        <w:rPr>
          <w:rFonts w:ascii="Times New Roman" w:hAnsi="Times New Roman" w:cs="Times New Roman"/>
          <w:color w:val="333333"/>
          <w:sz w:val="22"/>
          <w:szCs w:val="22"/>
        </w:rPr>
        <w:t>&gt;&gt;(</w:t>
      </w:r>
      <w:r>
        <w:rPr>
          <w:rFonts w:ascii="Times New Roman" w:hAnsi="Times New Roman" w:hint="eastAsia"/>
          <w:color w:val="333333"/>
          <w:sz w:val="22"/>
          <w:szCs w:val="22"/>
        </w:rPr>
        <w:t>见附件一</w:t>
      </w:r>
      <w:r>
        <w:rPr>
          <w:rFonts w:ascii="Times New Roman" w:hAnsi="Times New Roman" w:cs="Times New Roman"/>
          <w:color w:val="333333"/>
          <w:sz w:val="22"/>
          <w:szCs w:val="22"/>
        </w:rPr>
        <w:t>)]</w:t>
      </w:r>
      <w:r>
        <w:rPr>
          <w:rFonts w:ascii="Times New Roman" w:hAnsi="Times New Roman" w:hint="eastAsia"/>
          <w:color w:val="333333"/>
          <w:sz w:val="22"/>
          <w:szCs w:val="22"/>
        </w:rPr>
        <w:t>和有关的图纸资料</w:t>
      </w:r>
      <w:r>
        <w:rPr>
          <w:rFonts w:ascii="Times New Roman" w:hAnsi="Times New Roman" w:cs="Times New Roman"/>
          <w:color w:val="333333"/>
          <w:sz w:val="22"/>
          <w:szCs w:val="22"/>
        </w:rPr>
        <w:t>.</w:t>
      </w:r>
      <w:r>
        <w:rPr>
          <w:rFonts w:ascii="Times New Roman" w:hAnsi="Times New Roman" w:hint="eastAsia"/>
          <w:color w:val="333333"/>
          <w:sz w:val="22"/>
          <w:szCs w:val="22"/>
        </w:rPr>
        <w:t>初步设计方案经劳动行政部门审查同意后</w:t>
      </w:r>
      <w:r>
        <w:rPr>
          <w:rFonts w:ascii="Times New Roman" w:hAnsi="Times New Roman" w:cs="Times New Roman"/>
          <w:color w:val="333333"/>
          <w:sz w:val="22"/>
          <w:szCs w:val="22"/>
        </w:rPr>
        <w:t>,</w:t>
      </w:r>
      <w:r>
        <w:rPr>
          <w:rFonts w:ascii="Times New Roman" w:hAnsi="Times New Roman" w:hint="eastAsia"/>
          <w:color w:val="333333"/>
          <w:sz w:val="22"/>
          <w:szCs w:val="22"/>
        </w:rPr>
        <w:t>应及时办理</w:t>
      </w:r>
      <w:r>
        <w:rPr>
          <w:rFonts w:ascii="Times New Roman" w:hAnsi="Times New Roman" w:cs="Times New Roman"/>
          <w:color w:val="333333"/>
          <w:sz w:val="22"/>
          <w:szCs w:val="22"/>
        </w:rPr>
        <w:t>&lt;&lt;</w:t>
      </w:r>
      <w:r>
        <w:rPr>
          <w:rFonts w:ascii="Times New Roman" w:hAnsi="Times New Roman" w:hint="eastAsia"/>
          <w:color w:val="333333"/>
          <w:sz w:val="22"/>
          <w:szCs w:val="22"/>
        </w:rPr>
        <w:t>建设项目劳动安全卫生初步设计审批表</w:t>
      </w:r>
      <w:r>
        <w:rPr>
          <w:rFonts w:ascii="Times New Roman" w:hAnsi="Times New Roman" w:cs="Times New Roman"/>
          <w:color w:val="333333"/>
          <w:sz w:val="22"/>
          <w:szCs w:val="22"/>
        </w:rPr>
        <w:t>&gt;&gt;(</w:t>
      </w:r>
      <w:r>
        <w:rPr>
          <w:rFonts w:ascii="Times New Roman" w:hAnsi="Times New Roman" w:hint="eastAsia"/>
          <w:color w:val="333333"/>
          <w:sz w:val="22"/>
          <w:szCs w:val="22"/>
        </w:rPr>
        <w:t>见附件二</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对承担建设项目的可行性研究、劳动安全卫生预评价、设计、施工等任务的单位提出落实</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规定的具体要求</w:t>
      </w:r>
      <w:r>
        <w:rPr>
          <w:rFonts w:ascii="Times New Roman" w:hAnsi="Times New Roman" w:cs="Times New Roman"/>
          <w:color w:val="333333"/>
          <w:sz w:val="22"/>
          <w:szCs w:val="22"/>
        </w:rPr>
        <w:t>,</w:t>
      </w:r>
      <w:r>
        <w:rPr>
          <w:rFonts w:ascii="Times New Roman" w:hAnsi="Times New Roman" w:hint="eastAsia"/>
          <w:color w:val="333333"/>
          <w:sz w:val="22"/>
          <w:szCs w:val="22"/>
        </w:rPr>
        <w:t>并负提供必需的资料和条件</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在生产设备高度阶段</w:t>
      </w:r>
      <w:r>
        <w:rPr>
          <w:rFonts w:ascii="Times New Roman" w:hAnsi="Times New Roman" w:cs="Times New Roman"/>
          <w:color w:val="333333"/>
          <w:sz w:val="22"/>
          <w:szCs w:val="22"/>
        </w:rPr>
        <w:t>,</w:t>
      </w:r>
      <w:r>
        <w:rPr>
          <w:rFonts w:ascii="Times New Roman" w:hAnsi="Times New Roman" w:hint="eastAsia"/>
          <w:color w:val="333333"/>
          <w:sz w:val="22"/>
          <w:szCs w:val="22"/>
        </w:rPr>
        <w:t>应同时对劳动安全卫生设施进行高度和考核</w:t>
      </w:r>
      <w:r>
        <w:rPr>
          <w:rFonts w:ascii="Times New Roman" w:hAnsi="Times New Roman" w:cs="Times New Roman"/>
          <w:color w:val="333333"/>
          <w:sz w:val="22"/>
          <w:szCs w:val="22"/>
        </w:rPr>
        <w:t>,</w:t>
      </w:r>
      <w:r>
        <w:rPr>
          <w:rFonts w:ascii="Times New Roman" w:hAnsi="Times New Roman" w:hint="eastAsia"/>
          <w:color w:val="333333"/>
          <w:sz w:val="22"/>
          <w:szCs w:val="22"/>
        </w:rPr>
        <w:t>对其效果作出评价</w:t>
      </w:r>
      <w:r>
        <w:rPr>
          <w:rFonts w:ascii="Times New Roman" w:hAnsi="Times New Roman" w:cs="Times New Roman"/>
          <w:color w:val="333333"/>
          <w:sz w:val="22"/>
          <w:szCs w:val="22"/>
        </w:rPr>
        <w:t>.</w:t>
      </w:r>
      <w:r>
        <w:rPr>
          <w:rFonts w:ascii="Times New Roman" w:hAnsi="Times New Roman" w:hint="eastAsia"/>
          <w:color w:val="333333"/>
          <w:sz w:val="22"/>
          <w:szCs w:val="22"/>
        </w:rPr>
        <w:t>在人员培训时应有劳动安全卫生的内容</w:t>
      </w:r>
      <w:r>
        <w:rPr>
          <w:rFonts w:ascii="Times New Roman" w:hAnsi="Times New Roman" w:cs="Times New Roman"/>
          <w:color w:val="333333"/>
          <w:sz w:val="22"/>
          <w:szCs w:val="22"/>
        </w:rPr>
        <w:t>,</w:t>
      </w:r>
      <w:r>
        <w:rPr>
          <w:rFonts w:ascii="Times New Roman" w:hAnsi="Times New Roman" w:hint="eastAsia"/>
          <w:color w:val="333333"/>
          <w:sz w:val="22"/>
          <w:szCs w:val="22"/>
        </w:rPr>
        <w:t>应制定完整的劳动安全卫生方面的规章制度</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建设项目预验收前</w:t>
      </w:r>
      <w:r>
        <w:rPr>
          <w:rFonts w:ascii="Times New Roman" w:hAnsi="Times New Roman" w:cs="Times New Roman"/>
          <w:color w:val="333333"/>
          <w:sz w:val="22"/>
          <w:szCs w:val="22"/>
        </w:rPr>
        <w:t>,</w:t>
      </w:r>
      <w:r>
        <w:rPr>
          <w:rFonts w:ascii="Times New Roman" w:hAnsi="Times New Roman" w:hint="eastAsia"/>
          <w:color w:val="333333"/>
          <w:sz w:val="22"/>
          <w:szCs w:val="22"/>
        </w:rPr>
        <w:t>应自主选择并委托劳动行政部门认可的单位进行劳动条件检测、危害程度分级和有关设备的安全卫生检测、检验</w:t>
      </w:r>
      <w:r>
        <w:rPr>
          <w:rFonts w:ascii="Times New Roman" w:hAnsi="Times New Roman" w:cs="Times New Roman"/>
          <w:color w:val="333333"/>
          <w:sz w:val="22"/>
          <w:szCs w:val="22"/>
        </w:rPr>
        <w:t>,</w:t>
      </w:r>
      <w:r>
        <w:rPr>
          <w:rFonts w:ascii="Times New Roman" w:hAnsi="Times New Roman" w:hint="eastAsia"/>
          <w:color w:val="333333"/>
          <w:sz w:val="22"/>
          <w:szCs w:val="22"/>
        </w:rPr>
        <w:t>并将试运行中劳动安全卫生设备运行情况、措施的效果、检测检验数据、存在的问题以及拟采取的措施等写入劳动安全卫生验收专题报告</w:t>
      </w:r>
      <w:r>
        <w:rPr>
          <w:rFonts w:ascii="Times New Roman" w:hAnsi="Times New Roman" w:cs="Times New Roman"/>
          <w:color w:val="333333"/>
          <w:sz w:val="22"/>
          <w:szCs w:val="22"/>
        </w:rPr>
        <w:t>,</w:t>
      </w:r>
      <w:r>
        <w:rPr>
          <w:rFonts w:ascii="Times New Roman" w:hAnsi="Times New Roman" w:hint="eastAsia"/>
          <w:color w:val="333333"/>
          <w:sz w:val="22"/>
          <w:szCs w:val="22"/>
        </w:rPr>
        <w:t>报送劳动行政部门审批</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六</w:t>
      </w:r>
      <w:r>
        <w:rPr>
          <w:rFonts w:ascii="Times New Roman" w:hAnsi="Times New Roman" w:cs="Times New Roman"/>
          <w:color w:val="333333"/>
          <w:sz w:val="22"/>
          <w:szCs w:val="22"/>
        </w:rPr>
        <w:t>)</w:t>
      </w:r>
      <w:r>
        <w:rPr>
          <w:rFonts w:ascii="Times New Roman" w:hAnsi="Times New Roman" w:hint="eastAsia"/>
          <w:color w:val="333333"/>
          <w:sz w:val="22"/>
          <w:szCs w:val="22"/>
        </w:rPr>
        <w:t>对预验收中提出的有关劳动安全卫生方面的改进意见应按期整改</w:t>
      </w:r>
      <w:r>
        <w:rPr>
          <w:rFonts w:ascii="Times New Roman" w:hAnsi="Times New Roman" w:cs="Times New Roman"/>
          <w:color w:val="333333"/>
          <w:sz w:val="22"/>
          <w:szCs w:val="22"/>
        </w:rPr>
        <w:t>,</w:t>
      </w:r>
      <w:r>
        <w:rPr>
          <w:rFonts w:ascii="Times New Roman" w:hAnsi="Times New Roman" w:hint="eastAsia"/>
          <w:color w:val="333333"/>
          <w:sz w:val="22"/>
          <w:szCs w:val="22"/>
        </w:rPr>
        <w:t>并将整改情况及时报告劳动行政部门</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七</w:t>
      </w:r>
      <w:r>
        <w:rPr>
          <w:rFonts w:ascii="Times New Roman" w:hAnsi="Times New Roman" w:cs="Times New Roman"/>
          <w:color w:val="333333"/>
          <w:sz w:val="22"/>
          <w:szCs w:val="22"/>
        </w:rPr>
        <w:t>)</w:t>
      </w:r>
      <w:r>
        <w:rPr>
          <w:rFonts w:ascii="Times New Roman" w:hAnsi="Times New Roman" w:hint="eastAsia"/>
          <w:color w:val="333333"/>
          <w:sz w:val="22"/>
          <w:szCs w:val="22"/>
        </w:rPr>
        <w:t>建设项目劳动安全卫生设施和技术措施经劳动行政部门验收通过后</w:t>
      </w:r>
      <w:r>
        <w:rPr>
          <w:rFonts w:ascii="Times New Roman" w:hAnsi="Times New Roman" w:cs="Times New Roman"/>
          <w:color w:val="333333"/>
          <w:sz w:val="22"/>
          <w:szCs w:val="22"/>
        </w:rPr>
        <w:t>,</w:t>
      </w:r>
      <w:r>
        <w:rPr>
          <w:rFonts w:ascii="Times New Roman" w:hAnsi="Times New Roman" w:hint="eastAsia"/>
          <w:color w:val="333333"/>
          <w:sz w:val="22"/>
          <w:szCs w:val="22"/>
        </w:rPr>
        <w:t>应及时办理</w:t>
      </w:r>
      <w:r>
        <w:rPr>
          <w:rFonts w:ascii="Times New Roman" w:hAnsi="Times New Roman" w:cs="Times New Roman"/>
          <w:color w:val="333333"/>
          <w:sz w:val="22"/>
          <w:szCs w:val="22"/>
        </w:rPr>
        <w:t>&lt;&lt;</w:t>
      </w:r>
      <w:r>
        <w:rPr>
          <w:rFonts w:ascii="Times New Roman" w:hAnsi="Times New Roman" w:hint="eastAsia"/>
          <w:color w:val="333333"/>
          <w:sz w:val="22"/>
          <w:szCs w:val="22"/>
        </w:rPr>
        <w:t>建设项目劳动安全卫生验收审批表</w:t>
      </w:r>
      <w:r>
        <w:rPr>
          <w:rFonts w:ascii="Times New Roman" w:hAnsi="Times New Roman" w:cs="Times New Roman"/>
          <w:color w:val="333333"/>
          <w:sz w:val="22"/>
          <w:szCs w:val="22"/>
        </w:rPr>
        <w:t>&gt;&gt;(</w:t>
      </w:r>
      <w:r>
        <w:rPr>
          <w:rFonts w:ascii="Times New Roman" w:hAnsi="Times New Roman" w:hint="eastAsia"/>
          <w:color w:val="333333"/>
          <w:sz w:val="22"/>
          <w:szCs w:val="22"/>
        </w:rPr>
        <w:t>见附件三</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第七条</w:t>
      </w:r>
      <w:r>
        <w:rPr>
          <w:rFonts w:ascii="Times New Roman" w:hAnsi="Times New Roman" w:hint="eastAsia"/>
          <w:color w:val="333333"/>
          <w:sz w:val="22"/>
          <w:szCs w:val="22"/>
        </w:rPr>
        <w:t>建设项目劳动安全卫生预评价</w:t>
      </w:r>
      <w:r>
        <w:rPr>
          <w:rFonts w:ascii="Times New Roman" w:hAnsi="Times New Roman" w:cs="Times New Roman"/>
          <w:color w:val="333333"/>
          <w:sz w:val="22"/>
          <w:szCs w:val="22"/>
        </w:rPr>
        <w:t>,</w:t>
      </w:r>
      <w:r>
        <w:rPr>
          <w:rFonts w:ascii="Times New Roman" w:hAnsi="Times New Roman" w:hint="eastAsia"/>
          <w:color w:val="333333"/>
          <w:sz w:val="22"/>
          <w:szCs w:val="22"/>
        </w:rPr>
        <w:t>是根据建设项目可行性研究报告的内容</w:t>
      </w:r>
      <w:r>
        <w:rPr>
          <w:rFonts w:ascii="Times New Roman" w:hAnsi="Times New Roman" w:cs="Times New Roman"/>
          <w:color w:val="333333"/>
          <w:sz w:val="22"/>
          <w:szCs w:val="22"/>
        </w:rPr>
        <w:t>,</w:t>
      </w:r>
      <w:r>
        <w:rPr>
          <w:rFonts w:ascii="Times New Roman" w:hAnsi="Times New Roman" w:hint="eastAsia"/>
          <w:color w:val="333333"/>
          <w:sz w:val="22"/>
          <w:szCs w:val="22"/>
        </w:rPr>
        <w:t>运用科学的评价方法，分析和预测该建设项目存在的职业危险、危害因素的种类和危险、危害程度</w:t>
      </w:r>
      <w:r>
        <w:rPr>
          <w:rFonts w:ascii="Times New Roman" w:hAnsi="Times New Roman" w:cs="Times New Roman"/>
          <w:color w:val="333333"/>
          <w:sz w:val="22"/>
          <w:szCs w:val="22"/>
        </w:rPr>
        <w:t>,</w:t>
      </w:r>
      <w:r>
        <w:rPr>
          <w:rFonts w:ascii="Times New Roman" w:hAnsi="Times New Roman" w:hint="eastAsia"/>
          <w:color w:val="333333"/>
          <w:sz w:val="22"/>
          <w:szCs w:val="22"/>
        </w:rPr>
        <w:t>提出合理可行的劳动安全卫生技术和管理对策</w:t>
      </w:r>
      <w:r>
        <w:rPr>
          <w:rFonts w:ascii="Times New Roman" w:hAnsi="Times New Roman" w:cs="Times New Roman"/>
          <w:color w:val="333333"/>
          <w:sz w:val="22"/>
          <w:szCs w:val="22"/>
        </w:rPr>
        <w:t>,</w:t>
      </w:r>
      <w:r>
        <w:rPr>
          <w:rFonts w:ascii="Times New Roman" w:hAnsi="Times New Roman" w:hint="eastAsia"/>
          <w:color w:val="333333"/>
          <w:sz w:val="22"/>
          <w:szCs w:val="22"/>
        </w:rPr>
        <w:t>作为该建设项目初步设计中劳动安全卫生设计和建设项目劳动安全卫生管理、监察的主要依据。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建设项目劳动安全卫生预评价</w:t>
      </w:r>
      <w:r>
        <w:rPr>
          <w:rFonts w:ascii="Times New Roman" w:hAnsi="Times New Roman" w:cs="Times New Roman"/>
          <w:color w:val="333333"/>
          <w:sz w:val="22"/>
          <w:szCs w:val="22"/>
        </w:rPr>
        <w:t>,</w:t>
      </w:r>
      <w:r>
        <w:rPr>
          <w:rFonts w:ascii="Times New Roman" w:hAnsi="Times New Roman" w:hint="eastAsia"/>
          <w:color w:val="333333"/>
          <w:sz w:val="22"/>
          <w:szCs w:val="22"/>
        </w:rPr>
        <w:t>应在工程可行性研究阶段</w:t>
      </w:r>
      <w:r>
        <w:rPr>
          <w:rFonts w:ascii="Times New Roman" w:hAnsi="Times New Roman" w:cs="Times New Roman"/>
          <w:color w:val="333333"/>
          <w:sz w:val="22"/>
          <w:szCs w:val="22"/>
        </w:rPr>
        <w:t>,</w:t>
      </w:r>
      <w:r>
        <w:rPr>
          <w:rFonts w:ascii="Times New Roman" w:hAnsi="Times New Roman" w:hint="eastAsia"/>
          <w:color w:val="333333"/>
          <w:sz w:val="22"/>
          <w:szCs w:val="22"/>
        </w:rPr>
        <w:t>由建设单位自主选择并委托本建设项目设计单位以外的有关劳动安全卫生预评价资格的单位承担。</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第八条</w:t>
      </w:r>
      <w:r>
        <w:rPr>
          <w:rFonts w:ascii="Times New Roman" w:hAnsi="Times New Roman" w:hint="eastAsia"/>
          <w:color w:val="333333"/>
          <w:sz w:val="22"/>
          <w:szCs w:val="22"/>
        </w:rPr>
        <w:t>凡符合下列情况之一的</w:t>
      </w:r>
      <w:r>
        <w:rPr>
          <w:rFonts w:ascii="Times New Roman" w:hAnsi="Times New Roman" w:cs="Times New Roman"/>
          <w:color w:val="333333"/>
          <w:sz w:val="22"/>
          <w:szCs w:val="22"/>
        </w:rPr>
        <w:t>,</w:t>
      </w:r>
      <w:r>
        <w:rPr>
          <w:rFonts w:ascii="Times New Roman" w:hAnsi="Times New Roman" w:hint="eastAsia"/>
          <w:color w:val="333333"/>
          <w:sz w:val="22"/>
          <w:szCs w:val="22"/>
        </w:rPr>
        <w:t>发源进行建设项目劳动安全卫生预评价</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大中型和限额以上的建设项目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火灾危险性生产类别为甲类的建设项目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爆炸危险场所等级为特别危险场所和高度危险场所的建设项目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大量生产或使用</w:t>
      </w:r>
      <w:r>
        <w:rPr>
          <w:rFonts w:hint="eastAsia"/>
          <w:color w:val="333333"/>
          <w:sz w:val="22"/>
          <w:szCs w:val="22"/>
        </w:rPr>
        <w:t>Ⅰ</w:t>
      </w:r>
      <w:r>
        <w:rPr>
          <w:rFonts w:ascii="Times New Roman" w:hAnsi="Times New Roman" w:hint="eastAsia"/>
          <w:color w:val="333333"/>
          <w:sz w:val="22"/>
          <w:szCs w:val="22"/>
        </w:rPr>
        <w:t>级、</w:t>
      </w:r>
      <w:r>
        <w:rPr>
          <w:rFonts w:hint="eastAsia"/>
          <w:color w:val="333333"/>
          <w:sz w:val="22"/>
          <w:szCs w:val="22"/>
        </w:rPr>
        <w:t>Ⅱ</w:t>
      </w:r>
      <w:r>
        <w:rPr>
          <w:rFonts w:ascii="Times New Roman" w:hAnsi="Times New Roman" w:hint="eastAsia"/>
          <w:color w:val="333333"/>
          <w:sz w:val="22"/>
          <w:szCs w:val="22"/>
        </w:rPr>
        <w:t>级危害程度的职业性接触毒物的建设项目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大量生产或使用石棉粉料或有</w:t>
      </w:r>
      <w:r>
        <w:rPr>
          <w:rFonts w:ascii="Times New Roman" w:hAnsi="Times New Roman" w:cs="Times New Roman"/>
          <w:color w:val="333333"/>
          <w:sz w:val="22"/>
          <w:szCs w:val="22"/>
        </w:rPr>
        <w:t>10%</w:t>
      </w:r>
      <w:r>
        <w:rPr>
          <w:rFonts w:ascii="Times New Roman" w:hAnsi="Times New Roman" w:hint="eastAsia"/>
          <w:color w:val="333333"/>
          <w:sz w:val="22"/>
          <w:szCs w:val="22"/>
        </w:rPr>
        <w:t>以上的游离二氧化硅粉料的建设项目；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六</w:t>
      </w:r>
      <w:r>
        <w:rPr>
          <w:rFonts w:ascii="Times New Roman" w:hAnsi="Times New Roman" w:cs="Times New Roman"/>
          <w:color w:val="333333"/>
          <w:sz w:val="22"/>
          <w:szCs w:val="22"/>
        </w:rPr>
        <w:t>)</w:t>
      </w:r>
      <w:r>
        <w:rPr>
          <w:rFonts w:ascii="Times New Roman" w:hAnsi="Times New Roman" w:hint="eastAsia"/>
          <w:color w:val="333333"/>
          <w:sz w:val="22"/>
          <w:szCs w:val="22"/>
        </w:rPr>
        <w:t>劳动行政部门确认的其它危险、危害因素大的建设项目</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第九条</w:t>
      </w:r>
      <w:r>
        <w:rPr>
          <w:rFonts w:ascii="Times New Roman" w:hAnsi="Times New Roman" w:hint="eastAsia"/>
          <w:color w:val="333333"/>
          <w:sz w:val="22"/>
          <w:szCs w:val="22"/>
        </w:rPr>
        <w:t>劳动行政部门对从事建设项目劳动安全卫生预评价的单位衽资格认可和管理制度。未获取劳动安全卫生预评价资格的单位不得承担建设项目的劳动安全卫生预评价工作</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第十条</w:t>
      </w:r>
      <w:r>
        <w:rPr>
          <w:rFonts w:ascii="Times New Roman" w:hAnsi="Times New Roman" w:hint="eastAsia"/>
          <w:color w:val="333333"/>
          <w:sz w:val="22"/>
          <w:szCs w:val="22"/>
        </w:rPr>
        <w:t>从事建设项目劳动安全卫生预评价工作的单位</w:t>
      </w:r>
      <w:r>
        <w:rPr>
          <w:rFonts w:ascii="Times New Roman" w:hAnsi="Times New Roman" w:cs="Times New Roman"/>
          <w:color w:val="333333"/>
          <w:sz w:val="22"/>
          <w:szCs w:val="22"/>
        </w:rPr>
        <w:t>,</w:t>
      </w:r>
      <w:r>
        <w:rPr>
          <w:rFonts w:ascii="Times New Roman" w:hAnsi="Times New Roman" w:hint="eastAsia"/>
          <w:color w:val="333333"/>
          <w:sz w:val="22"/>
          <w:szCs w:val="22"/>
        </w:rPr>
        <w:t>必须是独立的法人</w:t>
      </w:r>
      <w:r>
        <w:rPr>
          <w:rFonts w:ascii="Times New Roman" w:hAnsi="Times New Roman" w:cs="Times New Roman"/>
          <w:color w:val="333333"/>
          <w:sz w:val="22"/>
          <w:szCs w:val="22"/>
        </w:rPr>
        <w:t>,</w:t>
      </w:r>
      <w:r>
        <w:rPr>
          <w:rFonts w:ascii="Times New Roman" w:hAnsi="Times New Roman" w:hint="eastAsia"/>
          <w:color w:val="333333"/>
          <w:sz w:val="22"/>
          <w:szCs w:val="22"/>
        </w:rPr>
        <w:t>获取建设项目劳动安全卫生预评价资格证书</w:t>
      </w:r>
      <w:r>
        <w:rPr>
          <w:rFonts w:ascii="Times New Roman" w:hAnsi="Times New Roman" w:cs="Times New Roman"/>
          <w:color w:val="333333"/>
          <w:sz w:val="22"/>
          <w:szCs w:val="22"/>
        </w:rPr>
        <w:t>,</w:t>
      </w:r>
      <w:r>
        <w:rPr>
          <w:rFonts w:ascii="Times New Roman" w:hAnsi="Times New Roman" w:hint="eastAsia"/>
          <w:color w:val="333333"/>
          <w:sz w:val="22"/>
          <w:szCs w:val="22"/>
        </w:rPr>
        <w:t>并具备与资格证书和所从事的行业相适应的技术装备和专业人员</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建设项目劳动安全卫生预评价单位资格认可与管理规则由劳动部另行制定</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第十一条</w:t>
      </w:r>
      <w:r>
        <w:rPr>
          <w:rFonts w:ascii="Times New Roman" w:hAnsi="Times New Roman" w:hint="eastAsia"/>
          <w:color w:val="333333"/>
          <w:sz w:val="22"/>
          <w:szCs w:val="22"/>
        </w:rPr>
        <w:t>建设项目劳动安全卫生预评价单位应采用先进、合理的定性、定量评价方法</w:t>
      </w:r>
      <w:r>
        <w:rPr>
          <w:rFonts w:ascii="Times New Roman" w:hAnsi="Times New Roman" w:cs="Times New Roman"/>
          <w:color w:val="333333"/>
          <w:sz w:val="22"/>
          <w:szCs w:val="22"/>
        </w:rPr>
        <w:t>,</w:t>
      </w:r>
      <w:r>
        <w:rPr>
          <w:rFonts w:ascii="Times New Roman" w:hAnsi="Times New Roman" w:hint="eastAsia"/>
          <w:color w:val="333333"/>
          <w:sz w:val="22"/>
          <w:szCs w:val="22"/>
        </w:rPr>
        <w:t>分析建设项目中潜在的危险、危害性及其可能的后果</w:t>
      </w:r>
      <w:r>
        <w:rPr>
          <w:rFonts w:ascii="Times New Roman" w:hAnsi="Times New Roman" w:cs="Times New Roman"/>
          <w:color w:val="333333"/>
          <w:sz w:val="22"/>
          <w:szCs w:val="22"/>
        </w:rPr>
        <w:t>,</w:t>
      </w:r>
      <w:r>
        <w:rPr>
          <w:rFonts w:ascii="Times New Roman" w:hAnsi="Times New Roman" w:hint="eastAsia"/>
          <w:color w:val="333333"/>
          <w:sz w:val="22"/>
          <w:szCs w:val="22"/>
        </w:rPr>
        <w:t>提出明确的预防措施并写入预评价报告书</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第十二条</w:t>
      </w:r>
      <w:r>
        <w:rPr>
          <w:rFonts w:ascii="Times New Roman" w:hAnsi="Times New Roman" w:hint="eastAsia"/>
          <w:color w:val="333333"/>
          <w:sz w:val="22"/>
          <w:szCs w:val="22"/>
        </w:rPr>
        <w:t>建设项目的可行性研究报告编制单位、工程设计单位应对建设项目劳动安全卫生设施的设计负技术责任</w:t>
      </w:r>
      <w:r>
        <w:rPr>
          <w:rFonts w:ascii="Times New Roman" w:hAnsi="Times New Roman" w:cs="Times New Roman"/>
          <w:color w:val="333333"/>
          <w:sz w:val="22"/>
          <w:szCs w:val="22"/>
        </w:rPr>
        <w:t>.</w:t>
      </w:r>
      <w:r>
        <w:rPr>
          <w:rFonts w:ascii="Times New Roman" w:hAnsi="Times New Roman" w:hint="eastAsia"/>
          <w:color w:val="333333"/>
          <w:sz w:val="22"/>
          <w:szCs w:val="22"/>
        </w:rPr>
        <w:t>其职责是</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建设项目进行可行性研究时</w:t>
      </w:r>
      <w:r>
        <w:rPr>
          <w:rFonts w:ascii="Times New Roman" w:hAnsi="Times New Roman" w:cs="Times New Roman"/>
          <w:color w:val="333333"/>
          <w:sz w:val="22"/>
          <w:szCs w:val="22"/>
        </w:rPr>
        <w:t>,</w:t>
      </w:r>
      <w:r>
        <w:rPr>
          <w:rFonts w:ascii="Times New Roman" w:hAnsi="Times New Roman" w:hint="eastAsia"/>
          <w:color w:val="333333"/>
          <w:sz w:val="22"/>
          <w:szCs w:val="22"/>
        </w:rPr>
        <w:t>应对建设项目的劳动安全卫生同时作出论证</w:t>
      </w:r>
      <w:r>
        <w:rPr>
          <w:rFonts w:ascii="Times New Roman" w:hAnsi="Times New Roman" w:cs="Times New Roman"/>
          <w:color w:val="333333"/>
          <w:sz w:val="22"/>
          <w:szCs w:val="22"/>
        </w:rPr>
        <w:t>,</w:t>
      </w:r>
      <w:r>
        <w:rPr>
          <w:rFonts w:ascii="Times New Roman" w:hAnsi="Times New Roman" w:hint="eastAsia"/>
          <w:color w:val="333333"/>
          <w:sz w:val="22"/>
          <w:szCs w:val="22"/>
        </w:rPr>
        <w:t>并将论证内容作为可行性研究报告的专门章</w:t>
      </w:r>
      <w:r>
        <w:rPr>
          <w:rFonts w:ascii="Times New Roman" w:hAnsi="Times New Roman" w:cs="Times New Roman"/>
          <w:color w:val="333333"/>
          <w:sz w:val="22"/>
          <w:szCs w:val="22"/>
        </w:rPr>
        <w:t>(</w:t>
      </w:r>
      <w:r>
        <w:rPr>
          <w:rFonts w:ascii="Times New Roman" w:hAnsi="Times New Roman" w:hint="eastAsia"/>
          <w:color w:val="333333"/>
          <w:sz w:val="22"/>
          <w:szCs w:val="22"/>
        </w:rPr>
        <w:t>节</w:t>
      </w:r>
      <w:r>
        <w:rPr>
          <w:rFonts w:ascii="Times New Roman" w:hAnsi="Times New Roman" w:cs="Times New Roman"/>
          <w:color w:val="333333"/>
          <w:sz w:val="22"/>
          <w:szCs w:val="22"/>
        </w:rPr>
        <w:t>)</w:t>
      </w:r>
      <w:r>
        <w:rPr>
          <w:rFonts w:ascii="Times New Roman" w:hAnsi="Times New Roman" w:hint="eastAsia"/>
          <w:color w:val="333333"/>
          <w:sz w:val="22"/>
          <w:szCs w:val="22"/>
        </w:rPr>
        <w:t>编入可行性研究报告</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50" w:firstLine="31680"/>
        <w:rPr>
          <w:rFonts w:ascii="Times New Roman" w:hAnsi="Times New Roman" w:cs="Times New Roman"/>
          <w:color w:val="333333"/>
          <w:sz w:val="22"/>
          <w:szCs w:val="22"/>
        </w:rPr>
      </w:pPr>
      <w:r>
        <w:rPr>
          <w:rFonts w:ascii="Times New Roman" w:hAnsi="Times New Roman" w:cs="Times New Roman"/>
          <w:color w:val="333333"/>
          <w:sz w:val="22"/>
          <w:szCs w:val="22"/>
        </w:rPr>
        <w:t>(</w:t>
      </w:r>
      <w:r>
        <w:rPr>
          <w:rFonts w:ascii="Times New Roman" w:hAnsi="Times New Roman" w:hint="eastAsia"/>
          <w:color w:val="333333"/>
          <w:sz w:val="22"/>
          <w:szCs w:val="22"/>
        </w:rPr>
        <w:t>二</w:t>
      </w:r>
      <w:r>
        <w:rPr>
          <w:rFonts w:ascii="Times New Roman" w:hAnsi="Times New Roman" w:cs="Times New Roman"/>
          <w:color w:val="333333"/>
          <w:sz w:val="22"/>
          <w:szCs w:val="22"/>
        </w:rPr>
        <w:t>) </w:t>
      </w:r>
      <w:r>
        <w:rPr>
          <w:rFonts w:ascii="Times New Roman" w:hAnsi="Times New Roman" w:hint="eastAsia"/>
          <w:color w:val="333333"/>
          <w:sz w:val="22"/>
          <w:szCs w:val="22"/>
        </w:rPr>
        <w:t>在编制初步设计文件时</w:t>
      </w:r>
      <w:r>
        <w:rPr>
          <w:rFonts w:ascii="Times New Roman" w:hAnsi="Times New Roman" w:cs="Times New Roman"/>
          <w:color w:val="333333"/>
          <w:sz w:val="22"/>
          <w:szCs w:val="22"/>
        </w:rPr>
        <w:t>,</w:t>
      </w:r>
      <w:r>
        <w:rPr>
          <w:rFonts w:ascii="Times New Roman" w:hAnsi="Times New Roman" w:hint="eastAsia"/>
          <w:color w:val="333333"/>
          <w:sz w:val="22"/>
          <w:szCs w:val="22"/>
        </w:rPr>
        <w:t>应同时编制</w:t>
      </w:r>
      <w:r>
        <w:rPr>
          <w:rFonts w:ascii="Times New Roman" w:hAnsi="Times New Roman" w:cs="Times New Roman"/>
          <w:color w:val="333333"/>
          <w:sz w:val="22"/>
          <w:szCs w:val="22"/>
        </w:rPr>
        <w:t>&lt;&lt;</w:t>
      </w:r>
      <w:r>
        <w:rPr>
          <w:rFonts w:ascii="Times New Roman" w:hAnsi="Times New Roman" w:hint="eastAsia"/>
          <w:color w:val="333333"/>
          <w:sz w:val="22"/>
          <w:szCs w:val="22"/>
        </w:rPr>
        <w:t>劳动安全卫生专篇</w:t>
      </w:r>
      <w:r>
        <w:rPr>
          <w:rFonts w:ascii="Times New Roman" w:hAnsi="Times New Roman" w:cs="Times New Roman"/>
          <w:color w:val="333333"/>
          <w:sz w:val="22"/>
          <w:szCs w:val="22"/>
        </w:rPr>
        <w:t>&gt;&gt;;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在初步设计中</w:t>
      </w:r>
      <w:r>
        <w:rPr>
          <w:rFonts w:ascii="Times New Roman" w:hAnsi="Times New Roman" w:cs="Times New Roman"/>
          <w:color w:val="333333"/>
          <w:sz w:val="22"/>
          <w:szCs w:val="22"/>
        </w:rPr>
        <w:t>,</w:t>
      </w:r>
      <w:r>
        <w:rPr>
          <w:rFonts w:ascii="Times New Roman" w:hAnsi="Times New Roman" w:hint="eastAsia"/>
          <w:color w:val="333333"/>
          <w:sz w:val="22"/>
          <w:szCs w:val="22"/>
        </w:rPr>
        <w:t>应严格遵守现行的劳动安全卫生标准。并依据劳动安全卫生预评价报告</w:t>
      </w:r>
      <w:r>
        <w:rPr>
          <w:rFonts w:ascii="Times New Roman" w:hAnsi="Times New Roman" w:cs="Times New Roman"/>
          <w:color w:val="333333"/>
          <w:sz w:val="22"/>
          <w:szCs w:val="22"/>
        </w:rPr>
        <w:t>,</w:t>
      </w:r>
      <w:r>
        <w:rPr>
          <w:rFonts w:ascii="Times New Roman" w:hAnsi="Times New Roman" w:hint="eastAsia"/>
          <w:color w:val="333333"/>
          <w:sz w:val="22"/>
          <w:szCs w:val="22"/>
        </w:rPr>
        <w:t>完善初步设计</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在技术设计和施工图纸设计时</w:t>
      </w:r>
      <w:r>
        <w:rPr>
          <w:rFonts w:ascii="Times New Roman" w:hAnsi="Times New Roman" w:cs="Times New Roman"/>
          <w:color w:val="333333"/>
          <w:sz w:val="22"/>
          <w:szCs w:val="22"/>
        </w:rPr>
        <w:t>,</w:t>
      </w:r>
      <w:r>
        <w:rPr>
          <w:rFonts w:ascii="Times New Roman" w:hAnsi="Times New Roman" w:hint="eastAsia"/>
          <w:color w:val="333333"/>
          <w:sz w:val="22"/>
          <w:szCs w:val="22"/>
        </w:rPr>
        <w:t>应落实初步设计中的劳动安全卫生内容和在初步设计审查中通过劳动安全卫生方面的审查意见</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凡经审查同意的劳动安全卫生初步设计方案，如有变动应重复原负责审批的劳动行政部门的同意</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第十三条</w:t>
      </w:r>
      <w:r>
        <w:rPr>
          <w:rFonts w:ascii="Times New Roman" w:hAnsi="Times New Roman" w:hint="eastAsia"/>
          <w:color w:val="333333"/>
          <w:sz w:val="22"/>
          <w:szCs w:val="22"/>
        </w:rPr>
        <w:t>施工单位应对建设项目的安全卫生设施的工程质量负责</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施工中严格按照施工图纸和设计要求施工</w:t>
      </w:r>
      <w:r>
        <w:rPr>
          <w:rFonts w:ascii="Times New Roman" w:hAnsi="Times New Roman" w:cs="Times New Roman"/>
          <w:color w:val="333333"/>
          <w:sz w:val="22"/>
          <w:szCs w:val="22"/>
        </w:rPr>
        <w:t>,</w:t>
      </w:r>
      <w:r>
        <w:rPr>
          <w:rFonts w:ascii="Times New Roman" w:hAnsi="Times New Roman" w:hint="eastAsia"/>
          <w:color w:val="333333"/>
          <w:sz w:val="22"/>
          <w:szCs w:val="22"/>
        </w:rPr>
        <w:t>确实做到劳动安全卫生设施与主体工程同时施工</w:t>
      </w:r>
      <w:r>
        <w:rPr>
          <w:rFonts w:ascii="Times New Roman" w:hAnsi="Times New Roman" w:cs="Times New Roman"/>
          <w:color w:val="333333"/>
          <w:sz w:val="22"/>
          <w:szCs w:val="22"/>
        </w:rPr>
        <w:t>,</w:t>
      </w:r>
      <w:r>
        <w:rPr>
          <w:rFonts w:ascii="Times New Roman" w:hAnsi="Times New Roman" w:hint="eastAsia"/>
          <w:color w:val="333333"/>
          <w:sz w:val="22"/>
          <w:szCs w:val="22"/>
        </w:rPr>
        <w:t>并确保工程质量</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第十四</w:t>
      </w:r>
      <w:r>
        <w:rPr>
          <w:rFonts w:ascii="Times New Roman" w:hAnsi="Times New Roman" w:hint="eastAsia"/>
          <w:color w:val="333333"/>
          <w:sz w:val="22"/>
          <w:szCs w:val="22"/>
        </w:rPr>
        <w:t>条各级劳动行政部门对建设项目</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的实施，实行劳动安全卫生监察</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监督检查建设单位及承担建设项目可行性研究、劳动安全卫生预评价、设计、施工等任务的单位贯彻执行</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规定的情况</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根据国家劳动安全卫生标准和行业劳动安全卫生设计规定</w:t>
      </w:r>
      <w:r>
        <w:rPr>
          <w:rFonts w:ascii="Times New Roman" w:hAnsi="Times New Roman" w:cs="Times New Roman"/>
          <w:color w:val="333333"/>
          <w:sz w:val="22"/>
          <w:szCs w:val="22"/>
        </w:rPr>
        <w:t>,</w:t>
      </w:r>
      <w:r>
        <w:rPr>
          <w:rFonts w:ascii="Times New Roman" w:hAnsi="Times New Roman" w:hint="eastAsia"/>
          <w:color w:val="333333"/>
          <w:sz w:val="22"/>
          <w:szCs w:val="22"/>
        </w:rPr>
        <w:t>审查并批复建设单位报送的建设项目可行性研究报告文件中劳动安全卫生论证内容</w:t>
      </w:r>
      <w:r>
        <w:rPr>
          <w:rFonts w:ascii="Times New Roman" w:hAnsi="Times New Roman" w:cs="Times New Roman"/>
          <w:color w:val="333333"/>
          <w:sz w:val="22"/>
          <w:szCs w:val="22"/>
        </w:rPr>
        <w:t>,</w:t>
      </w:r>
      <w:r>
        <w:rPr>
          <w:rFonts w:ascii="Times New Roman" w:hAnsi="Times New Roman" w:hint="eastAsia"/>
          <w:color w:val="333333"/>
          <w:sz w:val="22"/>
          <w:szCs w:val="22"/>
        </w:rPr>
        <w:t>审查</w:t>
      </w:r>
      <w:r>
        <w:rPr>
          <w:rFonts w:ascii="Times New Roman" w:hAnsi="Times New Roman" w:cs="Times New Roman"/>
          <w:color w:val="333333"/>
          <w:sz w:val="22"/>
          <w:szCs w:val="22"/>
        </w:rPr>
        <w:t>(</w:t>
      </w:r>
      <w:r>
        <w:rPr>
          <w:rFonts w:ascii="Times New Roman" w:hAnsi="Times New Roman" w:hint="eastAsia"/>
          <w:color w:val="333333"/>
          <w:sz w:val="22"/>
          <w:szCs w:val="22"/>
        </w:rPr>
        <w:t>或组织审查</w:t>
      </w:r>
      <w:r>
        <w:rPr>
          <w:rFonts w:ascii="Times New Roman" w:hAnsi="Times New Roman" w:cs="Times New Roman"/>
          <w:color w:val="333333"/>
          <w:sz w:val="22"/>
          <w:szCs w:val="22"/>
        </w:rPr>
        <w:t>)</w:t>
      </w:r>
      <w:r>
        <w:rPr>
          <w:rFonts w:ascii="Times New Roman" w:hAnsi="Times New Roman" w:hint="eastAsia"/>
          <w:color w:val="333333"/>
          <w:sz w:val="22"/>
          <w:szCs w:val="22"/>
        </w:rPr>
        <w:t>并批复建设项目劳动安全卫生预评价报告和建设项目劳动安全卫生专篇</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三</w:t>
      </w:r>
      <w:r>
        <w:rPr>
          <w:rFonts w:ascii="Times New Roman" w:hAnsi="Times New Roman" w:cs="Times New Roman"/>
          <w:color w:val="333333"/>
          <w:sz w:val="22"/>
          <w:szCs w:val="22"/>
        </w:rPr>
        <w:t>)</w:t>
      </w:r>
      <w:r>
        <w:rPr>
          <w:rFonts w:ascii="Times New Roman" w:hAnsi="Times New Roman" w:hint="eastAsia"/>
          <w:color w:val="333333"/>
          <w:sz w:val="22"/>
          <w:szCs w:val="22"/>
        </w:rPr>
        <w:t>根据建设单位报送的建设项目劳动安全卫生验收专题报告</w:t>
      </w:r>
      <w:r>
        <w:rPr>
          <w:rFonts w:ascii="Times New Roman" w:hAnsi="Times New Roman" w:cs="Times New Roman"/>
          <w:color w:val="333333"/>
          <w:sz w:val="22"/>
          <w:szCs w:val="22"/>
        </w:rPr>
        <w:t>,</w:t>
      </w:r>
      <w:r>
        <w:rPr>
          <w:rFonts w:ascii="Times New Roman" w:hAnsi="Times New Roman" w:hint="eastAsia"/>
          <w:color w:val="333333"/>
          <w:sz w:val="22"/>
          <w:szCs w:val="22"/>
        </w:rPr>
        <w:t>对建设项目竣工进行劳动安全卫生验收</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对本规定第八条中所列的建设项目，在正式验收前应进行劳动安全卫生预验收或专项审查验收</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四</w:t>
      </w:r>
      <w:r>
        <w:rPr>
          <w:rFonts w:ascii="Times New Roman" w:hAnsi="Times New Roman" w:cs="Times New Roman"/>
          <w:color w:val="333333"/>
          <w:sz w:val="22"/>
          <w:szCs w:val="22"/>
        </w:rPr>
        <w:t>)</w:t>
      </w:r>
      <w:r>
        <w:rPr>
          <w:rFonts w:ascii="Times New Roman" w:hAnsi="Times New Roman" w:hint="eastAsia"/>
          <w:color w:val="333333"/>
          <w:sz w:val="22"/>
          <w:szCs w:val="22"/>
        </w:rPr>
        <w:t>对违反</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规定的建设单位及承担可行性研究、劳动安全卫生预评价、设计、施工等任务的单位</w:t>
      </w:r>
      <w:r>
        <w:rPr>
          <w:rFonts w:ascii="Times New Roman" w:hAnsi="Times New Roman" w:cs="Times New Roman"/>
          <w:color w:val="333333"/>
          <w:sz w:val="22"/>
          <w:szCs w:val="22"/>
        </w:rPr>
        <w:t>,</w:t>
      </w:r>
      <w:r>
        <w:rPr>
          <w:rFonts w:ascii="Times New Roman" w:hAnsi="Times New Roman" w:hint="eastAsia"/>
          <w:color w:val="333333"/>
          <w:sz w:val="22"/>
          <w:szCs w:val="22"/>
        </w:rPr>
        <w:t>应及时下达整改通知</w:t>
      </w:r>
      <w:r>
        <w:rPr>
          <w:rFonts w:ascii="Times New Roman" w:hAnsi="Times New Roman" w:cs="Times New Roman"/>
          <w:color w:val="333333"/>
          <w:sz w:val="22"/>
          <w:szCs w:val="22"/>
        </w:rPr>
        <w:t>,</w:t>
      </w:r>
      <w:r>
        <w:rPr>
          <w:rFonts w:ascii="Times New Roman" w:hAnsi="Times New Roman" w:hint="eastAsia"/>
          <w:color w:val="333333"/>
          <w:sz w:val="22"/>
          <w:szCs w:val="22"/>
        </w:rPr>
        <w:t>并监督检查其整改情况；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五</w:t>
      </w:r>
      <w:r>
        <w:rPr>
          <w:rFonts w:ascii="Times New Roman" w:hAnsi="Times New Roman" w:cs="Times New Roman"/>
          <w:color w:val="333333"/>
          <w:sz w:val="22"/>
          <w:szCs w:val="22"/>
        </w:rPr>
        <w:t>)</w:t>
      </w:r>
      <w:r>
        <w:rPr>
          <w:rFonts w:ascii="Times New Roman" w:hAnsi="Times New Roman" w:hint="eastAsia"/>
          <w:color w:val="333333"/>
          <w:sz w:val="22"/>
          <w:szCs w:val="22"/>
        </w:rPr>
        <w:t>在建设项目劳动安全卫生</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工作中</w:t>
      </w:r>
      <w:r>
        <w:rPr>
          <w:rFonts w:ascii="Times New Roman" w:hAnsi="Times New Roman" w:cs="Times New Roman"/>
          <w:color w:val="333333"/>
          <w:sz w:val="22"/>
          <w:szCs w:val="22"/>
        </w:rPr>
        <w:t>,</w:t>
      </w:r>
      <w:r>
        <w:rPr>
          <w:rFonts w:ascii="Times New Roman" w:hAnsi="Times New Roman" w:hint="eastAsia"/>
          <w:color w:val="333333"/>
          <w:sz w:val="22"/>
          <w:szCs w:val="22"/>
        </w:rPr>
        <w:t>应发挥行业管理部门劳动安全卫生机构的作用并听取他们的意见</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六</w:t>
      </w:r>
      <w:r>
        <w:rPr>
          <w:rFonts w:ascii="Times New Roman" w:hAnsi="Times New Roman" w:cs="Times New Roman"/>
          <w:color w:val="333333"/>
          <w:sz w:val="22"/>
          <w:szCs w:val="22"/>
        </w:rPr>
        <w:t>)</w:t>
      </w:r>
      <w:r>
        <w:rPr>
          <w:rFonts w:ascii="Times New Roman" w:hAnsi="Times New Roman" w:hint="eastAsia"/>
          <w:color w:val="333333"/>
          <w:sz w:val="22"/>
          <w:szCs w:val="22"/>
        </w:rPr>
        <w:t>在建设项目劳动安全卫生</w:t>
      </w:r>
      <w:r>
        <w:rPr>
          <w:rFonts w:ascii="Times New Roman" w:hAnsi="Times New Roman" w:cs="Times New Roman"/>
          <w:color w:val="333333"/>
          <w:sz w:val="22"/>
          <w:szCs w:val="22"/>
        </w:rPr>
        <w:t>“</w:t>
      </w:r>
      <w:r>
        <w:rPr>
          <w:rFonts w:ascii="Times New Roman" w:hAnsi="Times New Roman" w:hint="eastAsia"/>
          <w:color w:val="333333"/>
          <w:sz w:val="22"/>
          <w:szCs w:val="22"/>
        </w:rPr>
        <w:t>三同时</w:t>
      </w:r>
      <w:r>
        <w:rPr>
          <w:rFonts w:ascii="Times New Roman" w:hAnsi="Times New Roman" w:cs="Times New Roman"/>
          <w:color w:val="333333"/>
          <w:sz w:val="22"/>
          <w:szCs w:val="22"/>
        </w:rPr>
        <w:t>”</w:t>
      </w:r>
      <w:r>
        <w:rPr>
          <w:rFonts w:ascii="Times New Roman" w:hAnsi="Times New Roman" w:hint="eastAsia"/>
          <w:color w:val="333333"/>
          <w:sz w:val="22"/>
          <w:szCs w:val="22"/>
        </w:rPr>
        <w:t>工作中</w:t>
      </w:r>
      <w:r>
        <w:rPr>
          <w:rFonts w:ascii="Times New Roman" w:hAnsi="Times New Roman" w:cs="Times New Roman"/>
          <w:color w:val="333333"/>
          <w:sz w:val="22"/>
          <w:szCs w:val="22"/>
        </w:rPr>
        <w:t>,</w:t>
      </w:r>
      <w:r>
        <w:rPr>
          <w:rFonts w:ascii="Times New Roman" w:hAnsi="Times New Roman" w:hint="eastAsia"/>
          <w:color w:val="333333"/>
          <w:sz w:val="22"/>
          <w:szCs w:val="22"/>
        </w:rPr>
        <w:t>应贯彻执行劳动法律、法规和标准，公正廉洁、贪污行政</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第十五条</w:t>
      </w:r>
      <w:r>
        <w:rPr>
          <w:rFonts w:ascii="Times New Roman" w:hAnsi="Times New Roman" w:hint="eastAsia"/>
          <w:color w:val="333333"/>
          <w:sz w:val="22"/>
          <w:szCs w:val="22"/>
        </w:rPr>
        <w:t>建设项目的劳动安全卫生监察工作实行分级管理</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一</w:t>
      </w:r>
      <w:r>
        <w:rPr>
          <w:rFonts w:ascii="Times New Roman" w:hAnsi="Times New Roman" w:cs="Times New Roman"/>
          <w:color w:val="333333"/>
          <w:sz w:val="22"/>
          <w:szCs w:val="22"/>
        </w:rPr>
        <w:t>)</w:t>
      </w:r>
      <w:r>
        <w:rPr>
          <w:rFonts w:ascii="Times New Roman" w:hAnsi="Times New Roman" w:hint="eastAsia"/>
          <w:color w:val="333333"/>
          <w:sz w:val="22"/>
          <w:szCs w:val="22"/>
        </w:rPr>
        <w:t>国务院经济管理部门、行业管理部门直接组织的国家重点建设项目由劳动部负责</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cs="Times New Roman"/>
          <w:color w:val="333333"/>
          <w:sz w:val="22"/>
          <w:szCs w:val="22"/>
        </w:rPr>
        <w:t xml:space="preserve"> (</w:t>
      </w:r>
      <w:r>
        <w:rPr>
          <w:rFonts w:ascii="Times New Roman" w:hAnsi="Times New Roman" w:hint="eastAsia"/>
          <w:color w:val="333333"/>
          <w:sz w:val="22"/>
          <w:szCs w:val="22"/>
        </w:rPr>
        <w:t>二</w:t>
      </w:r>
      <w:r>
        <w:rPr>
          <w:rFonts w:ascii="Times New Roman" w:hAnsi="Times New Roman" w:cs="Times New Roman"/>
          <w:color w:val="333333"/>
          <w:sz w:val="22"/>
          <w:szCs w:val="22"/>
        </w:rPr>
        <w:t>)</w:t>
      </w:r>
      <w:r>
        <w:rPr>
          <w:rFonts w:ascii="Times New Roman" w:hAnsi="Times New Roman" w:hint="eastAsia"/>
          <w:color w:val="333333"/>
          <w:sz w:val="22"/>
          <w:szCs w:val="22"/>
        </w:rPr>
        <w:t>其它建设项目，由省、自治区、直辖市人民政府劳动行政部门根据本地区的实际情况确定</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第十六条</w:t>
      </w:r>
      <w:r>
        <w:rPr>
          <w:rFonts w:ascii="Times New Roman" w:hAnsi="Times New Roman" w:hint="eastAsia"/>
          <w:color w:val="333333"/>
          <w:sz w:val="22"/>
          <w:szCs w:val="22"/>
        </w:rPr>
        <w:t>省、自治区、直辖市人民政府劳动行政部门可依据本规定制定实施细则</w:t>
      </w:r>
      <w:r>
        <w:rPr>
          <w:rFonts w:ascii="Times New Roman" w:hAnsi="Times New Roman" w:cs="Times New Roman"/>
          <w:color w:val="333333"/>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b/>
          <w:bCs/>
          <w:color w:val="333333"/>
          <w:sz w:val="22"/>
          <w:szCs w:val="22"/>
        </w:rPr>
        <w:t>第十七条</w:t>
      </w:r>
      <w:r>
        <w:rPr>
          <w:rFonts w:ascii="Times New Roman" w:hAnsi="Times New Roman" w:hint="eastAsia"/>
          <w:color w:val="333333"/>
          <w:sz w:val="22"/>
          <w:szCs w:val="22"/>
        </w:rPr>
        <w:t>本规定自一九九七年一月一日起施行。劳动部于一九八八年五月二十七日颁布的</w:t>
      </w:r>
      <w:r>
        <w:rPr>
          <w:rFonts w:ascii="Times New Roman" w:hAnsi="Times New Roman" w:cs="Times New Roman"/>
          <w:color w:val="333333"/>
          <w:sz w:val="22"/>
          <w:szCs w:val="22"/>
        </w:rPr>
        <w:t>&lt;&lt;</w:t>
      </w:r>
      <w:r>
        <w:rPr>
          <w:rFonts w:ascii="Times New Roman" w:hAnsi="Times New Roman" w:hint="eastAsia"/>
          <w:color w:val="333333"/>
          <w:sz w:val="22"/>
          <w:szCs w:val="22"/>
        </w:rPr>
        <w:t>关于生产性建设工作项目职业安全卫生监察的暂行定</w:t>
      </w:r>
      <w:r>
        <w:rPr>
          <w:rFonts w:ascii="Times New Roman" w:hAnsi="Times New Roman" w:cs="Times New Roman"/>
          <w:color w:val="333333"/>
          <w:sz w:val="22"/>
          <w:szCs w:val="22"/>
        </w:rPr>
        <w:t>&gt;&gt;(</w:t>
      </w:r>
      <w:r>
        <w:rPr>
          <w:rFonts w:ascii="Times New Roman" w:hAnsi="Times New Roman" w:hint="eastAsia"/>
          <w:color w:val="333333"/>
          <w:sz w:val="22"/>
          <w:szCs w:val="22"/>
        </w:rPr>
        <w:t>劳字</w:t>
      </w:r>
      <w:r>
        <w:rPr>
          <w:rFonts w:ascii="Times New Roman" w:hAnsi="Times New Roman" w:cs="Times New Roman"/>
          <w:color w:val="333333"/>
          <w:sz w:val="22"/>
          <w:szCs w:val="22"/>
        </w:rPr>
        <w:t>[1988]48</w:t>
      </w:r>
      <w:r>
        <w:rPr>
          <w:rFonts w:ascii="Times New Roman" w:hAnsi="Times New Roman" w:hint="eastAsia"/>
          <w:color w:val="333333"/>
          <w:sz w:val="22"/>
          <w:szCs w:val="22"/>
        </w:rPr>
        <w:t>号</w:t>
      </w:r>
      <w:r>
        <w:rPr>
          <w:rFonts w:ascii="Times New Roman" w:hAnsi="Times New Roman" w:cs="Times New Roman"/>
          <w:color w:val="333333"/>
          <w:sz w:val="22"/>
          <w:szCs w:val="22"/>
        </w:rPr>
        <w:t>)</w:t>
      </w:r>
      <w:r>
        <w:rPr>
          <w:rFonts w:ascii="Times New Roman" w:hAnsi="Times New Roman" w:hint="eastAsia"/>
          <w:color w:val="333333"/>
          <w:sz w:val="22"/>
          <w:szCs w:val="22"/>
        </w:rPr>
        <w:t>同时废止</w:t>
      </w:r>
      <w:r>
        <w:rPr>
          <w:rFonts w:ascii="Times New Roman" w:hAnsi="Times New Roman" w:cs="Times New Roman"/>
          <w:color w:val="333333"/>
          <w:sz w:val="22"/>
          <w:szCs w:val="22"/>
        </w:rPr>
        <w:t>.</w:t>
      </w:r>
    </w:p>
    <w:p w:rsidR="00A32067" w:rsidRDefault="00A32067"/>
    <w:p w:rsidR="00A32067" w:rsidRDefault="00A32067"/>
    <w:p w:rsidR="00A32067" w:rsidRDefault="00A32067">
      <w:pPr>
        <w:spacing w:line="220" w:lineRule="atLeast"/>
      </w:pPr>
      <w:r>
        <w:br w:type="page"/>
      </w: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z w:val="44"/>
          <w:szCs w:val="44"/>
        </w:rPr>
      </w:pPr>
      <w:bookmarkStart w:id="54" w:name="_Toc519872294"/>
      <w:r>
        <w:rPr>
          <w:rFonts w:ascii="Times New Roman" w:hAnsi="Times New Roman" w:hint="eastAsia"/>
          <w:b/>
          <w:bCs/>
          <w:color w:val="333333"/>
          <w:sz w:val="44"/>
          <w:szCs w:val="44"/>
        </w:rPr>
        <w:t>建设项目（工程）劳动安全卫生预</w:t>
      </w:r>
      <w:r>
        <w:rPr>
          <w:rFonts w:ascii="Times New Roman" w:hAnsi="Times New Roman" w:cs="Times New Roman"/>
          <w:b/>
          <w:bCs/>
          <w:color w:val="333333"/>
          <w:sz w:val="44"/>
          <w:szCs w:val="44"/>
        </w:rPr>
        <w:br/>
      </w:r>
      <w:r>
        <w:rPr>
          <w:rFonts w:ascii="Times New Roman" w:hAnsi="Times New Roman" w:hint="eastAsia"/>
          <w:b/>
          <w:bCs/>
          <w:color w:val="333333"/>
          <w:sz w:val="44"/>
          <w:szCs w:val="44"/>
        </w:rPr>
        <w:t>评价管理办法</w:t>
      </w:r>
      <w:bookmarkEnd w:id="54"/>
    </w:p>
    <w:p w:rsidR="00A32067" w:rsidRDefault="00A32067">
      <w:pPr>
        <w:pStyle w:val="NormalWeb"/>
        <w:shd w:val="clear" w:color="auto" w:fill="FFFFFF"/>
        <w:spacing w:before="0" w:beforeAutospacing="0" w:after="0" w:afterAutospacing="0" w:line="360" w:lineRule="auto"/>
        <w:jc w:val="center"/>
        <w:outlineLvl w:val="1"/>
        <w:rPr>
          <w:rFonts w:ascii="Times New Roman" w:hAnsi="Times New Roman" w:cs="Times New Roman"/>
          <w:b/>
          <w:bCs/>
          <w:color w:val="333333"/>
          <w:sz w:val="44"/>
          <w:szCs w:val="44"/>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333333"/>
          <w:sz w:val="22"/>
          <w:szCs w:val="22"/>
        </w:rPr>
      </w:pPr>
      <w:r>
        <w:rPr>
          <w:rFonts w:ascii="Times New Roman" w:hAnsi="Times New Roman" w:hint="eastAsia"/>
          <w:color w:val="333333"/>
          <w:sz w:val="22"/>
          <w:szCs w:val="22"/>
        </w:rPr>
        <w:t>中华人民共和国劳动部令第</w:t>
      </w:r>
      <w:r>
        <w:rPr>
          <w:rFonts w:ascii="Times New Roman" w:hAnsi="Times New Roman" w:cs="Times New Roman"/>
          <w:color w:val="333333"/>
          <w:sz w:val="22"/>
          <w:szCs w:val="22"/>
        </w:rPr>
        <w:t>10</w:t>
      </w:r>
      <w:r>
        <w:rPr>
          <w:rFonts w:ascii="Times New Roman" w:hAnsi="Times New Roman" w:hint="eastAsia"/>
          <w:color w:val="333333"/>
          <w:sz w:val="22"/>
          <w:szCs w:val="22"/>
        </w:rPr>
        <w:t>号《建设项目（工程）劳动安全卫生预评价管理办法》已经</w:t>
      </w:r>
      <w:r>
        <w:rPr>
          <w:rFonts w:ascii="Times New Roman" w:hAnsi="Times New Roman" w:cs="Times New Roman"/>
          <w:color w:val="333333"/>
          <w:sz w:val="22"/>
          <w:szCs w:val="22"/>
        </w:rPr>
        <w:t>1998</w:t>
      </w:r>
      <w:r>
        <w:rPr>
          <w:rFonts w:ascii="Times New Roman" w:hAnsi="Times New Roman" w:hint="eastAsia"/>
          <w:color w:val="333333"/>
          <w:sz w:val="22"/>
          <w:szCs w:val="22"/>
        </w:rPr>
        <w:t>年</w:t>
      </w:r>
      <w:r>
        <w:rPr>
          <w:rFonts w:ascii="Times New Roman" w:hAnsi="Times New Roman" w:cs="Times New Roman"/>
          <w:color w:val="333333"/>
          <w:sz w:val="22"/>
          <w:szCs w:val="22"/>
        </w:rPr>
        <w:t>2</w:t>
      </w:r>
      <w:r>
        <w:rPr>
          <w:rFonts w:ascii="Times New Roman" w:hAnsi="Times New Roman" w:hint="eastAsia"/>
          <w:color w:val="333333"/>
          <w:sz w:val="22"/>
          <w:szCs w:val="22"/>
        </w:rPr>
        <w:t>月</w:t>
      </w:r>
      <w:r>
        <w:rPr>
          <w:rFonts w:ascii="Times New Roman" w:hAnsi="Times New Roman" w:cs="Times New Roman"/>
          <w:color w:val="333333"/>
          <w:sz w:val="22"/>
          <w:szCs w:val="22"/>
        </w:rPr>
        <w:t>5</w:t>
      </w:r>
      <w:r>
        <w:rPr>
          <w:rFonts w:ascii="Times New Roman" w:hAnsi="Times New Roman" w:hint="eastAsia"/>
          <w:color w:val="333333"/>
          <w:sz w:val="22"/>
          <w:szCs w:val="22"/>
        </w:rPr>
        <w:t>日劳动部部长办公会议通过，现予以颁布，自颁布之日起施行。</w:t>
      </w:r>
      <w:r>
        <w:rPr>
          <w:rFonts w:ascii="Times New Roman" w:eastAsia="微软雅黑" w:hAnsi="Times New Roman" w:cs="Times New Roman"/>
        </w:rPr>
        <w:t> </w:t>
      </w:r>
      <w:r>
        <w:rPr>
          <w:rFonts w:ascii="Times New Roman" w:eastAsia="微软雅黑" w:hAnsi="Times New Roman" w:cs="Times New Roman"/>
        </w:rPr>
        <w:br/>
      </w:r>
      <w:r>
        <w:rPr>
          <w:rFonts w:ascii="Times New Roman" w:hAnsi="Times New Roman" w:hint="eastAsia"/>
          <w:color w:val="333333"/>
          <w:sz w:val="22"/>
          <w:szCs w:val="22"/>
        </w:rPr>
        <w:t>部长李伯勇</w:t>
      </w:r>
    </w:p>
    <w:p w:rsidR="00A32067" w:rsidRDefault="00A32067" w:rsidP="005431C7">
      <w:pPr>
        <w:pStyle w:val="NormalWeb"/>
        <w:shd w:val="clear" w:color="auto" w:fill="FFFFFF"/>
        <w:spacing w:before="0" w:beforeAutospacing="0" w:after="0" w:afterAutospacing="0" w:line="360" w:lineRule="auto"/>
        <w:ind w:firstLineChars="3300" w:firstLine="31680"/>
        <w:rPr>
          <w:rFonts w:ascii="Times New Roman" w:hAnsi="Times New Roman" w:cs="Times New Roman"/>
          <w:color w:val="333333"/>
          <w:sz w:val="22"/>
          <w:szCs w:val="22"/>
        </w:rPr>
      </w:pPr>
      <w:r>
        <w:rPr>
          <w:rFonts w:ascii="Times New Roman" w:hAnsi="Times New Roman" w:hint="eastAsia"/>
          <w:color w:val="333333"/>
          <w:sz w:val="22"/>
          <w:szCs w:val="22"/>
        </w:rPr>
        <w:t xml:space="preserve">一九九八年二月五日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第一条</w:t>
      </w:r>
      <w:r>
        <w:rPr>
          <w:rFonts w:ascii="Times New Roman" w:hAnsi="Times New Roman" w:hint="eastAsia"/>
          <w:sz w:val="22"/>
          <w:szCs w:val="22"/>
        </w:rPr>
        <w:t>为了规范建设项目（工程）的劳动安全卫生预评价工作，依据《建设项目（工程）劳动安全卫生监察规定》，制定本办法。</w:t>
      </w:r>
      <w:r>
        <w:rPr>
          <w:rFonts w:ascii="Times New Roman" w:hAnsi="Times New Roman" w:cs="Times New Roman"/>
          <w:sz w:val="22"/>
          <w:szCs w:val="22"/>
        </w:rPr>
        <w:t> </w:t>
      </w:r>
      <w:r>
        <w:rPr>
          <w:rFonts w:ascii="Times New Roman" w:hAnsi="Times New Roman" w:cs="Times New Roman"/>
          <w:sz w:val="22"/>
          <w:szCs w:val="22"/>
        </w:rPr>
        <w:br/>
      </w:r>
      <w:r>
        <w:rPr>
          <w:rFonts w:ascii="Times New Roman" w:hAnsi="Times New Roman" w:hint="eastAsia"/>
          <w:b/>
          <w:bCs/>
          <w:sz w:val="22"/>
          <w:szCs w:val="22"/>
        </w:rPr>
        <w:t>第二条</w:t>
      </w:r>
      <w:r>
        <w:rPr>
          <w:rFonts w:ascii="Times New Roman" w:hAnsi="Times New Roman" w:hint="eastAsia"/>
          <w:sz w:val="22"/>
          <w:szCs w:val="22"/>
        </w:rPr>
        <w:t>下列建设项目必须进行劳动安全卫生预评价：</w:t>
      </w:r>
      <w:r>
        <w:rPr>
          <w:rFonts w:ascii="Times New Roman" w:hAnsi="Times New Roman" w:cs="Times New Roman"/>
          <w:sz w:val="22"/>
          <w:szCs w:val="22"/>
        </w:rPr>
        <w:t> </w:t>
      </w:r>
      <w:r>
        <w:rPr>
          <w:rFonts w:ascii="Times New Roman" w:hAnsi="Times New Roman" w:cs="Times New Roman"/>
          <w:sz w:val="22"/>
          <w:szCs w:val="22"/>
        </w:rPr>
        <w:br/>
      </w:r>
      <w:r>
        <w:rPr>
          <w:rFonts w:ascii="Times New Roman" w:hAnsi="Times New Roman" w:hint="eastAsia"/>
          <w:sz w:val="22"/>
          <w:szCs w:val="22"/>
        </w:rPr>
        <w:t>（一）属于《国家计划委员会、国家基本建设委员会、财政部关于基本建设项目和大中型划分标准的规定》中规定的大中型建设项目；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（二）属于《建筑设计防火规范》（</w:t>
      </w:r>
      <w:r>
        <w:rPr>
          <w:rFonts w:ascii="Times New Roman" w:hAnsi="Times New Roman" w:cs="Times New Roman"/>
          <w:sz w:val="22"/>
          <w:szCs w:val="22"/>
        </w:rPr>
        <w:t>GBJ16</w:t>
      </w:r>
      <w:r>
        <w:rPr>
          <w:rFonts w:ascii="Times New Roman" w:hAnsi="Times New Roman" w:hint="eastAsia"/>
          <w:sz w:val="22"/>
          <w:szCs w:val="22"/>
        </w:rPr>
        <w:t>）中规定的火灾危险性生产类别为甲类的建设项目；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（三）属于劳动部颁布的《爆炸危险场所安全规定》中规定的爆炸危险场所等级为特别危险场所和高度危险场所的建设项目；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（四）大量生产或使用《职业性接触毒物危害程度分级》（ＧＢ</w:t>
      </w:r>
      <w:r>
        <w:rPr>
          <w:rFonts w:ascii="Times New Roman" w:hAnsi="Times New Roman" w:cs="Times New Roman"/>
          <w:sz w:val="22"/>
          <w:szCs w:val="22"/>
        </w:rPr>
        <w:t>5044</w:t>
      </w:r>
      <w:r>
        <w:rPr>
          <w:rFonts w:ascii="Times New Roman" w:hAnsi="Times New Roman" w:hint="eastAsia"/>
          <w:sz w:val="22"/>
          <w:szCs w:val="22"/>
        </w:rPr>
        <w:t>）规定的</w:t>
      </w:r>
      <w:r>
        <w:rPr>
          <w:rFonts w:hint="eastAsia"/>
          <w:sz w:val="22"/>
          <w:szCs w:val="22"/>
        </w:rPr>
        <w:t>Ⅰ</w:t>
      </w:r>
      <w:r>
        <w:rPr>
          <w:rFonts w:ascii="Times New Roman" w:hAnsi="Times New Roman" w:hint="eastAsia"/>
          <w:sz w:val="22"/>
          <w:szCs w:val="22"/>
        </w:rPr>
        <w:t>级、</w:t>
      </w:r>
      <w:r>
        <w:rPr>
          <w:rFonts w:hint="eastAsia"/>
          <w:sz w:val="22"/>
          <w:szCs w:val="22"/>
        </w:rPr>
        <w:t>Ⅱ</w:t>
      </w:r>
      <w:r>
        <w:rPr>
          <w:rFonts w:ascii="Times New Roman" w:hAnsi="Times New Roman" w:hint="eastAsia"/>
          <w:sz w:val="22"/>
          <w:szCs w:val="22"/>
        </w:rPr>
        <w:t>级危害程度的职业性接触毒物的建设项目；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（五）大量生产或使用石棉粉料或含有</w:t>
      </w:r>
      <w:r>
        <w:rPr>
          <w:rFonts w:ascii="Times New Roman" w:hAnsi="Times New Roman" w:cs="Times New Roman"/>
          <w:sz w:val="22"/>
          <w:szCs w:val="22"/>
        </w:rPr>
        <w:t>10</w:t>
      </w:r>
      <w:r>
        <w:rPr>
          <w:rFonts w:ascii="Times New Roman" w:hAnsi="Times New Roman" w:hint="eastAsia"/>
          <w:sz w:val="22"/>
          <w:szCs w:val="22"/>
        </w:rPr>
        <w:t>％以上的游离二氧化硅粉料的建设项目；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（六）其他由劳动行政部门确认的危险、危害因素大的建设项目。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第三条</w:t>
      </w:r>
      <w:r>
        <w:rPr>
          <w:rFonts w:ascii="Times New Roman" w:hAnsi="Times New Roman" w:hint="eastAsia"/>
          <w:sz w:val="22"/>
          <w:szCs w:val="22"/>
        </w:rPr>
        <w:t>建设项目的劳动安全卫生预评价工作，应在工程可行性研究阶段进行，由建设单位自主选择本建设项目设计单位以外的、熟悉本行业和本建设项目技术特点的、有劳动安全卫生预评价资格的单位（以下简称预评价单位）承担，并与之签订书面委托合同。承担劳动安全卫生预评价工作的单位，应根据建设单位的委托，对建设项目存在的危险、危害因素的种类和程度，进行预评价，提出明确的防范措施。</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第四条</w:t>
      </w:r>
      <w:r>
        <w:rPr>
          <w:rFonts w:ascii="Times New Roman" w:hAnsi="Times New Roman" w:hint="eastAsia"/>
          <w:sz w:val="22"/>
          <w:szCs w:val="22"/>
        </w:rPr>
        <w:t>建设项目劳动安全卫生预评价工作应在建设项目初步设计会审前完成，并通过劳动行政部门的审批。</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第五条</w:t>
      </w:r>
      <w:r>
        <w:rPr>
          <w:rFonts w:ascii="Times New Roman" w:hAnsi="Times New Roman" w:cs="Times New Roman"/>
          <w:sz w:val="22"/>
          <w:szCs w:val="22"/>
        </w:rPr>
        <w:t> </w:t>
      </w:r>
      <w:r>
        <w:rPr>
          <w:rFonts w:ascii="Times New Roman" w:hAnsi="Times New Roman" w:hint="eastAsia"/>
          <w:sz w:val="22"/>
          <w:szCs w:val="22"/>
        </w:rPr>
        <w:t>预评价单位应编制建设项目劳动安全卫生预评价大纲和劳动安全卫生预评价报告书，并送劳动行政部门审批。</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（一）国务院有关部、委、总公司及其他直属机构直接组织的国家重点建设项目，其劳动安全卫生预评价大纲和预评价报告书经具有认可资格的专家评审后由劳动部审批。</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（二）其他建设项目，其劳动安全卫生预评价大纲和预评价报告书的审批工作，由省、自治区、直辖市、计划单列市劳动行政部门根据本地区的实际情况确定。</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第六条</w:t>
      </w:r>
      <w:r>
        <w:rPr>
          <w:rFonts w:ascii="Times New Roman" w:hAnsi="Times New Roman" w:hint="eastAsia"/>
          <w:sz w:val="22"/>
          <w:szCs w:val="22"/>
        </w:rPr>
        <w:t>建设项目劳动安全卫生预评价大纲应包括以下主要内容：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（一）预评价的主要依据；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（二）建设项目概况；</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（三）主要职业危险、危害因素；</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（四）预评价范围、预评价单元；</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（五）预评价方法；</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（六）劳动安全卫生对策措施；</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（七）预评价工作的进度安排。</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第七条</w:t>
      </w:r>
      <w:r>
        <w:rPr>
          <w:rFonts w:ascii="Times New Roman" w:hAnsi="Times New Roman" w:hint="eastAsia"/>
          <w:sz w:val="22"/>
          <w:szCs w:val="22"/>
        </w:rPr>
        <w:t>建设项目劳动安全卫生预评价报告书应包括以下主要内容：</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（一）建设项目劳动安全卫生预评价的主要依据和建设项目概况；</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（二）建设项目的主要危险、危害因素及其定量或定性评价；</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三）劳动安全卫生对策措施（包括建设及场地布置方面的对策措施，工艺及设备方面的对策措施，劳动安全卫生工程设计方面的对策措施，劳动安全卫生管理方面的对策措施，事故应急方面的对策措施及其他综合性措施）；</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sz w:val="22"/>
          <w:szCs w:val="22"/>
        </w:rPr>
        <w:t>（四）预评价结论和建议。</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第八条</w:t>
      </w:r>
      <w:r>
        <w:rPr>
          <w:rFonts w:ascii="Times New Roman" w:hAnsi="Times New Roman" w:hint="eastAsia"/>
          <w:sz w:val="22"/>
          <w:szCs w:val="22"/>
        </w:rPr>
        <w:t>劳动安全卫生预评价报告书应做到数据完整可靠，附图附表齐全，对策措施具体可行，评价结论客观公正。</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第九条</w:t>
      </w:r>
      <w:r>
        <w:rPr>
          <w:rFonts w:ascii="Times New Roman" w:hAnsi="Times New Roman" w:hint="eastAsia"/>
          <w:sz w:val="22"/>
          <w:szCs w:val="22"/>
        </w:rPr>
        <w:t>设计单位在初步设计中，应严格遵守现行的劳动安全卫生标准，依据劳动安全卫生预评价报告书，完善设计，编制《建设项目劳动安全卫生专篇》，对劳动安全卫生设施的设计负技术责任。</w:t>
      </w:r>
      <w:r>
        <w:rPr>
          <w:rFonts w:ascii="Times New Roman" w:hAnsi="Times New Roman" w:cs="Times New Roman"/>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sz w:val="22"/>
          <w:szCs w:val="22"/>
        </w:rPr>
      </w:pPr>
      <w:r>
        <w:rPr>
          <w:rFonts w:ascii="Times New Roman" w:hAnsi="Times New Roman" w:hint="eastAsia"/>
          <w:b/>
          <w:bCs/>
          <w:sz w:val="22"/>
          <w:szCs w:val="22"/>
        </w:rPr>
        <w:t>第十条</w:t>
      </w:r>
      <w:r>
        <w:rPr>
          <w:rFonts w:ascii="Times New Roman" w:hAnsi="Times New Roman" w:hint="eastAsia"/>
          <w:sz w:val="22"/>
          <w:szCs w:val="22"/>
        </w:rPr>
        <w:t>本办法自颁布之日起施行。</w:t>
      </w:r>
    </w:p>
    <w:p w:rsidR="00A32067" w:rsidRDefault="00A32067">
      <w:pPr>
        <w:spacing w:line="360" w:lineRule="auto"/>
        <w:jc w:val="center"/>
      </w:pPr>
    </w:p>
    <w:p w:rsidR="00A32067" w:rsidRDefault="00A32067">
      <w:pPr>
        <w:spacing w:line="360" w:lineRule="auto"/>
      </w:pPr>
    </w:p>
    <w:p w:rsidR="00A32067" w:rsidRDefault="00A32067">
      <w:pPr>
        <w:spacing w:line="360" w:lineRule="auto"/>
      </w:pPr>
      <w:r>
        <w:br w:type="page"/>
      </w:r>
    </w:p>
    <w:p w:rsidR="00A32067" w:rsidRDefault="00A32067">
      <w:pPr>
        <w:pStyle w:val="NormalWeb"/>
        <w:shd w:val="clear" w:color="auto" w:fill="FFFFFF"/>
        <w:spacing w:before="0" w:beforeAutospacing="0" w:after="0" w:afterAutospacing="0" w:line="360" w:lineRule="auto"/>
        <w:ind w:firstLine="880"/>
        <w:jc w:val="center"/>
        <w:outlineLvl w:val="0"/>
        <w:rPr>
          <w:rFonts w:ascii="Times New Roman" w:hAnsi="Times New Roman" w:cs="Times New Roman"/>
          <w:b/>
          <w:bCs/>
          <w:color w:val="333333"/>
          <w:spacing w:val="10"/>
          <w:sz w:val="44"/>
          <w:szCs w:val="44"/>
        </w:rPr>
      </w:pPr>
    </w:p>
    <w:p w:rsidR="00A32067" w:rsidRDefault="00A32067">
      <w:pPr>
        <w:pStyle w:val="NormalWeb"/>
        <w:shd w:val="clear" w:color="auto" w:fill="FFFFFF"/>
        <w:spacing w:before="0" w:beforeAutospacing="0" w:after="0" w:afterAutospacing="0" w:line="360" w:lineRule="auto"/>
        <w:ind w:firstLine="880"/>
        <w:jc w:val="center"/>
        <w:outlineLvl w:val="0"/>
        <w:rPr>
          <w:rFonts w:ascii="Times New Roman" w:hAnsi="Times New Roman" w:cs="Times New Roman"/>
          <w:b/>
          <w:bCs/>
          <w:color w:val="333333"/>
          <w:spacing w:val="10"/>
          <w:sz w:val="44"/>
          <w:szCs w:val="44"/>
        </w:rPr>
      </w:pPr>
    </w:p>
    <w:p w:rsidR="00A32067" w:rsidRDefault="00A32067" w:rsidP="0002085C">
      <w:pPr>
        <w:pStyle w:val="NormalWeb"/>
        <w:shd w:val="clear" w:color="auto" w:fill="FFFFFF"/>
        <w:spacing w:beforeLines="50" w:beforeAutospacing="0" w:afterLines="100" w:afterAutospacing="0" w:line="360" w:lineRule="auto"/>
        <w:ind w:firstLine="879"/>
        <w:jc w:val="center"/>
        <w:outlineLvl w:val="2"/>
        <w:rPr>
          <w:rFonts w:ascii="Times New Roman" w:hAnsi="Times New Roman" w:cs="Times New Roman"/>
          <w:b/>
          <w:bCs/>
          <w:color w:val="333333"/>
          <w:spacing w:val="10"/>
          <w:sz w:val="44"/>
          <w:szCs w:val="44"/>
        </w:rPr>
      </w:pPr>
      <w:bookmarkStart w:id="55" w:name="_Toc519872295"/>
      <w:r>
        <w:rPr>
          <w:rFonts w:ascii="Times New Roman" w:hAnsi="Times New Roman" w:hint="eastAsia"/>
          <w:b/>
          <w:bCs/>
          <w:color w:val="333333"/>
          <w:spacing w:val="10"/>
          <w:sz w:val="44"/>
          <w:szCs w:val="44"/>
        </w:rPr>
        <w:t>中华人民共和国劳动合同法</w:t>
      </w:r>
      <w:bookmarkEnd w:id="55"/>
    </w:p>
    <w:p w:rsidR="00A32067" w:rsidRDefault="00A32067" w:rsidP="0002085C">
      <w:pPr>
        <w:pStyle w:val="NormalWeb"/>
        <w:shd w:val="clear" w:color="auto" w:fill="FFFFFF"/>
        <w:spacing w:beforeLines="50" w:beforeAutospacing="0" w:afterLines="100" w:afterAutospacing="0" w:line="360" w:lineRule="auto"/>
        <w:ind w:firstLine="879"/>
        <w:jc w:val="center"/>
        <w:rPr>
          <w:rFonts w:ascii="Times New Roman" w:hAnsi="Times New Roman" w:cs="Times New Roman"/>
          <w:b/>
          <w:bCs/>
          <w:color w:val="333333"/>
          <w:spacing w:val="10"/>
          <w:sz w:val="44"/>
          <w:szCs w:val="44"/>
        </w:rPr>
      </w:pPr>
    </w:p>
    <w:p w:rsidR="00A32067" w:rsidRDefault="00A32067">
      <w:pPr>
        <w:pStyle w:val="NormalWeb"/>
        <w:shd w:val="clear" w:color="auto" w:fill="FFFFFF"/>
        <w:spacing w:before="0" w:beforeAutospacing="0" w:after="0" w:afterAutospacing="0" w:line="360" w:lineRule="auto"/>
        <w:ind w:firstLine="420"/>
        <w:rPr>
          <w:rFonts w:ascii="Times New Roman" w:hAnsi="Times New Roman" w:cs="Times New Roman"/>
          <w:color w:val="333333"/>
          <w:spacing w:val="6"/>
          <w:sz w:val="22"/>
          <w:szCs w:val="22"/>
        </w:rPr>
      </w:pPr>
      <w:r>
        <w:rPr>
          <w:rFonts w:ascii="Times New Roman" w:hAnsi="Times New Roman" w:hint="eastAsia"/>
          <w:color w:val="333333"/>
          <w:spacing w:val="6"/>
          <w:sz w:val="22"/>
          <w:szCs w:val="22"/>
        </w:rPr>
        <w:t>《中华人民共和国劳动合同法》已由中华人民共和国第十届全国人民代表大会常务委员会第二十八次会议于</w:t>
      </w:r>
      <w:r>
        <w:rPr>
          <w:rFonts w:ascii="Times New Roman" w:hAnsi="Times New Roman" w:cs="Times New Roman"/>
          <w:color w:val="333333"/>
          <w:spacing w:val="6"/>
          <w:sz w:val="22"/>
          <w:szCs w:val="22"/>
        </w:rPr>
        <w:t>2007</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6</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29</w:t>
      </w:r>
      <w:r>
        <w:rPr>
          <w:rFonts w:ascii="Times New Roman" w:hAnsi="Times New Roman" w:hint="eastAsia"/>
          <w:color w:val="333333"/>
          <w:spacing w:val="6"/>
          <w:sz w:val="22"/>
          <w:szCs w:val="22"/>
        </w:rPr>
        <w:t>日通过，现予公布，自</w:t>
      </w:r>
      <w:r>
        <w:rPr>
          <w:rFonts w:ascii="Times New Roman" w:hAnsi="Times New Roman" w:cs="Times New Roman"/>
          <w:color w:val="333333"/>
          <w:spacing w:val="6"/>
          <w:sz w:val="22"/>
          <w:szCs w:val="22"/>
        </w:rPr>
        <w:t>2008</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1</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1</w:t>
      </w:r>
      <w:r>
        <w:rPr>
          <w:rFonts w:ascii="Times New Roman" w:hAnsi="Times New Roman" w:hint="eastAsia"/>
          <w:color w:val="333333"/>
          <w:spacing w:val="6"/>
          <w:sz w:val="22"/>
          <w:szCs w:val="22"/>
        </w:rPr>
        <w:t>日起施行。</w:t>
      </w:r>
      <w:r>
        <w:rPr>
          <w:rFonts w:ascii="Times New Roman" w:hAnsi="Times New Roman" w:cs="Times New Roman"/>
          <w:color w:val="333333"/>
          <w:spacing w:val="6"/>
          <w:sz w:val="22"/>
          <w:szCs w:val="22"/>
        </w:rPr>
        <w:t>  </w:t>
      </w: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pacing w:val="6"/>
          <w:sz w:val="22"/>
          <w:szCs w:val="22"/>
        </w:rPr>
      </w:pP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pacing w:val="6"/>
          <w:sz w:val="22"/>
          <w:szCs w:val="22"/>
        </w:rPr>
      </w:pPr>
      <w:r>
        <w:rPr>
          <w:rFonts w:ascii="Times New Roman" w:hAnsi="Times New Roman" w:hint="eastAsia"/>
          <w:color w:val="333333"/>
          <w:spacing w:val="6"/>
          <w:sz w:val="22"/>
          <w:szCs w:val="22"/>
        </w:rPr>
        <w:t>中华人民共和国主席</w:t>
      </w:r>
      <w:r>
        <w:rPr>
          <w:rFonts w:ascii="Times New Roman" w:hAnsi="Times New Roman" w:cs="Times New Roman"/>
          <w:color w:val="333333"/>
          <w:spacing w:val="6"/>
          <w:sz w:val="22"/>
          <w:szCs w:val="22"/>
        </w:rPr>
        <w:t xml:space="preserve">   </w:t>
      </w:r>
      <w:r>
        <w:rPr>
          <w:rFonts w:ascii="Times New Roman" w:hAnsi="Times New Roman" w:hint="eastAsia"/>
          <w:color w:val="333333"/>
          <w:spacing w:val="6"/>
          <w:sz w:val="22"/>
          <w:szCs w:val="22"/>
        </w:rPr>
        <w:t>胡锦涛</w:t>
      </w:r>
    </w:p>
    <w:p w:rsidR="00A32067" w:rsidRDefault="00A32067">
      <w:pPr>
        <w:pStyle w:val="NormalWeb"/>
        <w:shd w:val="clear" w:color="auto" w:fill="FFFFFF"/>
        <w:spacing w:before="0" w:beforeAutospacing="0" w:after="0" w:afterAutospacing="0" w:line="360" w:lineRule="auto"/>
        <w:ind w:right="464" w:firstLine="420"/>
        <w:jc w:val="right"/>
        <w:rPr>
          <w:rFonts w:ascii="Times New Roman" w:hAnsi="Times New Roman" w:cs="Times New Roman"/>
          <w:color w:val="333333"/>
          <w:spacing w:val="6"/>
          <w:sz w:val="22"/>
          <w:szCs w:val="22"/>
        </w:rPr>
      </w:pPr>
      <w:r>
        <w:rPr>
          <w:rFonts w:ascii="Times New Roman" w:hAnsi="Times New Roman" w:cs="Times New Roman"/>
          <w:color w:val="333333"/>
          <w:spacing w:val="6"/>
          <w:sz w:val="22"/>
          <w:szCs w:val="22"/>
        </w:rPr>
        <w:t>2007</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6</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29</w:t>
      </w:r>
      <w:r>
        <w:rPr>
          <w:rFonts w:ascii="Times New Roman" w:hAnsi="Times New Roman" w:hint="eastAsia"/>
          <w:color w:val="333333"/>
          <w:spacing w:val="6"/>
          <w:sz w:val="22"/>
          <w:szCs w:val="22"/>
        </w:rPr>
        <w:t>日</w:t>
      </w:r>
    </w:p>
    <w:p w:rsidR="00A32067" w:rsidRDefault="00A32067">
      <w:pPr>
        <w:pStyle w:val="NormalWeb"/>
        <w:shd w:val="clear" w:color="auto" w:fill="FFFFFF"/>
        <w:spacing w:before="0" w:beforeAutospacing="0" w:after="0" w:afterAutospacing="0" w:line="360" w:lineRule="auto"/>
        <w:ind w:right="464" w:firstLine="420"/>
        <w:jc w:val="right"/>
        <w:rPr>
          <w:rFonts w:ascii="Times New Roman" w:eastAsia="微软雅黑" w:hAnsi="Times New Roman" w:cs="Times New Roman"/>
        </w:rPr>
      </w:pPr>
    </w:p>
    <w:p w:rsidR="00A32067" w:rsidRDefault="00A32067" w:rsidP="005431C7">
      <w:pPr>
        <w:pStyle w:val="NormalWeb"/>
        <w:shd w:val="clear" w:color="auto" w:fill="FFFFFF"/>
        <w:spacing w:before="0" w:beforeAutospacing="0" w:after="0" w:afterAutospacing="0" w:line="360" w:lineRule="auto"/>
        <w:ind w:firstLineChars="1300" w:firstLine="31680"/>
        <w:rPr>
          <w:rFonts w:ascii="Times New Roman" w:hAnsi="Times New Roman" w:cs="Times New Roman"/>
          <w:b/>
          <w:bCs/>
          <w:color w:val="333333"/>
          <w:sz w:val="22"/>
          <w:szCs w:val="22"/>
        </w:rPr>
      </w:pPr>
      <w:r>
        <w:rPr>
          <w:rFonts w:ascii="Times New Roman" w:hAnsi="Times New Roman" w:hint="eastAsia"/>
          <w:b/>
          <w:bCs/>
          <w:color w:val="333333"/>
          <w:sz w:val="36"/>
          <w:szCs w:val="36"/>
        </w:rPr>
        <w:t>目　录</w:t>
      </w:r>
      <w:r>
        <w:rPr>
          <w:rFonts w:ascii="Times New Roman" w:hAnsi="Times New Roman" w:cs="Times New Roman"/>
          <w:b/>
          <w:bCs/>
          <w:color w:val="333333"/>
          <w:sz w:val="36"/>
          <w:szCs w:val="36"/>
        </w:rPr>
        <w:br/>
      </w:r>
      <w:hyperlink r:id="rId56" w:anchor="01" w:history="1">
        <w:r>
          <w:rPr>
            <w:rFonts w:ascii="Times New Roman" w:hAnsi="Times New Roman" w:hint="eastAsia"/>
            <w:b/>
            <w:bCs/>
            <w:color w:val="333333"/>
            <w:sz w:val="22"/>
            <w:szCs w:val="22"/>
          </w:rPr>
          <w:t>第一章　总</w:t>
        </w:r>
        <w:r>
          <w:rPr>
            <w:rFonts w:ascii="Times New Roman" w:hAnsi="Times New Roman" w:cs="Times New Roman"/>
            <w:b/>
            <w:bCs/>
            <w:color w:val="333333"/>
            <w:sz w:val="22"/>
            <w:szCs w:val="22"/>
          </w:rPr>
          <w:t xml:space="preserve">  </w:t>
        </w:r>
        <w:r>
          <w:rPr>
            <w:rFonts w:ascii="Times New Roman" w:hAnsi="Times New Roman" w:hint="eastAsia"/>
            <w:b/>
            <w:bCs/>
            <w:color w:val="333333"/>
            <w:sz w:val="22"/>
            <w:szCs w:val="22"/>
          </w:rPr>
          <w:t>则</w:t>
        </w:r>
      </w:hyperlink>
      <w:r>
        <w:rPr>
          <w:rFonts w:ascii="Times New Roman" w:hAnsi="Times New Roman" w:cs="Times New Roman"/>
          <w:b/>
          <w:bCs/>
          <w:color w:val="333333"/>
          <w:sz w:val="22"/>
          <w:szCs w:val="22"/>
        </w:rPr>
        <w:br/>
      </w:r>
      <w:hyperlink r:id="rId57" w:anchor="02" w:history="1">
        <w:r>
          <w:rPr>
            <w:rFonts w:ascii="Times New Roman" w:hAnsi="Times New Roman" w:hint="eastAsia"/>
            <w:b/>
            <w:bCs/>
            <w:color w:val="333333"/>
            <w:sz w:val="22"/>
            <w:szCs w:val="22"/>
          </w:rPr>
          <w:t>第二章　劳动合同的订立</w:t>
        </w:r>
      </w:hyperlink>
      <w:r>
        <w:rPr>
          <w:rFonts w:ascii="Times New Roman" w:hAnsi="Times New Roman" w:cs="Times New Roman"/>
          <w:b/>
          <w:bCs/>
          <w:color w:val="333333"/>
          <w:sz w:val="22"/>
          <w:szCs w:val="22"/>
        </w:rPr>
        <w:br/>
      </w:r>
      <w:hyperlink r:id="rId58" w:anchor="03" w:history="1">
        <w:r>
          <w:rPr>
            <w:rFonts w:ascii="Times New Roman" w:hAnsi="Times New Roman" w:hint="eastAsia"/>
            <w:b/>
            <w:bCs/>
            <w:color w:val="333333"/>
            <w:sz w:val="22"/>
            <w:szCs w:val="22"/>
          </w:rPr>
          <w:t>第三章　劳动合同的履行和变更</w:t>
        </w:r>
      </w:hyperlink>
      <w:r>
        <w:rPr>
          <w:rFonts w:ascii="Times New Roman" w:hAnsi="Times New Roman" w:cs="Times New Roman"/>
          <w:b/>
          <w:bCs/>
          <w:color w:val="333333"/>
          <w:sz w:val="22"/>
          <w:szCs w:val="22"/>
        </w:rPr>
        <w:br/>
      </w:r>
      <w:hyperlink r:id="rId59" w:anchor="04" w:history="1">
        <w:r>
          <w:rPr>
            <w:rFonts w:ascii="Times New Roman" w:hAnsi="Times New Roman" w:hint="eastAsia"/>
            <w:b/>
            <w:bCs/>
            <w:color w:val="333333"/>
            <w:sz w:val="22"/>
            <w:szCs w:val="22"/>
          </w:rPr>
          <w:t>第四章　劳动合同的解除和终止</w:t>
        </w:r>
      </w:hyperlink>
      <w:r>
        <w:rPr>
          <w:rFonts w:ascii="Times New Roman" w:hAnsi="Times New Roman" w:cs="Times New Roman"/>
          <w:b/>
          <w:bCs/>
          <w:color w:val="333333"/>
          <w:sz w:val="22"/>
          <w:szCs w:val="22"/>
        </w:rPr>
        <w:br/>
      </w:r>
      <w:hyperlink r:id="rId60" w:anchor="05" w:history="1">
        <w:r>
          <w:rPr>
            <w:rFonts w:ascii="Times New Roman" w:hAnsi="Times New Roman" w:hint="eastAsia"/>
            <w:b/>
            <w:bCs/>
            <w:color w:val="333333"/>
            <w:sz w:val="22"/>
            <w:szCs w:val="22"/>
          </w:rPr>
          <w:t>第五章　特别规定</w:t>
        </w:r>
      </w:hyperlink>
      <w:r>
        <w:rPr>
          <w:rFonts w:ascii="Times New Roman" w:hAnsi="Times New Roman" w:cs="Times New Roman"/>
          <w:b/>
          <w:bCs/>
          <w:color w:val="333333"/>
          <w:sz w:val="22"/>
          <w:szCs w:val="22"/>
        </w:rPr>
        <w:br/>
        <w:t>  </w:t>
      </w:r>
      <w:hyperlink r:id="rId61" w:anchor="001" w:history="1">
        <w:r>
          <w:rPr>
            <w:rFonts w:ascii="Times New Roman" w:hAnsi="Times New Roman" w:hint="eastAsia"/>
            <w:b/>
            <w:bCs/>
            <w:color w:val="333333"/>
            <w:sz w:val="22"/>
            <w:szCs w:val="22"/>
          </w:rPr>
          <w:t>第一节　集体合同</w:t>
        </w:r>
      </w:hyperlink>
      <w:r>
        <w:rPr>
          <w:rFonts w:ascii="Times New Roman" w:hAnsi="Times New Roman" w:cs="Times New Roman"/>
          <w:b/>
          <w:bCs/>
          <w:color w:val="333333"/>
          <w:sz w:val="22"/>
          <w:szCs w:val="22"/>
        </w:rPr>
        <w:br/>
        <w:t>  </w:t>
      </w:r>
      <w:hyperlink r:id="rId62" w:anchor="002" w:history="1">
        <w:r>
          <w:rPr>
            <w:rFonts w:ascii="Times New Roman" w:hAnsi="Times New Roman" w:hint="eastAsia"/>
            <w:b/>
            <w:bCs/>
            <w:color w:val="333333"/>
            <w:sz w:val="22"/>
            <w:szCs w:val="22"/>
          </w:rPr>
          <w:t>第二节　劳务派遣</w:t>
        </w:r>
      </w:hyperlink>
      <w:r>
        <w:rPr>
          <w:rFonts w:ascii="Times New Roman" w:hAnsi="Times New Roman" w:cs="Times New Roman"/>
          <w:b/>
          <w:bCs/>
          <w:color w:val="333333"/>
          <w:sz w:val="22"/>
          <w:szCs w:val="22"/>
        </w:rPr>
        <w:br/>
        <w:t>  </w:t>
      </w:r>
      <w:hyperlink r:id="rId63" w:anchor="003" w:history="1">
        <w:r>
          <w:rPr>
            <w:rFonts w:ascii="Times New Roman" w:hAnsi="Times New Roman" w:hint="eastAsia"/>
            <w:b/>
            <w:bCs/>
            <w:color w:val="333333"/>
            <w:sz w:val="22"/>
            <w:szCs w:val="22"/>
          </w:rPr>
          <w:t>第三节　非全日制用工</w:t>
        </w:r>
      </w:hyperlink>
      <w:r>
        <w:rPr>
          <w:rFonts w:ascii="Times New Roman" w:hAnsi="Times New Roman" w:cs="Times New Roman"/>
          <w:b/>
          <w:bCs/>
          <w:color w:val="333333"/>
          <w:sz w:val="22"/>
          <w:szCs w:val="22"/>
        </w:rPr>
        <w:br/>
      </w:r>
      <w:hyperlink r:id="rId64" w:anchor="06" w:history="1">
        <w:r>
          <w:rPr>
            <w:rFonts w:ascii="Times New Roman" w:hAnsi="Times New Roman" w:hint="eastAsia"/>
            <w:b/>
            <w:bCs/>
            <w:color w:val="333333"/>
            <w:sz w:val="22"/>
            <w:szCs w:val="22"/>
          </w:rPr>
          <w:t>第六章　监督检查</w:t>
        </w:r>
      </w:hyperlink>
      <w:r>
        <w:rPr>
          <w:rFonts w:ascii="Times New Roman" w:hAnsi="Times New Roman" w:cs="Times New Roman"/>
          <w:b/>
          <w:bCs/>
          <w:color w:val="333333"/>
          <w:sz w:val="22"/>
          <w:szCs w:val="22"/>
        </w:rPr>
        <w:br/>
      </w:r>
      <w:hyperlink r:id="rId65" w:anchor="07" w:history="1">
        <w:r>
          <w:rPr>
            <w:rFonts w:ascii="Times New Roman" w:hAnsi="Times New Roman" w:hint="eastAsia"/>
            <w:b/>
            <w:bCs/>
            <w:color w:val="333333"/>
            <w:sz w:val="22"/>
            <w:szCs w:val="22"/>
          </w:rPr>
          <w:t>第七章　法律责任</w:t>
        </w:r>
      </w:hyperlink>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color w:val="333333"/>
          <w:sz w:val="22"/>
          <w:szCs w:val="22"/>
        </w:rPr>
      </w:pPr>
      <w:hyperlink r:id="rId66" w:anchor="08" w:history="1">
        <w:r>
          <w:rPr>
            <w:rFonts w:ascii="Times New Roman" w:hAnsi="Times New Roman" w:hint="eastAsia"/>
            <w:b/>
            <w:bCs/>
            <w:color w:val="333333"/>
            <w:sz w:val="22"/>
            <w:szCs w:val="22"/>
          </w:rPr>
          <w:t>第八章　附</w:t>
        </w:r>
        <w:r>
          <w:rPr>
            <w:rFonts w:ascii="Times New Roman" w:hAnsi="Times New Roman" w:cs="Times New Roman"/>
            <w:b/>
            <w:bCs/>
            <w:color w:val="333333"/>
            <w:sz w:val="22"/>
            <w:szCs w:val="22"/>
          </w:rPr>
          <w:t xml:space="preserve">  </w:t>
        </w:r>
        <w:r>
          <w:rPr>
            <w:rFonts w:ascii="Times New Roman" w:hAnsi="Times New Roman" w:hint="eastAsia"/>
            <w:b/>
            <w:bCs/>
            <w:color w:val="333333"/>
            <w:sz w:val="22"/>
            <w:szCs w:val="22"/>
          </w:rPr>
          <w:t>则</w:t>
        </w:r>
      </w:hyperlink>
    </w:p>
    <w:p w:rsidR="00A32067" w:rsidRDefault="00A32067">
      <w:pPr>
        <w:pStyle w:val="NormalWeb"/>
        <w:spacing w:before="45" w:beforeAutospacing="0" w:after="45" w:afterAutospacing="0" w:line="360" w:lineRule="atLeast"/>
        <w:rPr>
          <w:rFonts w:ascii="Times New Roman" w:eastAsia="微软雅黑" w:hAnsi="Times New Roman" w:cs="Times New Roman"/>
        </w:rPr>
      </w:pPr>
    </w:p>
    <w:p w:rsidR="00A32067" w:rsidRDefault="00A32067">
      <w:pPr>
        <w:pStyle w:val="NormalWeb"/>
        <w:spacing w:before="45" w:beforeAutospacing="0" w:after="45" w:afterAutospacing="0" w:line="360" w:lineRule="atLeast"/>
        <w:rPr>
          <w:rFonts w:ascii="Times New Roman" w:eastAsia="微软雅黑" w:hAnsi="Times New Roman" w:cs="Times New Roman"/>
        </w:rPr>
      </w:pPr>
    </w:p>
    <w:p w:rsidR="00A32067" w:rsidRDefault="00A32067">
      <w:pPr>
        <w:pStyle w:val="NormalWeb"/>
        <w:spacing w:before="45" w:beforeAutospacing="0" w:after="45" w:afterAutospacing="0" w:line="360" w:lineRule="atLeast"/>
        <w:rPr>
          <w:rFonts w:ascii="Times New Roman" w:eastAsia="微软雅黑" w:hAnsi="Times New Roman" w:cs="Times New Roman"/>
        </w:rPr>
      </w:pPr>
    </w:p>
    <w:p w:rsidR="00A32067" w:rsidRDefault="00A32067">
      <w:pPr>
        <w:pStyle w:val="NormalWeb"/>
        <w:spacing w:before="45" w:beforeAutospacing="0" w:after="45" w:afterAutospacing="0" w:line="360" w:lineRule="atLeast"/>
        <w:rPr>
          <w:rFonts w:ascii="Times New Roman" w:eastAsia="微软雅黑" w:hAnsi="Times New Roman" w:cs="Times New Roman"/>
        </w:rPr>
      </w:pPr>
    </w:p>
    <w:p w:rsidR="00A32067" w:rsidRDefault="00A32067">
      <w:pPr>
        <w:pStyle w:val="NormalWeb"/>
        <w:spacing w:before="45" w:beforeAutospacing="0" w:after="45" w:afterAutospacing="0" w:line="360" w:lineRule="atLeast"/>
        <w:rPr>
          <w:rFonts w:ascii="Times New Roman" w:eastAsia="微软雅黑" w:hAnsi="Times New Roman" w:cs="Times New Roman"/>
        </w:rPr>
      </w:pP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sectPr w:rsidR="00A32067">
          <w:pgSz w:w="11907" w:h="16840"/>
          <w:pgMar w:top="1134" w:right="1077" w:bottom="1134" w:left="1077" w:header="794" w:footer="567" w:gutter="284"/>
          <w:cols w:space="720"/>
          <w:docGrid w:linePitch="312"/>
        </w:sectPr>
      </w:pP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　总</w:t>
      </w:r>
      <w:r>
        <w:rPr>
          <w:rFonts w:ascii="Times New Roman" w:hAnsi="Times New Roman" w:cs="Times New Roman"/>
          <w:b/>
          <w:bCs/>
          <w:color w:val="333333"/>
        </w:rPr>
        <w:t xml:space="preserve">  </w:t>
      </w:r>
      <w:r>
        <w:rPr>
          <w:rFonts w:ascii="Times New Roman" w:hAnsi="Times New Roman" w:hint="eastAsia"/>
          <w:b/>
          <w:bCs/>
          <w:color w:val="333333"/>
        </w:rPr>
        <w:t>则</w:t>
      </w:r>
      <w:bookmarkStart w:id="56" w:name="BM01"/>
      <w:bookmarkEnd w:id="56"/>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sz w:val="22"/>
          <w:szCs w:val="22"/>
        </w:rPr>
      </w:pPr>
      <w:r>
        <w:rPr>
          <w:rFonts w:ascii="Times New Roman" w:hAnsi="Times New Roman" w:hint="eastAsia"/>
          <w:b/>
          <w:bCs/>
          <w:sz w:val="22"/>
          <w:szCs w:val="22"/>
        </w:rPr>
        <w:t>第一条</w:t>
      </w:r>
      <w:r>
        <w:rPr>
          <w:rFonts w:ascii="Times New Roman" w:hAnsi="Times New Roman" w:hint="eastAsia"/>
          <w:sz w:val="22"/>
          <w:szCs w:val="22"/>
        </w:rPr>
        <w:t xml:space="preserve">　为了完善劳动合同制度，明确劳动合同双方当事人的权利和义务，保护劳动者的合法权益，构建和发展和谐稳定的劳动关系，制定本法。</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第二条　</w:t>
      </w:r>
      <w:r>
        <w:rPr>
          <w:rFonts w:ascii="Times New Roman" w:hAnsi="Times New Roman" w:hint="eastAsia"/>
          <w:sz w:val="22"/>
          <w:szCs w:val="22"/>
        </w:rPr>
        <w:t>中华人民共和国境内的企业、个体经济组织、民办非企业单位等组织（以下称用人单位）与劳动者建立劳动关系，订立、履行、变更、解除或者终止劳动合同，适用本法。</w:t>
      </w:r>
      <w:r>
        <w:rPr>
          <w:rFonts w:ascii="Times New Roman" w:hAnsi="Times New Roman" w:cs="Times New Roman"/>
          <w:sz w:val="22"/>
          <w:szCs w:val="22"/>
        </w:rPr>
        <w:br/>
      </w:r>
      <w:r>
        <w:rPr>
          <w:rFonts w:ascii="Times New Roman" w:hAnsi="Times New Roman" w:hint="eastAsia"/>
          <w:sz w:val="22"/>
          <w:szCs w:val="22"/>
        </w:rPr>
        <w:t xml:space="preserve">　　国家机关、事业单位、社会团体和与其建立劳动关系的劳动者，订立、履行、变更、解除或者终止劳动合同，依照本法执行。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第三条　</w:t>
      </w:r>
      <w:r>
        <w:rPr>
          <w:rFonts w:ascii="Times New Roman" w:hAnsi="Times New Roman" w:hint="eastAsia"/>
          <w:sz w:val="22"/>
          <w:szCs w:val="22"/>
        </w:rPr>
        <w:t>订立劳动合同，应当遵循合法、公平、平等自愿、协商一致、诚实信用的原则。</w:t>
      </w:r>
      <w:r>
        <w:rPr>
          <w:rFonts w:ascii="Times New Roman" w:hAnsi="Times New Roman" w:cs="Times New Roman"/>
          <w:sz w:val="22"/>
          <w:szCs w:val="22"/>
        </w:rPr>
        <w:br/>
      </w:r>
      <w:r>
        <w:rPr>
          <w:rFonts w:ascii="Times New Roman" w:hAnsi="Times New Roman" w:hint="eastAsia"/>
          <w:sz w:val="22"/>
          <w:szCs w:val="22"/>
        </w:rPr>
        <w:t xml:space="preserve">　　依法订立的劳动合同具有约束力，用人单位与劳动者应当履行劳动合同约定的义务。</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第四条　</w:t>
      </w:r>
      <w:r>
        <w:rPr>
          <w:rFonts w:ascii="Times New Roman" w:hAnsi="Times New Roman" w:hint="eastAsia"/>
          <w:sz w:val="22"/>
          <w:szCs w:val="22"/>
        </w:rPr>
        <w:t>用人单位应当依法建立和完善劳动规章制度，保障劳动者享有劳动权利、履行劳动义务。</w:t>
      </w:r>
      <w:r>
        <w:rPr>
          <w:rFonts w:ascii="Times New Roman" w:hAnsi="Times New Roman" w:cs="Times New Roman"/>
          <w:sz w:val="22"/>
          <w:szCs w:val="22"/>
        </w:rPr>
        <w:br/>
      </w:r>
      <w:r>
        <w:rPr>
          <w:rFonts w:ascii="Times New Roman" w:hAnsi="Times New Roman" w:hint="eastAsia"/>
          <w:sz w:val="22"/>
          <w:szCs w:val="22"/>
        </w:rPr>
        <w:t xml:space="preserve">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r>
        <w:rPr>
          <w:rFonts w:ascii="Times New Roman" w:hAnsi="Times New Roman" w:cs="Times New Roman"/>
          <w:sz w:val="22"/>
          <w:szCs w:val="22"/>
        </w:rPr>
        <w:br/>
      </w:r>
      <w:r>
        <w:rPr>
          <w:rFonts w:ascii="Times New Roman" w:hAnsi="Times New Roman" w:hint="eastAsia"/>
          <w:sz w:val="22"/>
          <w:szCs w:val="22"/>
        </w:rPr>
        <w:t xml:space="preserve">　　在规章制度和重大事项决定实施过程中，工会或者职工认为不适当的，有权向用人单位提出，通过协商予以修改完善。</w:t>
      </w:r>
      <w:r>
        <w:rPr>
          <w:rFonts w:ascii="Times New Roman" w:hAnsi="Times New Roman" w:cs="Times New Roman"/>
          <w:sz w:val="22"/>
          <w:szCs w:val="22"/>
        </w:rPr>
        <w:br/>
      </w:r>
      <w:r>
        <w:rPr>
          <w:rFonts w:ascii="Times New Roman" w:hAnsi="Times New Roman" w:hint="eastAsia"/>
          <w:sz w:val="22"/>
          <w:szCs w:val="22"/>
        </w:rPr>
        <w:t xml:space="preserve">　　用人单位应当将直接涉及劳动者切身利益的规章制度和重大事项决定公示，或者告知劳动者。</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第五条　</w:t>
      </w:r>
      <w:r>
        <w:rPr>
          <w:rFonts w:ascii="Times New Roman" w:hAnsi="Times New Roman" w:hint="eastAsia"/>
          <w:sz w:val="22"/>
          <w:szCs w:val="22"/>
        </w:rPr>
        <w:t>县级以上人民政府劳动行政部门会同工会和企业方面代表，建立健全协调劳动关系三方机制，共同研究解决有关劳动关系的重大问题。</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第六条　</w:t>
      </w:r>
      <w:r>
        <w:rPr>
          <w:rFonts w:ascii="Times New Roman" w:hAnsi="Times New Roman" w:hint="eastAsia"/>
          <w:sz w:val="22"/>
          <w:szCs w:val="22"/>
        </w:rPr>
        <w:t>工会应当帮助、指导劳动者与用人单位依法订立和履行劳动合同，并与用人单位建立集体协商机制，维护劳动者的合法权益。</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　劳动合同的订立</w:t>
      </w:r>
      <w:bookmarkStart w:id="57" w:name="BM02"/>
      <w:bookmarkEnd w:id="57"/>
    </w:p>
    <w:p w:rsidR="00A32067" w:rsidRDefault="00A32067">
      <w:pPr>
        <w:pStyle w:val="NormalWeb"/>
        <w:shd w:val="clear" w:color="auto" w:fill="FFFFFF"/>
        <w:spacing w:before="0" w:beforeAutospacing="0" w:after="0" w:afterAutospacing="0" w:line="360" w:lineRule="auto"/>
        <w:ind w:firstLine="482"/>
        <w:jc w:val="both"/>
        <w:rPr>
          <w:rFonts w:ascii="Times New Roman" w:hAnsi="Times New Roman" w:cs="Times New Roman"/>
          <w:sz w:val="22"/>
          <w:szCs w:val="22"/>
        </w:rPr>
      </w:pPr>
      <w:r>
        <w:rPr>
          <w:rFonts w:ascii="Times New Roman" w:hAnsi="Times New Roman" w:hint="eastAsia"/>
          <w:b/>
          <w:bCs/>
          <w:sz w:val="22"/>
          <w:szCs w:val="22"/>
        </w:rPr>
        <w:t xml:space="preserve">第七条　</w:t>
      </w:r>
      <w:r>
        <w:rPr>
          <w:rFonts w:ascii="Times New Roman" w:hAnsi="Times New Roman" w:hint="eastAsia"/>
          <w:sz w:val="22"/>
          <w:szCs w:val="22"/>
        </w:rPr>
        <w:t>用人单位自用工之日起即与劳动者建立劳动关系。用人单位应当建立职工名册备查。</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第八条　</w:t>
      </w:r>
      <w:r>
        <w:rPr>
          <w:rFonts w:ascii="Times New Roman" w:hAnsi="Times New Roman" w:hint="eastAsia"/>
          <w:sz w:val="22"/>
          <w:szCs w:val="22"/>
        </w:rPr>
        <w:t>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第九条　</w:t>
      </w:r>
      <w:r>
        <w:rPr>
          <w:rFonts w:ascii="Times New Roman" w:hAnsi="Times New Roman" w:hint="eastAsia"/>
          <w:sz w:val="22"/>
          <w:szCs w:val="22"/>
        </w:rPr>
        <w:t>用人单位招用劳动者，不得扣押劳动者的居民身份证和其他证件，不得要求劳动者提供担保或者以其他名义向劳动者收取财物。</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第十条　</w:t>
      </w:r>
      <w:r>
        <w:rPr>
          <w:rFonts w:ascii="Times New Roman" w:hAnsi="Times New Roman" w:hint="eastAsia"/>
          <w:sz w:val="22"/>
          <w:szCs w:val="22"/>
        </w:rPr>
        <w:t>建立劳动关系，应当订立书面劳动合同。</w:t>
      </w:r>
      <w:r>
        <w:rPr>
          <w:rFonts w:ascii="Times New Roman" w:hAnsi="Times New Roman" w:cs="Times New Roman"/>
          <w:sz w:val="22"/>
          <w:szCs w:val="22"/>
        </w:rPr>
        <w:br/>
      </w:r>
      <w:r>
        <w:rPr>
          <w:rFonts w:ascii="Times New Roman" w:hAnsi="Times New Roman" w:hint="eastAsia"/>
          <w:sz w:val="22"/>
          <w:szCs w:val="22"/>
        </w:rPr>
        <w:t xml:space="preserve">　　已建立劳动关系，未同时订立书面劳动合同的，应当自用工之日起一个月内订立书面劳动合同。</w:t>
      </w:r>
      <w:r>
        <w:rPr>
          <w:rFonts w:ascii="Times New Roman" w:hAnsi="Times New Roman" w:cs="Times New Roman"/>
          <w:sz w:val="22"/>
          <w:szCs w:val="22"/>
        </w:rPr>
        <w:br/>
      </w:r>
      <w:r>
        <w:rPr>
          <w:rFonts w:ascii="Times New Roman" w:hAnsi="Times New Roman" w:hint="eastAsia"/>
          <w:sz w:val="22"/>
          <w:szCs w:val="22"/>
        </w:rPr>
        <w:t xml:space="preserve">　　用人单位与劳动者在用工前订立劳动合同的，劳动关系自用工之日起建立。</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第十一条　</w:t>
      </w:r>
      <w:r>
        <w:rPr>
          <w:rFonts w:ascii="Times New Roman" w:hAnsi="Times New Roman" w:hint="eastAsia"/>
          <w:sz w:val="22"/>
          <w:szCs w:val="22"/>
        </w:rPr>
        <w:t>用人单位未在用工的同时订立书面劳动合同，与劳动者约定的劳动报酬不明确的，新招用的劳动者的劳动报酬按照集体合同规定的标准执行；没有集体合同或者集体合同未规定的，实行同工同酬。</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第十二条　</w:t>
      </w:r>
      <w:r>
        <w:rPr>
          <w:rFonts w:ascii="Times New Roman" w:hAnsi="Times New Roman" w:hint="eastAsia"/>
          <w:sz w:val="22"/>
          <w:szCs w:val="22"/>
        </w:rPr>
        <w:t>劳动合同分为固定期限劳动合同、无固定期限劳动合同和以完成一定工作任务为期限的劳动合同。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第十三条　</w:t>
      </w:r>
      <w:r>
        <w:rPr>
          <w:rFonts w:ascii="Times New Roman" w:hAnsi="Times New Roman" w:hint="eastAsia"/>
          <w:sz w:val="22"/>
          <w:szCs w:val="22"/>
        </w:rPr>
        <w:t>固定期限劳动合同，是指用人单位与劳动者约定合同终止时间的劳动合同。</w:t>
      </w:r>
      <w:r>
        <w:rPr>
          <w:rFonts w:ascii="Times New Roman" w:hAnsi="Times New Roman" w:cs="Times New Roman"/>
          <w:sz w:val="22"/>
          <w:szCs w:val="22"/>
        </w:rPr>
        <w:br/>
      </w:r>
      <w:r>
        <w:rPr>
          <w:rFonts w:ascii="Times New Roman" w:hAnsi="Times New Roman" w:hint="eastAsia"/>
          <w:sz w:val="22"/>
          <w:szCs w:val="22"/>
        </w:rPr>
        <w:t xml:space="preserve">　　用人单位与劳动者协商一致，可以订立固定期限劳动合同。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第十四条　</w:t>
      </w:r>
      <w:r>
        <w:rPr>
          <w:rFonts w:ascii="Times New Roman" w:hAnsi="Times New Roman" w:hint="eastAsia"/>
          <w:sz w:val="22"/>
          <w:szCs w:val="22"/>
        </w:rPr>
        <w:t>无固定期限劳动合同，是指用人单位与劳动者约定无确定终止时间的劳动合同。</w:t>
      </w:r>
      <w:r>
        <w:rPr>
          <w:rFonts w:ascii="Times New Roman" w:hAnsi="Times New Roman" w:cs="Times New Roman"/>
          <w:sz w:val="22"/>
          <w:szCs w:val="22"/>
        </w:rPr>
        <w:br/>
      </w:r>
      <w:r>
        <w:rPr>
          <w:rFonts w:ascii="Times New Roman" w:hAnsi="Times New Roman" w:hint="eastAsia"/>
          <w:sz w:val="22"/>
          <w:szCs w:val="22"/>
        </w:rPr>
        <w:t xml:space="preserve">　　用人单位与劳动者协商一致，可以订立无固定期限劳动合同。有下列情形之一，劳动者提出或者同意续订、订立劳动合同的，除劳动者提出订立固定期限劳动合同外，应当订立无固定期限劳动合同：</w:t>
      </w:r>
      <w:r>
        <w:rPr>
          <w:rFonts w:ascii="Times New Roman" w:hAnsi="Times New Roman" w:cs="Times New Roman"/>
          <w:sz w:val="22"/>
          <w:szCs w:val="22"/>
        </w:rPr>
        <w:br/>
      </w:r>
      <w:r>
        <w:rPr>
          <w:rFonts w:ascii="Times New Roman" w:hAnsi="Times New Roman" w:hint="eastAsia"/>
          <w:sz w:val="22"/>
          <w:szCs w:val="22"/>
        </w:rPr>
        <w:t xml:space="preserve">　　（一）劳动者在该用人单位连续工作满十年的；</w:t>
      </w:r>
      <w:r>
        <w:rPr>
          <w:rFonts w:ascii="Times New Roman" w:hAnsi="Times New Roman" w:cs="Times New Roman"/>
          <w:sz w:val="22"/>
          <w:szCs w:val="22"/>
        </w:rPr>
        <w:br/>
      </w:r>
      <w:r>
        <w:rPr>
          <w:rFonts w:ascii="Times New Roman" w:hAnsi="Times New Roman" w:hint="eastAsia"/>
          <w:sz w:val="22"/>
          <w:szCs w:val="22"/>
        </w:rPr>
        <w:t xml:space="preserve">　　（二）用人单位初次实行劳动合同制度或者国有企业改制重新订立劳动合同时，劳动者在该用人单位连续工作满十年且距法定退休年龄不足十年的；</w:t>
      </w:r>
      <w:r>
        <w:rPr>
          <w:rFonts w:ascii="Times New Roman" w:hAnsi="Times New Roman" w:cs="Times New Roman"/>
          <w:sz w:val="22"/>
          <w:szCs w:val="22"/>
        </w:rPr>
        <w:br/>
      </w:r>
      <w:r>
        <w:rPr>
          <w:rFonts w:ascii="Times New Roman" w:hAnsi="Times New Roman" w:hint="eastAsia"/>
          <w:sz w:val="22"/>
          <w:szCs w:val="22"/>
        </w:rPr>
        <w:t xml:space="preserve">　　（三）连续订立二次固定期限劳动合同，且劳动者没有本法第三十九条和第四十条第一项、第二项规定的情形，续订劳动合同的。</w:t>
      </w:r>
      <w:r>
        <w:rPr>
          <w:rFonts w:ascii="Times New Roman" w:hAnsi="Times New Roman" w:cs="Times New Roman"/>
          <w:sz w:val="22"/>
          <w:szCs w:val="22"/>
        </w:rPr>
        <w:br/>
      </w:r>
      <w:r>
        <w:rPr>
          <w:rFonts w:ascii="Times New Roman" w:hAnsi="Times New Roman" w:hint="eastAsia"/>
          <w:sz w:val="22"/>
          <w:szCs w:val="22"/>
        </w:rPr>
        <w:t>用人单位自用工之日起满一年不与劳动者订立书面劳动合同的，视为用人单位与劳动者已订立无固定期限劳动合同。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第十五条　</w:t>
      </w:r>
      <w:r>
        <w:rPr>
          <w:rFonts w:ascii="Times New Roman" w:hAnsi="Times New Roman" w:hint="eastAsia"/>
          <w:sz w:val="22"/>
          <w:szCs w:val="22"/>
        </w:rPr>
        <w:t>以完成一定工作任务为期限的劳动合同，是指用人单位与劳动者约定以某项工作的完成为合同期限的劳动合同。</w:t>
      </w:r>
      <w:r>
        <w:rPr>
          <w:rFonts w:ascii="Times New Roman" w:hAnsi="Times New Roman" w:cs="Times New Roman"/>
          <w:sz w:val="22"/>
          <w:szCs w:val="22"/>
        </w:rPr>
        <w:br/>
      </w:r>
      <w:r>
        <w:rPr>
          <w:rFonts w:ascii="Times New Roman" w:hAnsi="Times New Roman" w:hint="eastAsia"/>
          <w:sz w:val="22"/>
          <w:szCs w:val="22"/>
        </w:rPr>
        <w:t xml:space="preserve">　　用人单位与劳动者协商一致，可以订立以完成一定工作任务为期限的劳动合同。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第十六条　</w:t>
      </w:r>
      <w:r>
        <w:rPr>
          <w:rFonts w:ascii="Times New Roman" w:hAnsi="Times New Roman" w:hint="eastAsia"/>
          <w:sz w:val="22"/>
          <w:szCs w:val="22"/>
        </w:rPr>
        <w:t>劳动合同由用人单位与劳动者协商一致，并经用人单位与劳动者在劳动合同文本上签字或者盖章生效。</w:t>
      </w:r>
      <w:r>
        <w:rPr>
          <w:rFonts w:ascii="Times New Roman" w:hAnsi="Times New Roman" w:cs="Times New Roman"/>
          <w:sz w:val="22"/>
          <w:szCs w:val="22"/>
        </w:rPr>
        <w:br/>
      </w:r>
      <w:r>
        <w:rPr>
          <w:rFonts w:ascii="Times New Roman" w:hAnsi="Times New Roman" w:hint="eastAsia"/>
          <w:sz w:val="22"/>
          <w:szCs w:val="22"/>
        </w:rPr>
        <w:t xml:space="preserve">　　劳动合同文本由用人单位和劳动者各执一份。</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第十七条　</w:t>
      </w:r>
      <w:r>
        <w:rPr>
          <w:rFonts w:ascii="Times New Roman" w:hAnsi="Times New Roman" w:hint="eastAsia"/>
          <w:sz w:val="22"/>
          <w:szCs w:val="22"/>
        </w:rPr>
        <w:t>劳动合同应当具备以下条款：</w:t>
      </w:r>
      <w:r>
        <w:rPr>
          <w:rFonts w:ascii="Times New Roman" w:hAnsi="Times New Roman" w:cs="Times New Roman"/>
          <w:sz w:val="22"/>
          <w:szCs w:val="22"/>
        </w:rPr>
        <w:br/>
      </w:r>
      <w:r>
        <w:rPr>
          <w:rFonts w:ascii="Times New Roman" w:hAnsi="Times New Roman" w:hint="eastAsia"/>
          <w:sz w:val="22"/>
          <w:szCs w:val="22"/>
        </w:rPr>
        <w:t xml:space="preserve">　　（一）用人单位的名称、住所和法定代表人或者主要负责人；</w:t>
      </w:r>
      <w:r>
        <w:rPr>
          <w:rFonts w:ascii="Times New Roman" w:hAnsi="Times New Roman" w:cs="Times New Roman"/>
          <w:sz w:val="22"/>
          <w:szCs w:val="22"/>
        </w:rPr>
        <w:br/>
      </w:r>
      <w:r>
        <w:rPr>
          <w:rFonts w:ascii="Times New Roman" w:hAnsi="Times New Roman" w:hint="eastAsia"/>
          <w:sz w:val="22"/>
          <w:szCs w:val="22"/>
        </w:rPr>
        <w:t xml:space="preserve">　　（二）劳动者的姓名、住址和居民身份证或者其他有效身份证件号码；</w:t>
      </w:r>
      <w:r>
        <w:rPr>
          <w:rFonts w:ascii="Times New Roman" w:hAnsi="Times New Roman" w:cs="Times New Roman"/>
          <w:sz w:val="22"/>
          <w:szCs w:val="22"/>
        </w:rPr>
        <w:br/>
      </w:r>
      <w:r>
        <w:rPr>
          <w:rFonts w:ascii="Times New Roman" w:hAnsi="Times New Roman" w:hint="eastAsia"/>
          <w:sz w:val="22"/>
          <w:szCs w:val="22"/>
        </w:rPr>
        <w:t xml:space="preserve">　　（三）劳动合同期限；</w:t>
      </w:r>
      <w:r>
        <w:rPr>
          <w:rFonts w:ascii="Times New Roman" w:hAnsi="Times New Roman" w:cs="Times New Roman"/>
          <w:sz w:val="22"/>
          <w:szCs w:val="22"/>
        </w:rPr>
        <w:br/>
      </w:r>
      <w:r>
        <w:rPr>
          <w:rFonts w:ascii="Times New Roman" w:hAnsi="Times New Roman" w:hint="eastAsia"/>
          <w:sz w:val="22"/>
          <w:szCs w:val="22"/>
        </w:rPr>
        <w:t xml:space="preserve">　　（四）工作内容和工作地点；</w:t>
      </w:r>
      <w:r>
        <w:rPr>
          <w:rFonts w:ascii="Times New Roman" w:hAnsi="Times New Roman" w:cs="Times New Roman"/>
          <w:sz w:val="22"/>
          <w:szCs w:val="22"/>
        </w:rPr>
        <w:br/>
      </w:r>
      <w:r>
        <w:rPr>
          <w:rFonts w:ascii="Times New Roman" w:hAnsi="Times New Roman" w:hint="eastAsia"/>
          <w:sz w:val="22"/>
          <w:szCs w:val="22"/>
        </w:rPr>
        <w:t xml:space="preserve">　　（五）工作时间和休息休假；</w:t>
      </w:r>
      <w:r>
        <w:rPr>
          <w:rFonts w:ascii="Times New Roman" w:hAnsi="Times New Roman" w:cs="Times New Roman"/>
          <w:sz w:val="22"/>
          <w:szCs w:val="22"/>
        </w:rPr>
        <w:br/>
      </w:r>
      <w:r>
        <w:rPr>
          <w:rFonts w:ascii="Times New Roman" w:hAnsi="Times New Roman" w:hint="eastAsia"/>
          <w:sz w:val="22"/>
          <w:szCs w:val="22"/>
        </w:rPr>
        <w:t xml:space="preserve">　　（六）劳动报酬；</w:t>
      </w:r>
      <w:r>
        <w:rPr>
          <w:rFonts w:ascii="Times New Roman" w:hAnsi="Times New Roman" w:cs="Times New Roman"/>
          <w:sz w:val="22"/>
          <w:szCs w:val="22"/>
        </w:rPr>
        <w:br/>
      </w:r>
      <w:r>
        <w:rPr>
          <w:rFonts w:ascii="Times New Roman" w:hAnsi="Times New Roman" w:hint="eastAsia"/>
          <w:sz w:val="22"/>
          <w:szCs w:val="22"/>
        </w:rPr>
        <w:t xml:space="preserve">　　（七）社会保险；</w:t>
      </w:r>
      <w:r>
        <w:rPr>
          <w:rFonts w:ascii="Times New Roman" w:hAnsi="Times New Roman" w:cs="Times New Roman"/>
          <w:sz w:val="22"/>
          <w:szCs w:val="22"/>
        </w:rPr>
        <w:br/>
      </w:r>
      <w:r>
        <w:rPr>
          <w:rFonts w:ascii="Times New Roman" w:hAnsi="Times New Roman" w:hint="eastAsia"/>
          <w:sz w:val="22"/>
          <w:szCs w:val="22"/>
        </w:rPr>
        <w:t xml:space="preserve">　　（八）劳动保护、劳动条件和职业危害防护；</w:t>
      </w:r>
      <w:r>
        <w:rPr>
          <w:rFonts w:ascii="Times New Roman" w:hAnsi="Times New Roman" w:cs="Times New Roman"/>
          <w:sz w:val="22"/>
          <w:szCs w:val="22"/>
        </w:rPr>
        <w:br/>
      </w:r>
      <w:r>
        <w:rPr>
          <w:rFonts w:ascii="Times New Roman" w:hAnsi="Times New Roman" w:hint="eastAsia"/>
          <w:sz w:val="22"/>
          <w:szCs w:val="22"/>
        </w:rPr>
        <w:t xml:space="preserve">　　（九）法律、法规规定应当纳入劳动合同的其他事项。</w:t>
      </w:r>
      <w:r>
        <w:rPr>
          <w:rFonts w:ascii="Times New Roman" w:hAnsi="Times New Roman" w:cs="Times New Roman"/>
          <w:sz w:val="22"/>
          <w:szCs w:val="22"/>
        </w:rPr>
        <w:br/>
      </w:r>
      <w:r>
        <w:rPr>
          <w:rFonts w:ascii="Times New Roman" w:hAnsi="Times New Roman" w:hint="eastAsia"/>
          <w:sz w:val="22"/>
          <w:szCs w:val="22"/>
        </w:rPr>
        <w:t xml:space="preserve">　　劳动合同除前款规定的必备条款外，用人单位与劳动者可以约定试用期、培训、保守秘密、补充保险和福利待遇等其他事项。</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第十八条　</w:t>
      </w:r>
      <w:r>
        <w:rPr>
          <w:rFonts w:ascii="Times New Roman" w:hAnsi="Times New Roman" w:hint="eastAsia"/>
          <w:sz w:val="22"/>
          <w:szCs w:val="22"/>
        </w:rPr>
        <w:t>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第十九条　</w:t>
      </w:r>
      <w:r>
        <w:rPr>
          <w:rFonts w:ascii="Times New Roman" w:hAnsi="Times New Roman" w:hint="eastAsia"/>
          <w:sz w:val="22"/>
          <w:szCs w:val="22"/>
        </w:rPr>
        <w:t>劳动合同期限三个月以上不满一年的，试用期不得超过一个月；劳动合同期限一年以上不满三年的，试用期不得超过二个月；三年以上固定期限和无固定期限的劳动合同，试用期不得超过六个月。</w:t>
      </w:r>
      <w:r>
        <w:rPr>
          <w:rFonts w:ascii="Times New Roman" w:hAnsi="Times New Roman" w:cs="Times New Roman"/>
          <w:sz w:val="22"/>
          <w:szCs w:val="22"/>
        </w:rPr>
        <w:br/>
      </w:r>
      <w:r>
        <w:rPr>
          <w:rFonts w:ascii="Times New Roman" w:hAnsi="Times New Roman" w:hint="eastAsia"/>
          <w:sz w:val="22"/>
          <w:szCs w:val="22"/>
        </w:rPr>
        <w:t xml:space="preserve">　　同一用人单位与同一劳动者只能约定一次试用期。</w:t>
      </w:r>
      <w:r>
        <w:rPr>
          <w:rFonts w:ascii="Times New Roman" w:hAnsi="Times New Roman" w:cs="Times New Roman"/>
          <w:sz w:val="22"/>
          <w:szCs w:val="22"/>
        </w:rPr>
        <w:br/>
      </w:r>
      <w:r>
        <w:rPr>
          <w:rFonts w:ascii="Times New Roman" w:hAnsi="Times New Roman" w:hint="eastAsia"/>
          <w:sz w:val="22"/>
          <w:szCs w:val="22"/>
        </w:rPr>
        <w:t xml:space="preserve">　　以完成一定工作任务为期限的劳动合同或者劳动合同期限不满三个月的，不得约定试用期。</w:t>
      </w:r>
      <w:r>
        <w:rPr>
          <w:rFonts w:ascii="Times New Roman" w:hAnsi="Times New Roman" w:cs="Times New Roman"/>
          <w:sz w:val="22"/>
          <w:szCs w:val="22"/>
        </w:rPr>
        <w:br/>
      </w:r>
      <w:r>
        <w:rPr>
          <w:rFonts w:ascii="Times New Roman" w:hAnsi="Times New Roman" w:hint="eastAsia"/>
          <w:sz w:val="22"/>
          <w:szCs w:val="22"/>
        </w:rPr>
        <w:t xml:space="preserve">　　试用期包含在劳动合同期限内。劳动合同仅约定试用期的，试用期不成立，该期限为劳动合同期限。</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第二十条　</w:t>
      </w:r>
      <w:r>
        <w:rPr>
          <w:rFonts w:ascii="Times New Roman" w:hAnsi="Times New Roman" w:hint="eastAsia"/>
          <w:sz w:val="22"/>
          <w:szCs w:val="22"/>
        </w:rPr>
        <w:t>劳动者在试用期的工资不得低于本单位相同岗位最低档工资或者劳动合同约定工资的百分之八十，并不得低于用人单位所在地的最低工资标准。</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第二十一条　</w:t>
      </w:r>
      <w:r>
        <w:rPr>
          <w:rFonts w:ascii="Times New Roman" w:hAnsi="Times New Roman" w:hint="eastAsia"/>
          <w:sz w:val="22"/>
          <w:szCs w:val="22"/>
        </w:rPr>
        <w:t>在试用期中，除劳动者有本法第三十九条和第四十条第一项、第二项规定的情形外，用人单位不得解除劳动合同。用人单位在试用期解除劳动合同的，应当向劳动者说明理由。</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第二十二条　</w:t>
      </w:r>
      <w:r>
        <w:rPr>
          <w:rFonts w:ascii="Times New Roman" w:hAnsi="Times New Roman" w:hint="eastAsia"/>
          <w:sz w:val="22"/>
          <w:szCs w:val="22"/>
        </w:rPr>
        <w:t>用人单位为劳动者提供专项培训费用，对其进行专业技术培训的，可以与该劳动者订立协议，约定服务期。</w:t>
      </w:r>
      <w:r>
        <w:rPr>
          <w:rFonts w:ascii="Times New Roman" w:hAnsi="Times New Roman" w:cs="Times New Roman"/>
          <w:sz w:val="22"/>
          <w:szCs w:val="22"/>
        </w:rPr>
        <w:br/>
      </w:r>
      <w:r>
        <w:rPr>
          <w:rFonts w:ascii="Times New Roman" w:hAnsi="Times New Roman" w:hint="eastAsia"/>
          <w:sz w:val="22"/>
          <w:szCs w:val="22"/>
        </w:rPr>
        <w:t xml:space="preserve">　　劳动者违反服务期约定的，应当按照约定向用人单位支付违约金。违约金的数额不得超过用人单位提供的培训费用。用人单位要求劳动者支付的违约金不得超过服务期尚未履行部分所应分摊的培训费用。</w:t>
      </w:r>
      <w:r>
        <w:rPr>
          <w:rFonts w:ascii="Times New Roman" w:hAnsi="Times New Roman" w:cs="Times New Roman"/>
          <w:sz w:val="22"/>
          <w:szCs w:val="22"/>
        </w:rPr>
        <w:br/>
      </w:r>
      <w:r>
        <w:rPr>
          <w:rFonts w:ascii="Times New Roman" w:hAnsi="Times New Roman" w:hint="eastAsia"/>
          <w:sz w:val="22"/>
          <w:szCs w:val="22"/>
        </w:rPr>
        <w:t xml:space="preserve">　　用人单位与劳动者约定服务期的，不影响按照正常的工资调整机制提高劳动者在服务期期间的劳动报酬。</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第二十三条　</w:t>
      </w:r>
      <w:r>
        <w:rPr>
          <w:rFonts w:ascii="Times New Roman" w:hAnsi="Times New Roman" w:hint="eastAsia"/>
          <w:sz w:val="22"/>
          <w:szCs w:val="22"/>
        </w:rPr>
        <w:t>用人单位与劳动者可以在劳动合同中约定保守用人单位的商业秘密和与知识产权相关的保密事项。</w:t>
      </w:r>
      <w:r>
        <w:rPr>
          <w:rFonts w:ascii="Times New Roman" w:hAnsi="Times New Roman" w:cs="Times New Roman"/>
          <w:sz w:val="22"/>
          <w:szCs w:val="22"/>
        </w:rPr>
        <w:br/>
      </w:r>
      <w:r>
        <w:rPr>
          <w:rFonts w:ascii="Times New Roman" w:hAnsi="Times New Roman" w:hint="eastAsia"/>
          <w:sz w:val="22"/>
          <w:szCs w:val="22"/>
        </w:rPr>
        <w:t xml:space="preserve">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第二十四条　</w:t>
      </w:r>
      <w:r>
        <w:rPr>
          <w:rFonts w:ascii="Times New Roman" w:hAnsi="Times New Roman" w:hint="eastAsia"/>
          <w:sz w:val="22"/>
          <w:szCs w:val="22"/>
        </w:rPr>
        <w:t>竞业限制的人员限于用人单位的高级管理人员、高级技术人员和其他负有保密义务的人员。竞业限制的范围、地域、期限由用人单位与劳动者约定，竞业限制的约定不得违反法律、法规的规定。</w:t>
      </w:r>
      <w:r>
        <w:rPr>
          <w:rFonts w:ascii="Times New Roman" w:hAnsi="Times New Roman" w:cs="Times New Roman"/>
          <w:sz w:val="22"/>
          <w:szCs w:val="22"/>
        </w:rPr>
        <w:br/>
      </w:r>
      <w:r>
        <w:rPr>
          <w:rFonts w:ascii="Times New Roman" w:hAnsi="Times New Roman" w:hint="eastAsia"/>
          <w:sz w:val="22"/>
          <w:szCs w:val="22"/>
        </w:rPr>
        <w:t xml:space="preserve">　　在解除或者终止劳动合同后，前款规定的人员到与本单位生产或者经营同类产品、从事同类业务的有竞争关系的其他用人单位，或者自己开业生产或者经营同类产品、从事同类业务的竞业限制期限，不得超过二年。</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第二十五条　</w:t>
      </w:r>
      <w:r>
        <w:rPr>
          <w:rFonts w:ascii="Times New Roman" w:hAnsi="Times New Roman" w:hint="eastAsia"/>
          <w:sz w:val="22"/>
          <w:szCs w:val="22"/>
        </w:rPr>
        <w:t>除本法第二十二条和第二十三条规定的情形外，用人单位不得与劳动者约定由劳动者承担违约金。</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第二十六条　</w:t>
      </w:r>
      <w:r>
        <w:rPr>
          <w:rFonts w:ascii="Times New Roman" w:hAnsi="Times New Roman" w:hint="eastAsia"/>
          <w:sz w:val="22"/>
          <w:szCs w:val="22"/>
        </w:rPr>
        <w:t>下列劳动合同无效或者部分无效：</w:t>
      </w:r>
      <w:r>
        <w:rPr>
          <w:rFonts w:ascii="Times New Roman" w:hAnsi="Times New Roman" w:cs="Times New Roman"/>
          <w:sz w:val="22"/>
          <w:szCs w:val="22"/>
        </w:rPr>
        <w:br/>
      </w:r>
      <w:r>
        <w:rPr>
          <w:rFonts w:ascii="Times New Roman" w:hAnsi="Times New Roman" w:hint="eastAsia"/>
          <w:sz w:val="22"/>
          <w:szCs w:val="22"/>
        </w:rPr>
        <w:t xml:space="preserve">　　（一）以欺诈、胁迫的手段或者乘人之危，使对方在违背真实意思的情况下订立或者变更劳动合同的；</w:t>
      </w:r>
      <w:r>
        <w:rPr>
          <w:rFonts w:ascii="Times New Roman" w:hAnsi="Times New Roman" w:cs="Times New Roman"/>
          <w:sz w:val="22"/>
          <w:szCs w:val="22"/>
        </w:rPr>
        <w:br/>
      </w:r>
      <w:r>
        <w:rPr>
          <w:rFonts w:ascii="Times New Roman" w:hAnsi="Times New Roman" w:hint="eastAsia"/>
          <w:sz w:val="22"/>
          <w:szCs w:val="22"/>
        </w:rPr>
        <w:t xml:space="preserve">　　（二）用人单位免除自己的法定责任、排除劳动者权利的；</w:t>
      </w:r>
      <w:r>
        <w:rPr>
          <w:rFonts w:ascii="Times New Roman" w:hAnsi="Times New Roman" w:cs="Times New Roman"/>
          <w:sz w:val="22"/>
          <w:szCs w:val="22"/>
        </w:rPr>
        <w:br/>
      </w:r>
      <w:r>
        <w:rPr>
          <w:rFonts w:ascii="Times New Roman" w:hAnsi="Times New Roman" w:hint="eastAsia"/>
          <w:sz w:val="22"/>
          <w:szCs w:val="22"/>
        </w:rPr>
        <w:t xml:space="preserve">　　（三）违反法律、行政法规强制性规定的。</w:t>
      </w:r>
      <w:r>
        <w:rPr>
          <w:rFonts w:ascii="Times New Roman" w:hAnsi="Times New Roman" w:cs="Times New Roman"/>
          <w:sz w:val="22"/>
          <w:szCs w:val="22"/>
        </w:rPr>
        <w:br/>
      </w:r>
      <w:r>
        <w:rPr>
          <w:rFonts w:ascii="Times New Roman" w:hAnsi="Times New Roman" w:hint="eastAsia"/>
          <w:sz w:val="22"/>
          <w:szCs w:val="22"/>
        </w:rPr>
        <w:t xml:space="preserve">　　对劳动合同的无效或者部分无效有争议的，由劳动争议仲裁机构或者人民法院确认。</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第二十七条　</w:t>
      </w:r>
      <w:r>
        <w:rPr>
          <w:rFonts w:ascii="Times New Roman" w:hAnsi="Times New Roman" w:hint="eastAsia"/>
          <w:sz w:val="22"/>
          <w:szCs w:val="22"/>
        </w:rPr>
        <w:t>劳动合同部分无效，不影响其他部分效力的，其他部分仍然有效。</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第二十八条　</w:t>
      </w:r>
      <w:r>
        <w:rPr>
          <w:rFonts w:ascii="Times New Roman" w:hAnsi="Times New Roman" w:hint="eastAsia"/>
          <w:sz w:val="22"/>
          <w:szCs w:val="22"/>
        </w:rPr>
        <w:t>劳动合同被确认无效，劳动者已付出劳动的，用人单位应当向劳动者支付劳动报酬。劳动报酬的数额，参照本单位相同或者相近岗位劳动者的劳动报酬确定。</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　劳动合同的履行和变更</w:t>
      </w:r>
      <w:bookmarkStart w:id="58" w:name="BM03"/>
      <w:bookmarkEnd w:id="58"/>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r>
        <w:rPr>
          <w:rFonts w:ascii="Times New Roman" w:hAnsi="Times New Roman" w:hint="eastAsia"/>
          <w:b/>
          <w:bCs/>
          <w:sz w:val="22"/>
          <w:szCs w:val="22"/>
        </w:rPr>
        <w:t xml:space="preserve">第二十九条　</w:t>
      </w:r>
      <w:r>
        <w:rPr>
          <w:rFonts w:ascii="Times New Roman" w:hAnsi="Times New Roman" w:hint="eastAsia"/>
          <w:sz w:val="22"/>
          <w:szCs w:val="22"/>
        </w:rPr>
        <w:t>用人单位与劳动者应当按照劳动合同的约定，全面履行各自的义务。</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第三十条　</w:t>
      </w:r>
      <w:r>
        <w:rPr>
          <w:rFonts w:ascii="Times New Roman" w:hAnsi="Times New Roman" w:hint="eastAsia"/>
          <w:sz w:val="22"/>
          <w:szCs w:val="22"/>
        </w:rPr>
        <w:t>用人单位应当按照劳动合同约定和国家规定，向劳动者及时足额支付劳动报酬。</w:t>
      </w:r>
      <w:r>
        <w:rPr>
          <w:rFonts w:ascii="Times New Roman" w:hAnsi="Times New Roman" w:cs="Times New Roman"/>
          <w:sz w:val="22"/>
          <w:szCs w:val="22"/>
        </w:rPr>
        <w:br/>
      </w:r>
      <w:r>
        <w:rPr>
          <w:rFonts w:ascii="Times New Roman" w:hAnsi="Times New Roman" w:hint="eastAsia"/>
          <w:sz w:val="22"/>
          <w:szCs w:val="22"/>
        </w:rPr>
        <w:t xml:space="preserve">　　用人单位拖欠或者未足额支付劳动报酬的，劳动者可以依法向当地人民法院申请支付令，人民法院应当依法发出支付令。</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第三十一条　</w:t>
      </w:r>
      <w:r>
        <w:rPr>
          <w:rFonts w:ascii="Times New Roman" w:hAnsi="Times New Roman" w:hint="eastAsia"/>
          <w:sz w:val="22"/>
          <w:szCs w:val="22"/>
        </w:rPr>
        <w:t>用人单位应当严格执行劳动定额标准，不得强迫或者变相强迫劳动者加班。用人单位安排加班的，应当按照国家有关规定向劳动者支付加班费。</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第三十二条　</w:t>
      </w:r>
      <w:r>
        <w:rPr>
          <w:rFonts w:ascii="Times New Roman" w:hAnsi="Times New Roman" w:hint="eastAsia"/>
          <w:sz w:val="22"/>
          <w:szCs w:val="22"/>
        </w:rPr>
        <w:t>劳动者拒绝用人单位管理人员违章指挥、强令冒险作业的，不视为违反劳动合同。</w:t>
      </w:r>
      <w:r>
        <w:rPr>
          <w:rFonts w:ascii="Times New Roman" w:hAnsi="Times New Roman" w:cs="Times New Roman"/>
          <w:sz w:val="22"/>
          <w:szCs w:val="22"/>
        </w:rPr>
        <w:br/>
      </w:r>
      <w:r>
        <w:rPr>
          <w:rFonts w:ascii="Times New Roman" w:hAnsi="Times New Roman" w:hint="eastAsia"/>
          <w:sz w:val="22"/>
          <w:szCs w:val="22"/>
        </w:rPr>
        <w:t xml:space="preserve">　　劳动者对危害生命安全和身体健康的劳动条件，有权对用人单位提出批评、检举和控告。</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第三十三条　</w:t>
      </w:r>
      <w:r>
        <w:rPr>
          <w:rFonts w:ascii="Times New Roman" w:hAnsi="Times New Roman" w:hint="eastAsia"/>
          <w:sz w:val="22"/>
          <w:szCs w:val="22"/>
        </w:rPr>
        <w:t>用人单位变更名称、法定代表人、主要负责人或者投资人等事项，不影响劳动合同的履行。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第三十四条　</w:t>
      </w:r>
      <w:r>
        <w:rPr>
          <w:rFonts w:ascii="Times New Roman" w:hAnsi="Times New Roman" w:hint="eastAsia"/>
          <w:sz w:val="22"/>
          <w:szCs w:val="22"/>
        </w:rPr>
        <w:t>用人单位发生合并或者分立等情况，原劳动合同继续有效，劳动合同由承继其权利和义务的用人单位继续履行。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第三十五条　</w:t>
      </w:r>
      <w:r>
        <w:rPr>
          <w:rFonts w:ascii="Times New Roman" w:hAnsi="Times New Roman" w:hint="eastAsia"/>
          <w:sz w:val="22"/>
          <w:szCs w:val="22"/>
        </w:rPr>
        <w:t>用人单位与劳动者协商一致，可以变更劳动合同约定的内容。变更劳动合同，应当采用书面形式。</w:t>
      </w:r>
      <w:r>
        <w:rPr>
          <w:rFonts w:ascii="Times New Roman" w:hAnsi="Times New Roman" w:cs="Times New Roman"/>
          <w:sz w:val="22"/>
          <w:szCs w:val="22"/>
        </w:rPr>
        <w:br/>
      </w:r>
      <w:r>
        <w:rPr>
          <w:rFonts w:ascii="Times New Roman" w:hAnsi="Times New Roman" w:hint="eastAsia"/>
          <w:sz w:val="22"/>
          <w:szCs w:val="22"/>
        </w:rPr>
        <w:t xml:space="preserve">　　变更后的劳动合同文本由用人单位和劳动者各执一份。</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　劳动合同的解除和终止</w:t>
      </w:r>
      <w:bookmarkStart w:id="59" w:name="BM04"/>
      <w:bookmarkEnd w:id="59"/>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r>
        <w:rPr>
          <w:rFonts w:ascii="Times New Roman" w:hAnsi="Times New Roman" w:hint="eastAsia"/>
          <w:b/>
          <w:bCs/>
          <w:sz w:val="22"/>
          <w:szCs w:val="22"/>
        </w:rPr>
        <w:t xml:space="preserve">第三十六条　</w:t>
      </w:r>
      <w:r>
        <w:rPr>
          <w:rFonts w:ascii="Times New Roman" w:hAnsi="Times New Roman" w:hint="eastAsia"/>
          <w:sz w:val="22"/>
          <w:szCs w:val="22"/>
        </w:rPr>
        <w:t>用人单位与劳动者协商一致，可以解除劳动合同。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第三十七条　</w:t>
      </w:r>
      <w:r>
        <w:rPr>
          <w:rFonts w:ascii="Times New Roman" w:hAnsi="Times New Roman" w:hint="eastAsia"/>
          <w:sz w:val="22"/>
          <w:szCs w:val="22"/>
        </w:rPr>
        <w:t>劳动者提前三十日以书面形式通知用人单位，可以解除劳动合同。劳动者在试用期内提前三日通知用人单位，可以解除劳动合同。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第三十八条　</w:t>
      </w:r>
      <w:r>
        <w:rPr>
          <w:rFonts w:ascii="Times New Roman" w:hAnsi="Times New Roman" w:hint="eastAsia"/>
          <w:sz w:val="22"/>
          <w:szCs w:val="22"/>
        </w:rPr>
        <w:t>用人单位有下列情形之一的，劳动者可以解除劳动合同：</w:t>
      </w:r>
      <w:r>
        <w:rPr>
          <w:rFonts w:ascii="Times New Roman" w:hAnsi="Times New Roman" w:cs="Times New Roman"/>
          <w:sz w:val="22"/>
          <w:szCs w:val="22"/>
        </w:rPr>
        <w:br/>
      </w:r>
      <w:r>
        <w:rPr>
          <w:rFonts w:ascii="Times New Roman" w:hAnsi="Times New Roman" w:hint="eastAsia"/>
          <w:sz w:val="22"/>
          <w:szCs w:val="22"/>
        </w:rPr>
        <w:t xml:space="preserve">　　（一）未按照劳动合同约定提供劳动保护或者劳动条件的；</w:t>
      </w:r>
      <w:r>
        <w:rPr>
          <w:rFonts w:ascii="Times New Roman" w:hAnsi="Times New Roman" w:cs="Times New Roman"/>
          <w:sz w:val="22"/>
          <w:szCs w:val="22"/>
        </w:rPr>
        <w:br/>
      </w:r>
      <w:r>
        <w:rPr>
          <w:rFonts w:ascii="Times New Roman" w:hAnsi="Times New Roman" w:hint="eastAsia"/>
          <w:sz w:val="22"/>
          <w:szCs w:val="22"/>
        </w:rPr>
        <w:t xml:space="preserve">　　（二）未及时足额支付劳动报酬的；</w:t>
      </w:r>
      <w:r>
        <w:rPr>
          <w:rFonts w:ascii="Times New Roman" w:hAnsi="Times New Roman" w:cs="Times New Roman"/>
          <w:sz w:val="22"/>
          <w:szCs w:val="22"/>
        </w:rPr>
        <w:br/>
      </w:r>
      <w:r>
        <w:rPr>
          <w:rFonts w:ascii="Times New Roman" w:hAnsi="Times New Roman" w:hint="eastAsia"/>
          <w:sz w:val="22"/>
          <w:szCs w:val="22"/>
        </w:rPr>
        <w:t xml:space="preserve">　　（三）未依法为劳动者缴纳社会保险费的；</w:t>
      </w:r>
      <w:r>
        <w:rPr>
          <w:rFonts w:ascii="Times New Roman" w:hAnsi="Times New Roman" w:cs="Times New Roman"/>
          <w:sz w:val="22"/>
          <w:szCs w:val="22"/>
        </w:rPr>
        <w:br/>
      </w:r>
      <w:r>
        <w:rPr>
          <w:rFonts w:ascii="Times New Roman" w:hAnsi="Times New Roman" w:hint="eastAsia"/>
          <w:sz w:val="22"/>
          <w:szCs w:val="22"/>
        </w:rPr>
        <w:t xml:space="preserve">　　（四）用人单位的规章制度违反法律、法规的规定，损害劳动者权益的；</w:t>
      </w:r>
      <w:r>
        <w:rPr>
          <w:rFonts w:ascii="Times New Roman" w:hAnsi="Times New Roman" w:cs="Times New Roman"/>
          <w:sz w:val="22"/>
          <w:szCs w:val="22"/>
        </w:rPr>
        <w:br/>
      </w:r>
      <w:r>
        <w:rPr>
          <w:rFonts w:ascii="Times New Roman" w:hAnsi="Times New Roman" w:hint="eastAsia"/>
          <w:sz w:val="22"/>
          <w:szCs w:val="22"/>
        </w:rPr>
        <w:t xml:space="preserve">　　（五）因本法第二十六条第一款规定的情形致使劳动合同无效的；</w:t>
      </w:r>
      <w:r>
        <w:rPr>
          <w:rFonts w:ascii="Times New Roman" w:hAnsi="Times New Roman" w:cs="Times New Roman"/>
          <w:sz w:val="22"/>
          <w:szCs w:val="22"/>
        </w:rPr>
        <w:br/>
      </w:r>
      <w:r>
        <w:rPr>
          <w:rFonts w:ascii="Times New Roman" w:hAnsi="Times New Roman" w:hint="eastAsia"/>
          <w:sz w:val="22"/>
          <w:szCs w:val="22"/>
        </w:rPr>
        <w:t xml:space="preserve">　　（六）法律、行政法规规定劳动者可以解除劳动合同的其他情形。</w:t>
      </w:r>
      <w:r>
        <w:rPr>
          <w:rFonts w:ascii="Times New Roman" w:hAnsi="Times New Roman" w:cs="Times New Roman"/>
          <w:sz w:val="22"/>
          <w:szCs w:val="22"/>
        </w:rPr>
        <w:br/>
      </w:r>
      <w:r>
        <w:rPr>
          <w:rFonts w:ascii="Times New Roman" w:hAnsi="Times New Roman" w:hint="eastAsia"/>
          <w:sz w:val="22"/>
          <w:szCs w:val="22"/>
        </w:rPr>
        <w:t xml:space="preserve">　　用人单位以暴力、威胁或者非法限制人身自由的手段强迫劳动者劳动的，或者用人单位违章指挥、强令冒险作业危及劳动者人身安全的，劳动者可以立即解除劳动合同，不需事先告知用人单位。</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第三十九条　</w:t>
      </w:r>
      <w:r>
        <w:rPr>
          <w:rFonts w:ascii="Times New Roman" w:hAnsi="Times New Roman" w:hint="eastAsia"/>
          <w:sz w:val="22"/>
          <w:szCs w:val="22"/>
        </w:rPr>
        <w:t>劳动者有下列情形之一的，用人单位可以解除劳动合同：</w:t>
      </w:r>
      <w:r>
        <w:rPr>
          <w:rFonts w:ascii="Times New Roman" w:hAnsi="Times New Roman" w:cs="Times New Roman"/>
          <w:sz w:val="22"/>
          <w:szCs w:val="22"/>
        </w:rPr>
        <w:br/>
      </w:r>
      <w:r>
        <w:rPr>
          <w:rFonts w:ascii="Times New Roman" w:hAnsi="Times New Roman" w:hint="eastAsia"/>
          <w:sz w:val="22"/>
          <w:szCs w:val="22"/>
        </w:rPr>
        <w:t xml:space="preserve">　　（一）在试用期间被证明不符合录用条件的；</w:t>
      </w:r>
      <w:r>
        <w:rPr>
          <w:rFonts w:ascii="Times New Roman" w:hAnsi="Times New Roman" w:cs="Times New Roman"/>
          <w:sz w:val="22"/>
          <w:szCs w:val="22"/>
        </w:rPr>
        <w:br/>
      </w:r>
      <w:r>
        <w:rPr>
          <w:rFonts w:ascii="Times New Roman" w:hAnsi="Times New Roman" w:hint="eastAsia"/>
          <w:sz w:val="22"/>
          <w:szCs w:val="22"/>
        </w:rPr>
        <w:t xml:space="preserve">　　（二）严重违反用人单位的规章制度的；</w:t>
      </w:r>
      <w:r>
        <w:rPr>
          <w:rFonts w:ascii="Times New Roman" w:hAnsi="Times New Roman" w:cs="Times New Roman"/>
          <w:sz w:val="22"/>
          <w:szCs w:val="22"/>
        </w:rPr>
        <w:br/>
      </w:r>
      <w:r>
        <w:rPr>
          <w:rFonts w:ascii="Times New Roman" w:hAnsi="Times New Roman" w:hint="eastAsia"/>
          <w:sz w:val="22"/>
          <w:szCs w:val="22"/>
        </w:rPr>
        <w:t xml:space="preserve">　　（三）严重失职，营私舞弊，给用人单位造成重大损害的；</w:t>
      </w:r>
      <w:r>
        <w:rPr>
          <w:rFonts w:ascii="Times New Roman" w:hAnsi="Times New Roman" w:cs="Times New Roman"/>
          <w:sz w:val="22"/>
          <w:szCs w:val="22"/>
        </w:rPr>
        <w:br/>
      </w:r>
      <w:r>
        <w:rPr>
          <w:rFonts w:ascii="Times New Roman" w:hAnsi="Times New Roman" w:hint="eastAsia"/>
          <w:sz w:val="22"/>
          <w:szCs w:val="22"/>
        </w:rPr>
        <w:t xml:space="preserve">　　（四）劳动者同时与其他用人单位建立劳动关系，对完成本单位的工作任务造成严重影响，或者经用人单位提出，拒不改正的；</w:t>
      </w:r>
      <w:r>
        <w:rPr>
          <w:rFonts w:ascii="Times New Roman" w:hAnsi="Times New Roman" w:cs="Times New Roman"/>
          <w:sz w:val="22"/>
          <w:szCs w:val="22"/>
        </w:rPr>
        <w:br/>
      </w:r>
      <w:r>
        <w:rPr>
          <w:rFonts w:ascii="Times New Roman" w:hAnsi="Times New Roman" w:hint="eastAsia"/>
          <w:sz w:val="22"/>
          <w:szCs w:val="22"/>
        </w:rPr>
        <w:t xml:space="preserve">　　（五）因本法第二十六条第一款第一项规定的情形致使劳动合同无效的；</w:t>
      </w:r>
      <w:r>
        <w:rPr>
          <w:rFonts w:ascii="Times New Roman" w:hAnsi="Times New Roman" w:cs="Times New Roman"/>
          <w:sz w:val="22"/>
          <w:szCs w:val="22"/>
        </w:rPr>
        <w:br/>
      </w:r>
      <w:r>
        <w:rPr>
          <w:rFonts w:ascii="Times New Roman" w:hAnsi="Times New Roman" w:hint="eastAsia"/>
          <w:sz w:val="22"/>
          <w:szCs w:val="22"/>
        </w:rPr>
        <w:t xml:space="preserve">　　（六）被依法追究刑事责任的。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第四十条　</w:t>
      </w:r>
      <w:r>
        <w:rPr>
          <w:rFonts w:ascii="Times New Roman" w:hAnsi="Times New Roman" w:hint="eastAsia"/>
          <w:sz w:val="22"/>
          <w:szCs w:val="22"/>
        </w:rPr>
        <w:t>有下列情形之一的，用人单位提前三十日以书面形式通知劳动者本人或者额外支付劳动者一个月工资后，可以解除劳动合同：</w:t>
      </w:r>
      <w:r>
        <w:rPr>
          <w:rFonts w:ascii="Times New Roman" w:hAnsi="Times New Roman" w:cs="Times New Roman"/>
          <w:sz w:val="22"/>
          <w:szCs w:val="22"/>
        </w:rPr>
        <w:br/>
      </w:r>
      <w:r>
        <w:rPr>
          <w:rFonts w:ascii="Times New Roman" w:hAnsi="Times New Roman" w:hint="eastAsia"/>
          <w:sz w:val="22"/>
          <w:szCs w:val="22"/>
        </w:rPr>
        <w:t xml:space="preserve">　　（一）劳动者患病或者非因工负伤，在规定的医疗期满后不能从事原工作，也不能从事由用人单位另行安排的工作的；</w:t>
      </w:r>
      <w:r>
        <w:rPr>
          <w:rFonts w:ascii="Times New Roman" w:hAnsi="Times New Roman" w:cs="Times New Roman"/>
          <w:sz w:val="22"/>
          <w:szCs w:val="22"/>
        </w:rPr>
        <w:br/>
      </w:r>
      <w:r>
        <w:rPr>
          <w:rFonts w:ascii="Times New Roman" w:hAnsi="Times New Roman" w:hint="eastAsia"/>
          <w:sz w:val="22"/>
          <w:szCs w:val="22"/>
        </w:rPr>
        <w:t xml:space="preserve">　　（二）劳动者不能胜任工作，经过培训或者调整工作岗位，仍不能胜任工作的；</w:t>
      </w:r>
      <w:r>
        <w:rPr>
          <w:rFonts w:ascii="Times New Roman" w:hAnsi="Times New Roman" w:cs="Times New Roman"/>
          <w:sz w:val="22"/>
          <w:szCs w:val="22"/>
        </w:rPr>
        <w:br/>
      </w:r>
      <w:r>
        <w:rPr>
          <w:rFonts w:ascii="Times New Roman" w:hAnsi="Times New Roman" w:hint="eastAsia"/>
          <w:sz w:val="22"/>
          <w:szCs w:val="22"/>
        </w:rPr>
        <w:t xml:space="preserve">　（三）劳动合同订立时所依据的客观情况发生重大变化，致使劳动合同无法履行，经用人单位与劳动者协商，未能就变更劳动合同内容达成协议的。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第四十一条　</w:t>
      </w:r>
      <w:r>
        <w:rPr>
          <w:rFonts w:ascii="Times New Roman" w:hAnsi="Times New Roman" w:hint="eastAsia"/>
          <w:sz w:val="22"/>
          <w:szCs w:val="22"/>
        </w:rPr>
        <w:t>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r>
        <w:rPr>
          <w:rFonts w:ascii="Times New Roman" w:hAnsi="Times New Roman" w:cs="Times New Roman"/>
          <w:sz w:val="22"/>
          <w:szCs w:val="22"/>
        </w:rPr>
        <w:br/>
      </w:r>
      <w:r>
        <w:rPr>
          <w:rFonts w:ascii="Times New Roman" w:hAnsi="Times New Roman" w:hint="eastAsia"/>
          <w:sz w:val="22"/>
          <w:szCs w:val="22"/>
        </w:rPr>
        <w:t xml:space="preserve">　　（一）依照企业破产法规定进行重整的；</w:t>
      </w:r>
      <w:r>
        <w:rPr>
          <w:rFonts w:ascii="Times New Roman" w:hAnsi="Times New Roman" w:cs="Times New Roman"/>
          <w:sz w:val="22"/>
          <w:szCs w:val="22"/>
        </w:rPr>
        <w:br/>
      </w:r>
      <w:r>
        <w:rPr>
          <w:rFonts w:ascii="Times New Roman" w:hAnsi="Times New Roman" w:hint="eastAsia"/>
          <w:sz w:val="22"/>
          <w:szCs w:val="22"/>
        </w:rPr>
        <w:t xml:space="preserve">　　（二）生产经营发生严重困难的；</w:t>
      </w:r>
      <w:r>
        <w:rPr>
          <w:rFonts w:ascii="Times New Roman" w:hAnsi="Times New Roman" w:cs="Times New Roman"/>
          <w:sz w:val="22"/>
          <w:szCs w:val="22"/>
        </w:rPr>
        <w:br/>
      </w:r>
      <w:r>
        <w:rPr>
          <w:rFonts w:ascii="Times New Roman" w:hAnsi="Times New Roman" w:hint="eastAsia"/>
          <w:sz w:val="22"/>
          <w:szCs w:val="22"/>
        </w:rPr>
        <w:t xml:space="preserve">　　（三）企业转产、重大技术革新或者经营方式调整，经变更劳动合同后，仍需裁减人员的；</w:t>
      </w:r>
      <w:r>
        <w:rPr>
          <w:rFonts w:ascii="Times New Roman" w:hAnsi="Times New Roman" w:cs="Times New Roman"/>
          <w:sz w:val="22"/>
          <w:szCs w:val="22"/>
        </w:rPr>
        <w:br/>
      </w:r>
      <w:r>
        <w:rPr>
          <w:rFonts w:ascii="Times New Roman" w:hAnsi="Times New Roman" w:hint="eastAsia"/>
          <w:sz w:val="22"/>
          <w:szCs w:val="22"/>
        </w:rPr>
        <w:t xml:space="preserve">　　（四）其他因劳动合同订立时所依据的客观经济情况发生重大变化，致使劳动合同无法履行的。</w:t>
      </w:r>
      <w:r>
        <w:rPr>
          <w:rFonts w:ascii="Times New Roman" w:hAnsi="Times New Roman" w:cs="Times New Roman"/>
          <w:sz w:val="22"/>
          <w:szCs w:val="22"/>
        </w:rPr>
        <w:br/>
      </w:r>
      <w:r>
        <w:rPr>
          <w:rFonts w:ascii="Times New Roman" w:hAnsi="Times New Roman" w:hint="eastAsia"/>
          <w:sz w:val="22"/>
          <w:szCs w:val="22"/>
        </w:rPr>
        <w:t xml:space="preserve">　　裁减人员时，应当优先留用下列人员：</w:t>
      </w:r>
      <w:r>
        <w:rPr>
          <w:rFonts w:ascii="Times New Roman" w:hAnsi="Times New Roman" w:cs="Times New Roman"/>
          <w:sz w:val="22"/>
          <w:szCs w:val="22"/>
        </w:rPr>
        <w:br/>
      </w:r>
      <w:r>
        <w:rPr>
          <w:rFonts w:ascii="Times New Roman" w:hAnsi="Times New Roman" w:hint="eastAsia"/>
          <w:sz w:val="22"/>
          <w:szCs w:val="22"/>
        </w:rPr>
        <w:t xml:space="preserve">　　（一）与本单位订立较长期限的固定期限劳动合同的；</w:t>
      </w:r>
      <w:r>
        <w:rPr>
          <w:rFonts w:ascii="Times New Roman" w:hAnsi="Times New Roman" w:cs="Times New Roman"/>
          <w:sz w:val="22"/>
          <w:szCs w:val="22"/>
        </w:rPr>
        <w:br/>
      </w:r>
      <w:r>
        <w:rPr>
          <w:rFonts w:ascii="Times New Roman" w:hAnsi="Times New Roman" w:hint="eastAsia"/>
          <w:sz w:val="22"/>
          <w:szCs w:val="22"/>
        </w:rPr>
        <w:t xml:space="preserve">　　（二）与本单位订立无固定期限劳动合同的；</w:t>
      </w:r>
      <w:r>
        <w:rPr>
          <w:rFonts w:ascii="Times New Roman" w:hAnsi="Times New Roman" w:cs="Times New Roman"/>
          <w:sz w:val="22"/>
          <w:szCs w:val="22"/>
        </w:rPr>
        <w:br/>
      </w:r>
      <w:r>
        <w:rPr>
          <w:rFonts w:ascii="Times New Roman" w:hAnsi="Times New Roman" w:hint="eastAsia"/>
          <w:sz w:val="22"/>
          <w:szCs w:val="22"/>
        </w:rPr>
        <w:t xml:space="preserve">　　（三）家庭无其他就业人员，有需要扶养的老人或者未成年人的。</w:t>
      </w:r>
      <w:r>
        <w:rPr>
          <w:rFonts w:ascii="Times New Roman" w:hAnsi="Times New Roman" w:cs="Times New Roman"/>
          <w:sz w:val="22"/>
          <w:szCs w:val="22"/>
        </w:rPr>
        <w:br/>
      </w:r>
      <w:r>
        <w:rPr>
          <w:rFonts w:ascii="Times New Roman" w:hAnsi="Times New Roman" w:hint="eastAsia"/>
          <w:sz w:val="22"/>
          <w:szCs w:val="22"/>
        </w:rPr>
        <w:t xml:space="preserve">　　用人单位依照本条第一款规定裁减人员，在六个月内重新招用人员的，应当通知被裁减的人员，并在同等条件下优先招用被裁减的人员。</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第四十二条　</w:t>
      </w:r>
      <w:r>
        <w:rPr>
          <w:rFonts w:ascii="Times New Roman" w:hAnsi="Times New Roman" w:hint="eastAsia"/>
          <w:sz w:val="22"/>
          <w:szCs w:val="22"/>
        </w:rPr>
        <w:t>劳动者有下列情形之一的，用人单位不得依照本法第四十条、第四十一条的规定解除劳动合同：</w:t>
      </w:r>
      <w:r>
        <w:rPr>
          <w:rFonts w:ascii="Times New Roman" w:hAnsi="Times New Roman" w:cs="Times New Roman"/>
          <w:sz w:val="22"/>
          <w:szCs w:val="22"/>
        </w:rPr>
        <w:br/>
      </w:r>
      <w:r>
        <w:rPr>
          <w:rFonts w:ascii="Times New Roman" w:hAnsi="Times New Roman" w:hint="eastAsia"/>
          <w:sz w:val="22"/>
          <w:szCs w:val="22"/>
        </w:rPr>
        <w:t xml:space="preserve">　　（一）从事接触职业病危害作业的劳动者未进行离岗前职业健康检查，或者疑似职业病病人在诊断或者医学观察期间的；</w:t>
      </w:r>
      <w:r>
        <w:rPr>
          <w:rFonts w:ascii="Times New Roman" w:hAnsi="Times New Roman" w:cs="Times New Roman"/>
          <w:sz w:val="22"/>
          <w:szCs w:val="22"/>
        </w:rPr>
        <w:br/>
      </w:r>
      <w:r>
        <w:rPr>
          <w:rFonts w:ascii="Times New Roman" w:hAnsi="Times New Roman" w:hint="eastAsia"/>
          <w:sz w:val="22"/>
          <w:szCs w:val="22"/>
        </w:rPr>
        <w:t xml:space="preserve">　　（二）在本单位患职业病或者因工负伤并被确认丧失或者部分丧失劳动能力的；</w:t>
      </w:r>
      <w:r>
        <w:rPr>
          <w:rFonts w:ascii="Times New Roman" w:hAnsi="Times New Roman" w:cs="Times New Roman"/>
          <w:sz w:val="22"/>
          <w:szCs w:val="22"/>
        </w:rPr>
        <w:br/>
      </w:r>
      <w:r>
        <w:rPr>
          <w:rFonts w:ascii="Times New Roman" w:hAnsi="Times New Roman" w:hint="eastAsia"/>
          <w:sz w:val="22"/>
          <w:szCs w:val="22"/>
        </w:rPr>
        <w:t xml:space="preserve">　　（三）患病或者非因工负伤，在规定的医疗期内的；</w:t>
      </w:r>
      <w:r>
        <w:rPr>
          <w:rFonts w:ascii="Times New Roman" w:hAnsi="Times New Roman" w:cs="Times New Roman"/>
          <w:sz w:val="22"/>
          <w:szCs w:val="22"/>
        </w:rPr>
        <w:br/>
      </w:r>
      <w:r>
        <w:rPr>
          <w:rFonts w:ascii="Times New Roman" w:hAnsi="Times New Roman" w:hint="eastAsia"/>
          <w:sz w:val="22"/>
          <w:szCs w:val="22"/>
        </w:rPr>
        <w:t xml:space="preserve">　　（四）女职工在孕期、产期、哺乳期的；</w:t>
      </w:r>
      <w:r>
        <w:rPr>
          <w:rFonts w:ascii="Times New Roman" w:hAnsi="Times New Roman" w:cs="Times New Roman"/>
          <w:sz w:val="22"/>
          <w:szCs w:val="22"/>
        </w:rPr>
        <w:br/>
      </w:r>
      <w:r>
        <w:rPr>
          <w:rFonts w:ascii="Times New Roman" w:hAnsi="Times New Roman" w:hint="eastAsia"/>
          <w:sz w:val="22"/>
          <w:szCs w:val="22"/>
        </w:rPr>
        <w:t xml:space="preserve">　　（五）在本单位连续工作满十五年，且距法定退休年龄不足五年的；</w:t>
      </w:r>
      <w:r>
        <w:rPr>
          <w:rFonts w:ascii="Times New Roman" w:hAnsi="Times New Roman" w:cs="Times New Roman"/>
          <w:sz w:val="22"/>
          <w:szCs w:val="22"/>
        </w:rPr>
        <w:br/>
      </w:r>
      <w:r>
        <w:rPr>
          <w:rFonts w:ascii="Times New Roman" w:hAnsi="Times New Roman" w:hint="eastAsia"/>
          <w:sz w:val="22"/>
          <w:szCs w:val="22"/>
        </w:rPr>
        <w:t xml:space="preserve">　　（六）法律、行政法规规定的其他情形。</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第四十三条　</w:t>
      </w:r>
      <w:r>
        <w:rPr>
          <w:rFonts w:ascii="Times New Roman" w:hAnsi="Times New Roman" w:hint="eastAsia"/>
          <w:sz w:val="22"/>
          <w:szCs w:val="22"/>
        </w:rPr>
        <w:t>用人单位单方解除劳动合同，应当事先将理由通知工会。用人单位违反法律、行政法规规定或者劳动合同约定的，工会有权要求用人单位纠正。用人单位应当研究工会的意见，并将处理结果书面通知工会。</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第四十四条　</w:t>
      </w:r>
      <w:r>
        <w:rPr>
          <w:rFonts w:ascii="Times New Roman" w:hAnsi="Times New Roman" w:hint="eastAsia"/>
          <w:sz w:val="22"/>
          <w:szCs w:val="22"/>
        </w:rPr>
        <w:t>有下列情形之一的，劳动合同终止：</w:t>
      </w:r>
      <w:r>
        <w:rPr>
          <w:rFonts w:ascii="Times New Roman" w:hAnsi="Times New Roman" w:cs="Times New Roman"/>
          <w:sz w:val="22"/>
          <w:szCs w:val="22"/>
        </w:rPr>
        <w:br/>
      </w:r>
      <w:r>
        <w:rPr>
          <w:rFonts w:ascii="Times New Roman" w:hAnsi="Times New Roman" w:hint="eastAsia"/>
          <w:sz w:val="22"/>
          <w:szCs w:val="22"/>
        </w:rPr>
        <w:t xml:space="preserve">　　（一）劳动合同期满的；</w:t>
      </w:r>
      <w:r>
        <w:rPr>
          <w:rFonts w:ascii="Times New Roman" w:hAnsi="Times New Roman" w:cs="Times New Roman"/>
          <w:sz w:val="22"/>
          <w:szCs w:val="22"/>
        </w:rPr>
        <w:br/>
      </w:r>
      <w:r>
        <w:rPr>
          <w:rFonts w:ascii="Times New Roman" w:hAnsi="Times New Roman" w:hint="eastAsia"/>
          <w:sz w:val="22"/>
          <w:szCs w:val="22"/>
        </w:rPr>
        <w:t xml:space="preserve">　　（二）劳动者开始依法享受基本养老保险待遇的；</w:t>
      </w:r>
      <w:r>
        <w:rPr>
          <w:rFonts w:ascii="Times New Roman" w:hAnsi="Times New Roman" w:cs="Times New Roman"/>
          <w:sz w:val="22"/>
          <w:szCs w:val="22"/>
        </w:rPr>
        <w:br/>
      </w:r>
      <w:r>
        <w:rPr>
          <w:rFonts w:ascii="Times New Roman" w:hAnsi="Times New Roman" w:hint="eastAsia"/>
          <w:sz w:val="22"/>
          <w:szCs w:val="22"/>
        </w:rPr>
        <w:t xml:space="preserve">　　（三）劳动者死亡，或者被人民法院宣告死亡或者宣告失踪的；</w:t>
      </w:r>
      <w:r>
        <w:rPr>
          <w:rFonts w:ascii="Times New Roman" w:hAnsi="Times New Roman" w:cs="Times New Roman"/>
          <w:sz w:val="22"/>
          <w:szCs w:val="22"/>
        </w:rPr>
        <w:br/>
      </w:r>
      <w:r>
        <w:rPr>
          <w:rFonts w:ascii="Times New Roman" w:hAnsi="Times New Roman" w:hint="eastAsia"/>
          <w:sz w:val="22"/>
          <w:szCs w:val="22"/>
        </w:rPr>
        <w:t xml:space="preserve">　　（四）用人单位被依法宣告破产的；</w:t>
      </w:r>
      <w:r>
        <w:rPr>
          <w:rFonts w:ascii="Times New Roman" w:hAnsi="Times New Roman" w:cs="Times New Roman"/>
          <w:sz w:val="22"/>
          <w:szCs w:val="22"/>
        </w:rPr>
        <w:br/>
      </w:r>
      <w:r>
        <w:rPr>
          <w:rFonts w:ascii="Times New Roman" w:hAnsi="Times New Roman" w:hint="eastAsia"/>
          <w:sz w:val="22"/>
          <w:szCs w:val="22"/>
        </w:rPr>
        <w:t xml:space="preserve">　　（五）用人单位被吊销营业执照、责令关闭、撤销或者用人单位决定提前解散的；</w:t>
      </w:r>
      <w:r>
        <w:rPr>
          <w:rFonts w:ascii="Times New Roman" w:hAnsi="Times New Roman" w:cs="Times New Roman"/>
          <w:sz w:val="22"/>
          <w:szCs w:val="22"/>
        </w:rPr>
        <w:br/>
      </w:r>
      <w:r>
        <w:rPr>
          <w:rFonts w:ascii="Times New Roman" w:hAnsi="Times New Roman" w:hint="eastAsia"/>
          <w:sz w:val="22"/>
          <w:szCs w:val="22"/>
        </w:rPr>
        <w:t xml:space="preserve">　　（六）法律、行政法规规定的其他情形。</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第四十五条　</w:t>
      </w:r>
      <w:r>
        <w:rPr>
          <w:rFonts w:ascii="Times New Roman" w:hAnsi="Times New Roman" w:hint="eastAsia"/>
          <w:sz w:val="22"/>
          <w:szCs w:val="22"/>
        </w:rPr>
        <w:t>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第四十六条　</w:t>
      </w:r>
      <w:r>
        <w:rPr>
          <w:rFonts w:ascii="Times New Roman" w:hAnsi="Times New Roman" w:hint="eastAsia"/>
          <w:sz w:val="22"/>
          <w:szCs w:val="22"/>
        </w:rPr>
        <w:t>有下列情形之一的，用人单位应当向劳动者支付经济补偿：</w:t>
      </w:r>
      <w:r>
        <w:rPr>
          <w:rFonts w:ascii="Times New Roman" w:hAnsi="Times New Roman" w:cs="Times New Roman"/>
          <w:sz w:val="22"/>
          <w:szCs w:val="22"/>
        </w:rPr>
        <w:br/>
      </w:r>
      <w:r>
        <w:rPr>
          <w:rFonts w:ascii="Times New Roman" w:hAnsi="Times New Roman" w:hint="eastAsia"/>
          <w:sz w:val="22"/>
          <w:szCs w:val="22"/>
        </w:rPr>
        <w:t xml:space="preserve">　　（一）劳动者依照本法第三十八条规定解除劳动合同的；</w:t>
      </w:r>
      <w:r>
        <w:rPr>
          <w:rFonts w:ascii="Times New Roman" w:hAnsi="Times New Roman" w:cs="Times New Roman"/>
          <w:sz w:val="22"/>
          <w:szCs w:val="22"/>
        </w:rPr>
        <w:br/>
      </w:r>
      <w:r>
        <w:rPr>
          <w:rFonts w:ascii="Times New Roman" w:hAnsi="Times New Roman" w:hint="eastAsia"/>
          <w:sz w:val="22"/>
          <w:szCs w:val="22"/>
        </w:rPr>
        <w:t xml:space="preserve">　　（二）用人单位依照本法第三十六条规定向劳动者提出解除劳动合同并与劳动者协商一致解除劳动合同的；</w:t>
      </w:r>
      <w:r>
        <w:rPr>
          <w:rFonts w:ascii="Times New Roman" w:hAnsi="Times New Roman" w:cs="Times New Roman"/>
          <w:sz w:val="22"/>
          <w:szCs w:val="22"/>
        </w:rPr>
        <w:br/>
      </w:r>
      <w:r>
        <w:rPr>
          <w:rFonts w:ascii="Times New Roman" w:hAnsi="Times New Roman" w:hint="eastAsia"/>
          <w:sz w:val="22"/>
          <w:szCs w:val="22"/>
        </w:rPr>
        <w:t xml:space="preserve">　　（三）用人单位依照本法第四十条规定解除劳动合同的；</w:t>
      </w:r>
      <w:r>
        <w:rPr>
          <w:rFonts w:ascii="Times New Roman" w:hAnsi="Times New Roman" w:cs="Times New Roman"/>
          <w:sz w:val="22"/>
          <w:szCs w:val="22"/>
        </w:rPr>
        <w:br/>
      </w:r>
      <w:r>
        <w:rPr>
          <w:rFonts w:ascii="Times New Roman" w:hAnsi="Times New Roman" w:hint="eastAsia"/>
          <w:sz w:val="22"/>
          <w:szCs w:val="22"/>
        </w:rPr>
        <w:t xml:space="preserve">　　（四）用人单位依照本法第四十一条第一款规定解除劳动合同的；</w:t>
      </w:r>
      <w:r>
        <w:rPr>
          <w:rFonts w:ascii="Times New Roman" w:hAnsi="Times New Roman" w:cs="Times New Roman"/>
          <w:sz w:val="22"/>
          <w:szCs w:val="22"/>
        </w:rPr>
        <w:br/>
      </w:r>
      <w:r>
        <w:rPr>
          <w:rFonts w:ascii="Times New Roman" w:hAnsi="Times New Roman" w:hint="eastAsia"/>
          <w:sz w:val="22"/>
          <w:szCs w:val="22"/>
        </w:rPr>
        <w:t xml:space="preserve">　　（五）除用人单位维持或者提高劳动合同约定条件续订劳动合同，劳动者不同意续订的情形外，依照本法第四十四条第一项规定终止固定期限劳动合同的；</w:t>
      </w:r>
      <w:r>
        <w:rPr>
          <w:rFonts w:ascii="Times New Roman" w:hAnsi="Times New Roman" w:cs="Times New Roman"/>
          <w:sz w:val="22"/>
          <w:szCs w:val="22"/>
        </w:rPr>
        <w:br/>
      </w:r>
      <w:r>
        <w:rPr>
          <w:rFonts w:ascii="Times New Roman" w:hAnsi="Times New Roman" w:hint="eastAsia"/>
          <w:sz w:val="22"/>
          <w:szCs w:val="22"/>
        </w:rPr>
        <w:t xml:space="preserve">　　（六）依照本法第四十四条第四项、第五项规定终止劳动合同的；</w:t>
      </w:r>
      <w:r>
        <w:rPr>
          <w:rFonts w:ascii="Times New Roman" w:hAnsi="Times New Roman" w:cs="Times New Roman"/>
          <w:sz w:val="22"/>
          <w:szCs w:val="22"/>
        </w:rPr>
        <w:br/>
      </w:r>
      <w:r>
        <w:rPr>
          <w:rFonts w:ascii="Times New Roman" w:hAnsi="Times New Roman" w:hint="eastAsia"/>
          <w:sz w:val="22"/>
          <w:szCs w:val="22"/>
        </w:rPr>
        <w:t xml:space="preserve">　　（七）法律、行政法规规定的其他情形。</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第四十七条　</w:t>
      </w:r>
      <w:r>
        <w:rPr>
          <w:rFonts w:ascii="Times New Roman" w:hAnsi="Times New Roman" w:hint="eastAsia"/>
          <w:sz w:val="22"/>
          <w:szCs w:val="22"/>
        </w:rPr>
        <w:t>经济补偿按劳动者在本单位工作的年限，每满一年支付一个月工资的标准向劳动者支付。六个月以上不满一年的，按一年计算；不满六个月的，向劳动者支付半个月工资的经济补偿。</w:t>
      </w:r>
      <w:r>
        <w:rPr>
          <w:rFonts w:ascii="Times New Roman" w:hAnsi="Times New Roman" w:cs="Times New Roman"/>
          <w:sz w:val="22"/>
          <w:szCs w:val="22"/>
        </w:rPr>
        <w:br/>
      </w:r>
      <w:r>
        <w:rPr>
          <w:rFonts w:ascii="Times New Roman" w:hAnsi="Times New Roman" w:hint="eastAsia"/>
          <w:sz w:val="22"/>
          <w:szCs w:val="22"/>
        </w:rPr>
        <w:t xml:space="preserve">　　劳动者月工资高于用人单位所在直辖市、设区的市级人民政府公布的本地区上年度职工月平均工资三倍的，向其支付经济补偿的标准按职工月平均工资三倍的数额支付，向其支付经济补偿的年限最高不超过十二年。</w:t>
      </w:r>
      <w:r>
        <w:rPr>
          <w:rFonts w:ascii="Times New Roman" w:hAnsi="Times New Roman" w:cs="Times New Roman"/>
          <w:sz w:val="22"/>
          <w:szCs w:val="22"/>
        </w:rPr>
        <w:br/>
      </w:r>
      <w:r>
        <w:rPr>
          <w:rFonts w:ascii="Times New Roman" w:hAnsi="Times New Roman" w:hint="eastAsia"/>
          <w:sz w:val="22"/>
          <w:szCs w:val="22"/>
        </w:rPr>
        <w:t xml:space="preserve">　　本条所称月工资是指劳动者在劳动合同解除或者终止前十二个月的平均工资。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cs="Times New Roman"/>
          <w:sz w:val="22"/>
          <w:szCs w:val="22"/>
        </w:rPr>
        <w:t> </w:t>
      </w:r>
      <w:r>
        <w:rPr>
          <w:rFonts w:ascii="Times New Roman" w:hAnsi="Times New Roman" w:hint="eastAsia"/>
          <w:b/>
          <w:bCs/>
          <w:sz w:val="22"/>
          <w:szCs w:val="22"/>
        </w:rPr>
        <w:t xml:space="preserve">第四十八条　</w:t>
      </w:r>
      <w:r>
        <w:rPr>
          <w:rFonts w:ascii="Times New Roman" w:hAnsi="Times New Roman" w:hint="eastAsia"/>
          <w:sz w:val="22"/>
          <w:szCs w:val="22"/>
        </w:rPr>
        <w:t>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cs="Times New Roman"/>
          <w:sz w:val="22"/>
          <w:szCs w:val="22"/>
        </w:rPr>
        <w:t> </w:t>
      </w:r>
      <w:r>
        <w:rPr>
          <w:rFonts w:ascii="Times New Roman" w:hAnsi="Times New Roman" w:hint="eastAsia"/>
          <w:b/>
          <w:bCs/>
          <w:sz w:val="22"/>
          <w:szCs w:val="22"/>
        </w:rPr>
        <w:t xml:space="preserve">第四十九条　</w:t>
      </w:r>
      <w:r>
        <w:rPr>
          <w:rFonts w:ascii="Times New Roman" w:hAnsi="Times New Roman" w:hint="eastAsia"/>
          <w:sz w:val="22"/>
          <w:szCs w:val="22"/>
        </w:rPr>
        <w:t>国家采取措施，建立健全劳动者社会保险关系跨地区转移接续制度。</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cs="Times New Roman"/>
          <w:sz w:val="22"/>
          <w:szCs w:val="22"/>
        </w:rPr>
        <w:t> </w:t>
      </w:r>
      <w:r>
        <w:rPr>
          <w:rFonts w:ascii="Times New Roman" w:hAnsi="Times New Roman" w:hint="eastAsia"/>
          <w:b/>
          <w:bCs/>
          <w:sz w:val="22"/>
          <w:szCs w:val="22"/>
        </w:rPr>
        <w:t xml:space="preserve">第五十条　</w:t>
      </w:r>
      <w:r>
        <w:rPr>
          <w:rFonts w:ascii="Times New Roman" w:hAnsi="Times New Roman" w:hint="eastAsia"/>
          <w:sz w:val="22"/>
          <w:szCs w:val="22"/>
        </w:rPr>
        <w:t>用人单位应当在解除或者终止劳动合同时出具解除或者终止劳动合同的证明，并在十五日内为劳动者办理档案和社会保险关系转移手续。</w:t>
      </w:r>
      <w:r>
        <w:rPr>
          <w:rFonts w:ascii="Times New Roman" w:hAnsi="Times New Roman" w:cs="Times New Roman"/>
          <w:sz w:val="22"/>
          <w:szCs w:val="22"/>
        </w:rPr>
        <w:br/>
      </w:r>
      <w:r>
        <w:rPr>
          <w:rFonts w:ascii="Times New Roman" w:hAnsi="Times New Roman" w:hint="eastAsia"/>
          <w:sz w:val="22"/>
          <w:szCs w:val="22"/>
        </w:rPr>
        <w:t xml:space="preserve">　　劳动者应当按照双方约定，办理工作交接。用人单位依照本法有关规定应当向劳动者支付经济补偿的，在办结工作交接时支付。</w:t>
      </w:r>
      <w:r>
        <w:rPr>
          <w:rFonts w:ascii="Times New Roman" w:hAnsi="Times New Roman" w:cs="Times New Roman"/>
          <w:sz w:val="22"/>
          <w:szCs w:val="22"/>
        </w:rPr>
        <w:br/>
      </w:r>
      <w:r>
        <w:rPr>
          <w:rFonts w:ascii="Times New Roman" w:hAnsi="Times New Roman" w:hint="eastAsia"/>
          <w:sz w:val="22"/>
          <w:szCs w:val="22"/>
        </w:rPr>
        <w:t xml:space="preserve">　　用人单位对已经解除或者终止的劳动合同的文本，至少保存二年备查。</w:t>
      </w:r>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p>
    <w:p w:rsidR="00A32067" w:rsidRDefault="00A32067" w:rsidP="0002085C">
      <w:pPr>
        <w:pStyle w:val="NormalWeb"/>
        <w:spacing w:beforeLines="100" w:beforeAutospacing="0" w:afterLines="50" w:afterAutospacing="0" w:line="480" w:lineRule="auto"/>
        <w:jc w:val="center"/>
        <w:rPr>
          <w:rFonts w:ascii="Times New Roman" w:eastAsia="微软雅黑" w:hAnsi="Times New Roman" w:cs="Times New Roman"/>
          <w:color w:val="000000"/>
          <w:sz w:val="27"/>
          <w:szCs w:val="27"/>
        </w:rPr>
      </w:pPr>
      <w:r>
        <w:rPr>
          <w:rFonts w:ascii="Times New Roman" w:hAnsi="Times New Roman" w:hint="eastAsia"/>
          <w:b/>
          <w:bCs/>
          <w:color w:val="333333"/>
        </w:rPr>
        <w:t>第五章　特别规定</w:t>
      </w:r>
      <w:bookmarkStart w:id="60" w:name="BM05"/>
      <w:bookmarkEnd w:id="60"/>
      <w:r>
        <w:rPr>
          <w:rFonts w:ascii="Times New Roman" w:eastAsia="微软雅黑" w:hAnsi="Times New Roman" w:cs="Times New Roman"/>
          <w:b/>
          <w:bCs/>
          <w:color w:val="000000"/>
        </w:rPr>
        <w:br/>
      </w:r>
      <w:r>
        <w:rPr>
          <w:rFonts w:ascii="Times New Roman" w:hAnsi="Times New Roman" w:hint="eastAsia"/>
          <w:b/>
          <w:bCs/>
          <w:color w:val="333333"/>
        </w:rPr>
        <w:t>第一节　集体合同</w:t>
      </w:r>
      <w:bookmarkStart w:id="61" w:name="BM001"/>
      <w:bookmarkEnd w:id="61"/>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r>
        <w:rPr>
          <w:rFonts w:ascii="Times New Roman" w:hAnsi="Times New Roman" w:hint="eastAsia"/>
          <w:b/>
          <w:bCs/>
          <w:sz w:val="22"/>
          <w:szCs w:val="22"/>
        </w:rPr>
        <w:t>第五十一条</w:t>
      </w:r>
      <w:r>
        <w:rPr>
          <w:rFonts w:ascii="Times New Roman" w:hAnsi="Times New Roman" w:hint="eastAsia"/>
          <w:sz w:val="22"/>
          <w:szCs w:val="22"/>
        </w:rPr>
        <w:t xml:space="preserve">　企业职工一方与用人单位通过平等协商，可以就劳动报酬、工作时间、休息休假、劳动安全卫生、保险福利等事项订立集体合同。集体合同草案应当提交职工代表大会或者全体职工讨论通过。</w:t>
      </w:r>
      <w:r>
        <w:rPr>
          <w:rFonts w:ascii="Times New Roman" w:hAnsi="Times New Roman" w:cs="Times New Roman"/>
          <w:sz w:val="22"/>
          <w:szCs w:val="22"/>
        </w:rPr>
        <w:br/>
      </w:r>
      <w:r>
        <w:rPr>
          <w:rFonts w:ascii="Times New Roman" w:hAnsi="Times New Roman" w:hint="eastAsia"/>
          <w:sz w:val="22"/>
          <w:szCs w:val="22"/>
        </w:rPr>
        <w:t xml:space="preserve">　　集体合同由工会代表企业职工一方与用人单位订立；尚未建立工会的用人单位，由上级工会指导劳动者推举的代表与用人单位订立。</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第五十二条　</w:t>
      </w:r>
      <w:r>
        <w:rPr>
          <w:rFonts w:ascii="Times New Roman" w:hAnsi="Times New Roman" w:hint="eastAsia"/>
          <w:sz w:val="22"/>
          <w:szCs w:val="22"/>
        </w:rPr>
        <w:t>企业职工一方与用人单位可以订立劳动安全卫生、女职工权益保护、工资调整机制等专项集体合同。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第五十三条　</w:t>
      </w:r>
      <w:r>
        <w:rPr>
          <w:rFonts w:ascii="Times New Roman" w:hAnsi="Times New Roman" w:hint="eastAsia"/>
          <w:sz w:val="22"/>
          <w:szCs w:val="22"/>
        </w:rPr>
        <w:t>在县级以下区域内，建筑业、采矿业、餐饮服务业等行业可以由工会与企业方面代表订立行业性集体合同，或者订立区域性集体合同。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第五十四条　</w:t>
      </w:r>
      <w:r>
        <w:rPr>
          <w:rFonts w:ascii="Times New Roman" w:hAnsi="Times New Roman" w:hint="eastAsia"/>
          <w:sz w:val="22"/>
          <w:szCs w:val="22"/>
        </w:rPr>
        <w:t>集体合同订立后，应当报送劳动行政部门；劳动行政部门自收到集体合同文本之日起十五日内未提出异议的，集体合同即行生效。</w:t>
      </w:r>
      <w:r>
        <w:rPr>
          <w:rFonts w:ascii="Times New Roman" w:hAnsi="Times New Roman" w:cs="Times New Roman"/>
          <w:sz w:val="22"/>
          <w:szCs w:val="22"/>
        </w:rPr>
        <w:br/>
      </w:r>
      <w:r>
        <w:rPr>
          <w:rFonts w:ascii="Times New Roman" w:hAnsi="Times New Roman" w:hint="eastAsia"/>
          <w:sz w:val="22"/>
          <w:szCs w:val="22"/>
        </w:rPr>
        <w:t xml:space="preserve">　　依法订立的集体合同对用人单位和劳动者具有约束力。行业性、区域性集体合同对当地本行业、本区域的用人单位和劳动者具有约束力。</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第五十五条　</w:t>
      </w:r>
      <w:r>
        <w:rPr>
          <w:rFonts w:ascii="Times New Roman" w:hAnsi="Times New Roman" w:hint="eastAsia"/>
          <w:sz w:val="22"/>
          <w:szCs w:val="22"/>
        </w:rPr>
        <w:t>集体合同中劳动报酬和劳动条件等标准不得低于当地人民政府规定的最低标准；用人单位与劳动者订立的劳动合同中劳动报酬和劳动条件等标准不得低于集体合同规定的标准。</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第五十六条　</w:t>
      </w:r>
      <w:r>
        <w:rPr>
          <w:rFonts w:ascii="Times New Roman" w:hAnsi="Times New Roman" w:hint="eastAsia"/>
          <w:sz w:val="22"/>
          <w:szCs w:val="22"/>
        </w:rPr>
        <w:t>用人单位违反集体合同，侵犯职工劳动权益的，工会可以依法要求用人单位承担责任；因履行集体合同发生争议，经协商解决不成的，工会可以依法申请仲裁、提起诉讼。</w:t>
      </w:r>
    </w:p>
    <w:p w:rsidR="00A32067" w:rsidRDefault="00A32067" w:rsidP="0002085C">
      <w:pPr>
        <w:pStyle w:val="NormalWeb"/>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第二节　劳务派遣</w:t>
      </w:r>
      <w:bookmarkStart w:id="62" w:name="BM002"/>
      <w:bookmarkEnd w:id="62"/>
    </w:p>
    <w:p w:rsidR="00A32067" w:rsidRDefault="00A32067" w:rsidP="005431C7">
      <w:pPr>
        <w:pStyle w:val="NormalWeb"/>
        <w:spacing w:before="0" w:beforeAutospacing="0" w:after="0" w:afterAutospacing="0" w:line="480" w:lineRule="atLeast"/>
        <w:ind w:firstLineChars="200" w:firstLine="31680"/>
        <w:rPr>
          <w:rFonts w:ascii="Times New Roman" w:eastAsia="微软雅黑" w:hAnsi="Times New Roman" w:cs="Times New Roman"/>
        </w:rPr>
      </w:pPr>
      <w:r>
        <w:rPr>
          <w:rFonts w:ascii="Times New Roman" w:hAnsi="Times New Roman" w:hint="eastAsia"/>
          <w:b/>
          <w:bCs/>
          <w:sz w:val="22"/>
          <w:szCs w:val="22"/>
        </w:rPr>
        <w:t xml:space="preserve">第五十七条　</w:t>
      </w:r>
      <w:r>
        <w:rPr>
          <w:rFonts w:ascii="Times New Roman" w:hAnsi="Times New Roman" w:hint="eastAsia"/>
          <w:sz w:val="22"/>
          <w:szCs w:val="22"/>
        </w:rPr>
        <w:t>劳务派遣单位应当依照公司法的有关规定设立，注册资本不得少于五十万元。</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第五十八条　</w:t>
      </w:r>
      <w:r>
        <w:rPr>
          <w:rFonts w:ascii="Times New Roman" w:hAnsi="Times New Roman" w:hint="eastAsia"/>
          <w:sz w:val="22"/>
          <w:szCs w:val="22"/>
        </w:rPr>
        <w:t>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r>
        <w:rPr>
          <w:rFonts w:ascii="Times New Roman" w:hAnsi="Times New Roman" w:cs="Times New Roman"/>
          <w:sz w:val="22"/>
          <w:szCs w:val="22"/>
        </w:rPr>
        <w:br/>
      </w:r>
      <w:r>
        <w:rPr>
          <w:rFonts w:ascii="Times New Roman" w:hAnsi="Times New Roman" w:hint="eastAsia"/>
          <w:sz w:val="22"/>
          <w:szCs w:val="22"/>
        </w:rPr>
        <w:t xml:space="preserve">　　劳务派遣单位应当与被派遣劳动者订立二年以上的固定期限劳动合同，按月支付劳动报酬；被派遣劳动者在无工作期间，劳务派遣单位应当按照所在地人民政府规定的最低工资标准，向其按月支付报酬。</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第五十九条　</w:t>
      </w:r>
      <w:r>
        <w:rPr>
          <w:rFonts w:ascii="Times New Roman" w:hAnsi="Times New Roman" w:hint="eastAsia"/>
          <w:sz w:val="22"/>
          <w:szCs w:val="22"/>
        </w:rPr>
        <w:t>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r>
        <w:rPr>
          <w:rFonts w:ascii="Times New Roman" w:hAnsi="Times New Roman" w:cs="Times New Roman"/>
          <w:sz w:val="22"/>
          <w:szCs w:val="22"/>
        </w:rPr>
        <w:br/>
      </w:r>
      <w:r>
        <w:rPr>
          <w:rFonts w:ascii="Times New Roman" w:hAnsi="Times New Roman" w:hint="eastAsia"/>
          <w:sz w:val="22"/>
          <w:szCs w:val="22"/>
        </w:rPr>
        <w:t xml:space="preserve">　　工单位应当根据工作岗位的实际需要与劳务派遣单位确定派遣期限，不得将连续用工期限分割订立数个短期劳务派遣协议。</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第六十条　</w:t>
      </w:r>
      <w:r>
        <w:rPr>
          <w:rFonts w:ascii="Times New Roman" w:hAnsi="Times New Roman" w:hint="eastAsia"/>
          <w:sz w:val="22"/>
          <w:szCs w:val="22"/>
        </w:rPr>
        <w:t>劳务派遣单位应当将劳务派遣协议的内容告知被派遣劳动者。</w:t>
      </w:r>
      <w:r>
        <w:rPr>
          <w:rFonts w:ascii="Times New Roman" w:hAnsi="Times New Roman" w:cs="Times New Roman"/>
          <w:sz w:val="22"/>
          <w:szCs w:val="22"/>
        </w:rPr>
        <w:br/>
      </w:r>
      <w:r>
        <w:rPr>
          <w:rFonts w:ascii="Times New Roman" w:hAnsi="Times New Roman" w:hint="eastAsia"/>
          <w:sz w:val="22"/>
          <w:szCs w:val="22"/>
        </w:rPr>
        <w:t xml:space="preserve">　　劳务派遣单位不得克扣用工单位按照劳务派遣协议支付给被派遣劳动者的劳动报酬。</w:t>
      </w:r>
      <w:r>
        <w:rPr>
          <w:rFonts w:ascii="Times New Roman" w:hAnsi="Times New Roman" w:cs="Times New Roman"/>
          <w:sz w:val="22"/>
          <w:szCs w:val="22"/>
        </w:rPr>
        <w:br/>
      </w:r>
      <w:r>
        <w:rPr>
          <w:rFonts w:ascii="Times New Roman" w:hAnsi="Times New Roman" w:hint="eastAsia"/>
          <w:sz w:val="22"/>
          <w:szCs w:val="22"/>
        </w:rPr>
        <w:t xml:space="preserve">　　劳务派遣单位和用工单位不得向被派遣劳动者收取费用。</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第六十一条　</w:t>
      </w:r>
      <w:r>
        <w:rPr>
          <w:rFonts w:ascii="Times New Roman" w:hAnsi="Times New Roman" w:hint="eastAsia"/>
          <w:sz w:val="22"/>
          <w:szCs w:val="22"/>
        </w:rPr>
        <w:t>劳务派遣单位跨地区派遣劳动者的，被派遣劳动者享有的劳动报酬和劳动条件，按照用工单位所在地的标准执行。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第六十二条　</w:t>
      </w:r>
      <w:r>
        <w:rPr>
          <w:rFonts w:ascii="Times New Roman" w:hAnsi="Times New Roman" w:hint="eastAsia"/>
          <w:sz w:val="22"/>
          <w:szCs w:val="22"/>
        </w:rPr>
        <w:t>用工单位应当履行下列义务：</w:t>
      </w:r>
      <w:r>
        <w:rPr>
          <w:rFonts w:ascii="Times New Roman" w:hAnsi="Times New Roman" w:cs="Times New Roman"/>
          <w:sz w:val="22"/>
          <w:szCs w:val="22"/>
        </w:rPr>
        <w:br/>
      </w:r>
      <w:r>
        <w:rPr>
          <w:rFonts w:ascii="Times New Roman" w:hAnsi="Times New Roman" w:hint="eastAsia"/>
          <w:sz w:val="22"/>
          <w:szCs w:val="22"/>
        </w:rPr>
        <w:t xml:space="preserve">　　（一）执行国家劳动标准，提供相应的劳动条件和劳动保护；</w:t>
      </w:r>
      <w:r>
        <w:rPr>
          <w:rFonts w:ascii="Times New Roman" w:hAnsi="Times New Roman" w:cs="Times New Roman"/>
          <w:sz w:val="22"/>
          <w:szCs w:val="22"/>
        </w:rPr>
        <w:br/>
      </w:r>
      <w:r>
        <w:rPr>
          <w:rFonts w:ascii="Times New Roman" w:hAnsi="Times New Roman" w:hint="eastAsia"/>
          <w:sz w:val="22"/>
          <w:szCs w:val="22"/>
        </w:rPr>
        <w:t xml:space="preserve">　　（二）告知被派遣劳动者的工作要求和劳动报酬；</w:t>
      </w:r>
      <w:r>
        <w:rPr>
          <w:rFonts w:ascii="Times New Roman" w:hAnsi="Times New Roman" w:cs="Times New Roman"/>
          <w:sz w:val="22"/>
          <w:szCs w:val="22"/>
        </w:rPr>
        <w:br/>
      </w:r>
      <w:r>
        <w:rPr>
          <w:rFonts w:ascii="Times New Roman" w:hAnsi="Times New Roman" w:hint="eastAsia"/>
          <w:sz w:val="22"/>
          <w:szCs w:val="22"/>
        </w:rPr>
        <w:t xml:space="preserve">　　（三）支付加班费、绩效奖金，提供与工作岗位相关的福利待遇；</w:t>
      </w:r>
      <w:r>
        <w:rPr>
          <w:rFonts w:ascii="Times New Roman" w:hAnsi="Times New Roman" w:cs="Times New Roman"/>
          <w:sz w:val="22"/>
          <w:szCs w:val="22"/>
        </w:rPr>
        <w:br/>
      </w:r>
      <w:r>
        <w:rPr>
          <w:rFonts w:ascii="Times New Roman" w:hAnsi="Times New Roman" w:hint="eastAsia"/>
          <w:sz w:val="22"/>
          <w:szCs w:val="22"/>
        </w:rPr>
        <w:t xml:space="preserve">　　（四）对在岗被派遣劳动者进行工作岗位所必需的培训；</w:t>
      </w:r>
      <w:r>
        <w:rPr>
          <w:rFonts w:ascii="Times New Roman" w:hAnsi="Times New Roman" w:cs="Times New Roman"/>
          <w:sz w:val="22"/>
          <w:szCs w:val="22"/>
        </w:rPr>
        <w:br/>
      </w:r>
      <w:r>
        <w:rPr>
          <w:rFonts w:ascii="Times New Roman" w:hAnsi="Times New Roman" w:hint="eastAsia"/>
          <w:sz w:val="22"/>
          <w:szCs w:val="22"/>
        </w:rPr>
        <w:t xml:space="preserve">　　（五）连续用工的，实行正常的工资调整机制。</w:t>
      </w:r>
      <w:r>
        <w:rPr>
          <w:rFonts w:ascii="Times New Roman" w:hAnsi="Times New Roman" w:cs="Times New Roman"/>
          <w:sz w:val="22"/>
          <w:szCs w:val="22"/>
        </w:rPr>
        <w:br/>
      </w:r>
      <w:r>
        <w:rPr>
          <w:rFonts w:ascii="Times New Roman" w:hAnsi="Times New Roman" w:hint="eastAsia"/>
          <w:sz w:val="22"/>
          <w:szCs w:val="22"/>
        </w:rPr>
        <w:t xml:space="preserve">　　用工单位不得将被派遣劳动者再派遣到其他用人单位。</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第六十三条　</w:t>
      </w:r>
      <w:r>
        <w:rPr>
          <w:rFonts w:ascii="Times New Roman" w:hAnsi="Times New Roman" w:hint="eastAsia"/>
          <w:sz w:val="22"/>
          <w:szCs w:val="22"/>
        </w:rPr>
        <w:t>被派遣劳动者享有与用工单位的劳动者同工同酬的权利。用工单位无同类岗位劳动者的，参照用工单位所在地相同或者相近岗位劳动者的劳动报酬确定。</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第六十四条　</w:t>
      </w:r>
      <w:r>
        <w:rPr>
          <w:rFonts w:ascii="Times New Roman" w:hAnsi="Times New Roman" w:hint="eastAsia"/>
          <w:sz w:val="22"/>
          <w:szCs w:val="22"/>
        </w:rPr>
        <w:t>被派遣劳动者有权在劳务派遣单位或者用工单位依法参加或者组织工会，维护自身的合法权益。</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第六十五条　</w:t>
      </w:r>
      <w:r>
        <w:rPr>
          <w:rFonts w:ascii="Times New Roman" w:hAnsi="Times New Roman" w:hint="eastAsia"/>
          <w:sz w:val="22"/>
          <w:szCs w:val="22"/>
        </w:rPr>
        <w:t>被派遣劳动者可以依照本法第三十六条、第三十八条的规定与劳务派遣单位解除劳动合同。</w:t>
      </w:r>
      <w:r>
        <w:rPr>
          <w:rFonts w:ascii="Times New Roman" w:hAnsi="Times New Roman" w:cs="Times New Roman"/>
          <w:sz w:val="22"/>
          <w:szCs w:val="22"/>
        </w:rPr>
        <w:br/>
      </w:r>
      <w:r>
        <w:rPr>
          <w:rFonts w:ascii="Times New Roman" w:hAnsi="Times New Roman" w:hint="eastAsia"/>
          <w:sz w:val="22"/>
          <w:szCs w:val="22"/>
        </w:rPr>
        <w:t xml:space="preserve">　　被派遣劳动者有本法第三十九条和第四十条第一项、第二项规定情形的，用工单位可以将劳动者退回劳务派遣单位，劳务派遣单位依照本法有关规定，可以与劳动者解除劳动合同。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第六十六条　</w:t>
      </w:r>
      <w:r>
        <w:rPr>
          <w:rFonts w:ascii="Times New Roman" w:hAnsi="Times New Roman" w:hint="eastAsia"/>
          <w:sz w:val="22"/>
          <w:szCs w:val="22"/>
        </w:rPr>
        <w:t>劳务派遣一般在临时性、辅助性或者替代性的工作岗位上实施。</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第六十七条　</w:t>
      </w:r>
      <w:r>
        <w:rPr>
          <w:rFonts w:ascii="Times New Roman" w:hAnsi="Times New Roman" w:hint="eastAsia"/>
          <w:sz w:val="22"/>
          <w:szCs w:val="22"/>
        </w:rPr>
        <w:t>用人单位不得设立劳务派遣单位向本单位或者所属单位派遣劳动者。</w:t>
      </w:r>
    </w:p>
    <w:p w:rsidR="00A32067" w:rsidRDefault="00A32067" w:rsidP="0002085C">
      <w:pPr>
        <w:pStyle w:val="NormalWeb"/>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第三节　非全日制用工</w:t>
      </w:r>
      <w:bookmarkStart w:id="63" w:name="BM003"/>
      <w:bookmarkEnd w:id="63"/>
    </w:p>
    <w:p w:rsidR="00A32067" w:rsidRDefault="00A32067" w:rsidP="005431C7">
      <w:pPr>
        <w:pStyle w:val="NormalWeb"/>
        <w:spacing w:before="0" w:beforeAutospacing="0" w:after="0" w:afterAutospacing="0" w:line="480" w:lineRule="atLeast"/>
        <w:ind w:firstLineChars="200" w:firstLine="31680"/>
        <w:rPr>
          <w:rFonts w:ascii="Times New Roman" w:hAnsi="Times New Roman" w:cs="Times New Roman"/>
          <w:sz w:val="22"/>
          <w:szCs w:val="22"/>
        </w:rPr>
      </w:pPr>
      <w:r>
        <w:rPr>
          <w:rFonts w:ascii="Times New Roman" w:hAnsi="Times New Roman" w:hint="eastAsia"/>
          <w:b/>
          <w:bCs/>
          <w:sz w:val="22"/>
          <w:szCs w:val="22"/>
        </w:rPr>
        <w:t xml:space="preserve">第六十八条　</w:t>
      </w:r>
      <w:r>
        <w:rPr>
          <w:rFonts w:ascii="Times New Roman" w:hAnsi="Times New Roman" w:hint="eastAsia"/>
          <w:sz w:val="22"/>
          <w:szCs w:val="22"/>
        </w:rPr>
        <w:t>非全日制用工，是指以小时计酬为主，劳动者在同一用人单位一般平均每日工作时间不超过四小时，每周工作时间累计不超过二十四小时的用工形式。</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第六十九条　</w:t>
      </w:r>
      <w:r>
        <w:rPr>
          <w:rFonts w:ascii="Times New Roman" w:hAnsi="Times New Roman" w:hint="eastAsia"/>
          <w:sz w:val="22"/>
          <w:szCs w:val="22"/>
        </w:rPr>
        <w:t>非全日制用工双方当事人可以订立口头协议。</w:t>
      </w:r>
      <w:r>
        <w:rPr>
          <w:rFonts w:ascii="Times New Roman" w:hAnsi="Times New Roman" w:cs="Times New Roman"/>
          <w:sz w:val="22"/>
          <w:szCs w:val="22"/>
        </w:rPr>
        <w:br/>
      </w:r>
      <w:r>
        <w:rPr>
          <w:rFonts w:ascii="Times New Roman" w:hAnsi="Times New Roman" w:hint="eastAsia"/>
          <w:sz w:val="22"/>
          <w:szCs w:val="22"/>
        </w:rPr>
        <w:t xml:space="preserve">　　从事非全日制用工的劳动者可以与一个或者一个以上用人单位订立劳动合同；但是，后订立的劳动合同不得影响先订立的劳动合同的履行。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第七十条　</w:t>
      </w:r>
      <w:r>
        <w:rPr>
          <w:rFonts w:ascii="Times New Roman" w:hAnsi="Times New Roman" w:hint="eastAsia"/>
          <w:sz w:val="22"/>
          <w:szCs w:val="22"/>
        </w:rPr>
        <w:t>非全日制用工双方当事人不得约定试用期。</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第七十一条　</w:t>
      </w:r>
      <w:r>
        <w:rPr>
          <w:rFonts w:ascii="Times New Roman" w:hAnsi="Times New Roman" w:hint="eastAsia"/>
          <w:sz w:val="22"/>
          <w:szCs w:val="22"/>
        </w:rPr>
        <w:t>非全日制用工双方当事人任何一方都可以随时通知对方终止用工。终止用工，用人单位不向劳动者支付经济补偿。</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第七十二条　</w:t>
      </w:r>
      <w:r>
        <w:rPr>
          <w:rFonts w:ascii="Times New Roman" w:hAnsi="Times New Roman" w:hint="eastAsia"/>
          <w:sz w:val="22"/>
          <w:szCs w:val="22"/>
        </w:rPr>
        <w:t>非全日制用工小时计酬标准不得低于用人单位所在地人民政府规定的最低小时工资标准。</w:t>
      </w:r>
      <w:r>
        <w:rPr>
          <w:rFonts w:ascii="Times New Roman" w:hAnsi="Times New Roman" w:cs="Times New Roman"/>
          <w:sz w:val="22"/>
          <w:szCs w:val="22"/>
        </w:rPr>
        <w:br/>
      </w:r>
      <w:r>
        <w:rPr>
          <w:rFonts w:ascii="Times New Roman" w:hAnsi="Times New Roman" w:hint="eastAsia"/>
          <w:sz w:val="22"/>
          <w:szCs w:val="22"/>
        </w:rPr>
        <w:t xml:space="preserve">　非全日制用工劳动报酬结算支付周期最长不得超过十五日。</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　监督检查</w:t>
      </w:r>
      <w:bookmarkStart w:id="64" w:name="BM06"/>
      <w:bookmarkEnd w:id="64"/>
    </w:p>
    <w:p w:rsidR="00A32067" w:rsidRDefault="00A32067">
      <w:pPr>
        <w:pStyle w:val="NormalWeb"/>
        <w:spacing w:before="0" w:beforeAutospacing="0" w:after="0" w:afterAutospacing="0" w:line="480" w:lineRule="atLeast"/>
        <w:rPr>
          <w:rFonts w:ascii="Times New Roman" w:hAnsi="Times New Roman" w:cs="Times New Roman"/>
          <w:sz w:val="22"/>
          <w:szCs w:val="22"/>
        </w:rPr>
      </w:pPr>
      <w:r>
        <w:rPr>
          <w:rFonts w:ascii="Times New Roman" w:eastAsia="微软雅黑" w:hAnsi="Times New Roman" w:cs="微软雅黑" w:hint="eastAsia"/>
          <w:color w:val="000000"/>
        </w:rPr>
        <w:t xml:space="preserve">　</w:t>
      </w:r>
      <w:r>
        <w:rPr>
          <w:rFonts w:ascii="Times New Roman" w:hAnsi="Times New Roman" w:hint="eastAsia"/>
          <w:sz w:val="22"/>
          <w:szCs w:val="22"/>
        </w:rPr>
        <w:t xml:space="preserve">　</w:t>
      </w:r>
      <w:r>
        <w:rPr>
          <w:rFonts w:ascii="Times New Roman" w:hAnsi="Times New Roman" w:hint="eastAsia"/>
          <w:b/>
          <w:bCs/>
          <w:sz w:val="22"/>
          <w:szCs w:val="22"/>
        </w:rPr>
        <w:t xml:space="preserve">第七十三条　</w:t>
      </w:r>
      <w:r>
        <w:rPr>
          <w:rFonts w:ascii="Times New Roman" w:hAnsi="Times New Roman" w:hint="eastAsia"/>
          <w:sz w:val="22"/>
          <w:szCs w:val="22"/>
        </w:rPr>
        <w:t>国务院劳动行政部门负责全国劳动合同制度实施的监督管理。</w:t>
      </w:r>
      <w:r>
        <w:rPr>
          <w:rFonts w:ascii="Times New Roman" w:hAnsi="Times New Roman" w:cs="Times New Roman"/>
          <w:sz w:val="22"/>
          <w:szCs w:val="22"/>
        </w:rPr>
        <w:br/>
      </w:r>
      <w:r>
        <w:rPr>
          <w:rFonts w:ascii="Times New Roman" w:hAnsi="Times New Roman" w:hint="eastAsia"/>
          <w:sz w:val="22"/>
          <w:szCs w:val="22"/>
        </w:rPr>
        <w:t xml:space="preserve">　　县级以上地方人民政府劳动行政部门负责本行政区域内劳动合同制度实施的监督管理。</w:t>
      </w:r>
      <w:r>
        <w:rPr>
          <w:rFonts w:ascii="Times New Roman" w:hAnsi="Times New Roman" w:cs="Times New Roman"/>
          <w:sz w:val="22"/>
          <w:szCs w:val="22"/>
        </w:rPr>
        <w:br/>
      </w:r>
      <w:r>
        <w:rPr>
          <w:rFonts w:ascii="Times New Roman" w:hAnsi="Times New Roman" w:hint="eastAsia"/>
          <w:sz w:val="22"/>
          <w:szCs w:val="22"/>
        </w:rPr>
        <w:t xml:space="preserve">　　县级以上各级人民政府劳动行政部门在劳动合同制度实施的监督管理工作中，应当听取工会、企业方面代表以及有关行业主管部门的意见。</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第七十四条　</w:t>
      </w:r>
      <w:r>
        <w:rPr>
          <w:rFonts w:ascii="Times New Roman" w:hAnsi="Times New Roman" w:hint="eastAsia"/>
          <w:sz w:val="22"/>
          <w:szCs w:val="22"/>
        </w:rPr>
        <w:t>县级以上地方人民政府劳动行政部门依法对下列实施劳动合同制度的情况进行监督检查：</w:t>
      </w:r>
      <w:r>
        <w:rPr>
          <w:rFonts w:ascii="Times New Roman" w:hAnsi="Times New Roman" w:cs="Times New Roman"/>
          <w:sz w:val="22"/>
          <w:szCs w:val="22"/>
        </w:rPr>
        <w:br/>
      </w:r>
      <w:r>
        <w:rPr>
          <w:rFonts w:ascii="Times New Roman" w:hAnsi="Times New Roman" w:hint="eastAsia"/>
          <w:sz w:val="22"/>
          <w:szCs w:val="22"/>
        </w:rPr>
        <w:t xml:space="preserve">　　（一）用人单位制定直接涉及劳动者切身利益的规章制度及其执行的情况；</w:t>
      </w:r>
      <w:r>
        <w:rPr>
          <w:rFonts w:ascii="Times New Roman" w:hAnsi="Times New Roman" w:cs="Times New Roman"/>
          <w:sz w:val="22"/>
          <w:szCs w:val="22"/>
        </w:rPr>
        <w:br/>
      </w:r>
      <w:r>
        <w:rPr>
          <w:rFonts w:ascii="Times New Roman" w:hAnsi="Times New Roman" w:hint="eastAsia"/>
          <w:sz w:val="22"/>
          <w:szCs w:val="22"/>
        </w:rPr>
        <w:t xml:space="preserve">　　（二）用人单位与劳动者订立和解除劳动合同的情况；</w:t>
      </w:r>
      <w:r>
        <w:rPr>
          <w:rFonts w:ascii="Times New Roman" w:hAnsi="Times New Roman" w:cs="Times New Roman"/>
          <w:sz w:val="22"/>
          <w:szCs w:val="22"/>
        </w:rPr>
        <w:br/>
      </w:r>
      <w:r>
        <w:rPr>
          <w:rFonts w:ascii="Times New Roman" w:hAnsi="Times New Roman" w:hint="eastAsia"/>
          <w:sz w:val="22"/>
          <w:szCs w:val="22"/>
        </w:rPr>
        <w:t xml:space="preserve">　　（三）劳务派遣单位和用工单位遵守劳务派遣有关规定的情况；</w:t>
      </w:r>
      <w:r>
        <w:rPr>
          <w:rFonts w:ascii="Times New Roman" w:hAnsi="Times New Roman" w:cs="Times New Roman"/>
          <w:sz w:val="22"/>
          <w:szCs w:val="22"/>
        </w:rPr>
        <w:br/>
      </w:r>
      <w:r>
        <w:rPr>
          <w:rFonts w:ascii="Times New Roman" w:hAnsi="Times New Roman" w:hint="eastAsia"/>
          <w:sz w:val="22"/>
          <w:szCs w:val="22"/>
        </w:rPr>
        <w:t xml:space="preserve">　　（四）用人单位遵守国家关于劳动者工作时间和休息休假规定的情况；</w:t>
      </w:r>
      <w:r>
        <w:rPr>
          <w:rFonts w:ascii="Times New Roman" w:hAnsi="Times New Roman" w:cs="Times New Roman"/>
          <w:sz w:val="22"/>
          <w:szCs w:val="22"/>
        </w:rPr>
        <w:br/>
      </w:r>
      <w:r>
        <w:rPr>
          <w:rFonts w:ascii="Times New Roman" w:hAnsi="Times New Roman" w:hint="eastAsia"/>
          <w:sz w:val="22"/>
          <w:szCs w:val="22"/>
        </w:rPr>
        <w:t xml:space="preserve">　　（五）用人单位支付劳动合同约定的劳动报酬和执行最低工资标准的情况；</w:t>
      </w:r>
      <w:r>
        <w:rPr>
          <w:rFonts w:ascii="Times New Roman" w:hAnsi="Times New Roman" w:cs="Times New Roman"/>
          <w:sz w:val="22"/>
          <w:szCs w:val="22"/>
        </w:rPr>
        <w:br/>
      </w:r>
      <w:r>
        <w:rPr>
          <w:rFonts w:ascii="Times New Roman" w:hAnsi="Times New Roman" w:hint="eastAsia"/>
          <w:sz w:val="22"/>
          <w:szCs w:val="22"/>
        </w:rPr>
        <w:t xml:space="preserve">　　（六）用人单位参加各项社会保险和缴纳社会保险费的情况；</w:t>
      </w:r>
      <w:r>
        <w:rPr>
          <w:rFonts w:ascii="Times New Roman" w:hAnsi="Times New Roman" w:cs="Times New Roman"/>
          <w:sz w:val="22"/>
          <w:szCs w:val="22"/>
        </w:rPr>
        <w:br/>
      </w:r>
      <w:r>
        <w:rPr>
          <w:rFonts w:ascii="Times New Roman" w:hAnsi="Times New Roman" w:hint="eastAsia"/>
          <w:sz w:val="22"/>
          <w:szCs w:val="22"/>
        </w:rPr>
        <w:t xml:space="preserve">　　（七）法律、法规规定的其他劳动监察事项。</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第七十五条　</w:t>
      </w:r>
      <w:r>
        <w:rPr>
          <w:rFonts w:ascii="Times New Roman" w:hAnsi="Times New Roman" w:hint="eastAsia"/>
          <w:sz w:val="22"/>
          <w:szCs w:val="22"/>
        </w:rPr>
        <w:t>县级以上地方人民政府劳动行政部门实施监督检查时，有权查阅与劳动合同、集体合同有关的材料，有权对劳动场所进行实地检查，用人单位和劳动者都应当如实提供有关情况和材料。</w:t>
      </w:r>
      <w:r>
        <w:rPr>
          <w:rFonts w:ascii="Times New Roman" w:hAnsi="Times New Roman" w:cs="Times New Roman"/>
          <w:sz w:val="22"/>
          <w:szCs w:val="22"/>
        </w:rPr>
        <w:br/>
      </w:r>
      <w:r>
        <w:rPr>
          <w:rFonts w:ascii="Times New Roman" w:hAnsi="Times New Roman" w:hint="eastAsia"/>
          <w:sz w:val="22"/>
          <w:szCs w:val="22"/>
        </w:rPr>
        <w:t xml:space="preserve">　　劳动行政部门的工作人员进行监督检查，应当出示证件，依法行使职权，文明执法。</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第七十六条　</w:t>
      </w:r>
      <w:r>
        <w:rPr>
          <w:rFonts w:ascii="Times New Roman" w:hAnsi="Times New Roman" w:hint="eastAsia"/>
          <w:sz w:val="22"/>
          <w:szCs w:val="22"/>
        </w:rPr>
        <w:t>县级以上人民政府建设、卫生、安全生产监督管理等有关主管部门在各自职责范围内，对用人单位执行劳动合同制度的情况进行监督管理。</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第七十七条　</w:t>
      </w:r>
      <w:r>
        <w:rPr>
          <w:rFonts w:ascii="Times New Roman" w:hAnsi="Times New Roman" w:hint="eastAsia"/>
          <w:sz w:val="22"/>
          <w:szCs w:val="22"/>
        </w:rPr>
        <w:t>劳动者合法权益受到侵害的，有权要求有关部门依法处理，或者依法申请仲裁、提起诉讼。</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第七十八条　</w:t>
      </w:r>
      <w:r>
        <w:rPr>
          <w:rFonts w:ascii="Times New Roman" w:hAnsi="Times New Roman" w:hint="eastAsia"/>
          <w:sz w:val="22"/>
          <w:szCs w:val="22"/>
        </w:rPr>
        <w:t>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第七十九条</w:t>
      </w:r>
      <w:r>
        <w:rPr>
          <w:rFonts w:ascii="Times New Roman" w:hAnsi="Times New Roman" w:hint="eastAsia"/>
          <w:sz w:val="22"/>
          <w:szCs w:val="22"/>
        </w:rPr>
        <w:t xml:space="preserve">　任何组织或者个人对违反本法的行为都有权举报，县级以上人民政府劳动行政部门应当及时核实、处理，并对举报有功人员给予奖励。</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　法律责任</w:t>
      </w:r>
      <w:bookmarkStart w:id="65" w:name="BM07"/>
      <w:bookmarkEnd w:id="65"/>
    </w:p>
    <w:p w:rsidR="00A32067" w:rsidRDefault="00A32067">
      <w:pPr>
        <w:pStyle w:val="NormalWeb"/>
        <w:spacing w:before="0" w:beforeAutospacing="0" w:after="0" w:afterAutospacing="0" w:line="480" w:lineRule="atLeast"/>
        <w:rPr>
          <w:rFonts w:ascii="Times New Roman" w:hAnsi="Times New Roman" w:cs="Times New Roman"/>
          <w:sz w:val="22"/>
          <w:szCs w:val="22"/>
        </w:rPr>
      </w:pPr>
      <w:r>
        <w:rPr>
          <w:rFonts w:ascii="Times New Roman" w:eastAsia="微软雅黑" w:hAnsi="Times New Roman" w:cs="微软雅黑" w:hint="eastAsia"/>
          <w:color w:val="000000"/>
        </w:rPr>
        <w:t xml:space="preserve">　</w:t>
      </w:r>
      <w:r>
        <w:rPr>
          <w:rFonts w:ascii="Times New Roman" w:hAnsi="Times New Roman" w:hint="eastAsia"/>
          <w:sz w:val="22"/>
          <w:szCs w:val="22"/>
        </w:rPr>
        <w:t xml:space="preserve">　</w:t>
      </w:r>
      <w:r>
        <w:rPr>
          <w:rFonts w:ascii="Times New Roman" w:hAnsi="Times New Roman" w:hint="eastAsia"/>
          <w:b/>
          <w:bCs/>
          <w:sz w:val="22"/>
          <w:szCs w:val="22"/>
        </w:rPr>
        <w:t xml:space="preserve">第八十条　</w:t>
      </w:r>
      <w:r>
        <w:rPr>
          <w:rFonts w:ascii="Times New Roman" w:hAnsi="Times New Roman" w:hint="eastAsia"/>
          <w:sz w:val="22"/>
          <w:szCs w:val="22"/>
        </w:rPr>
        <w:t>用人单位直接涉及劳动者切身利益的规章制度违反法律、法规规定的，由劳动行政部门责令改正，给予警告；给劳动者造成损害的，应当承担赔偿责任。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第八十一条　</w:t>
      </w:r>
      <w:r>
        <w:rPr>
          <w:rFonts w:ascii="Times New Roman" w:hAnsi="Times New Roman" w:hint="eastAsia"/>
          <w:sz w:val="22"/>
          <w:szCs w:val="22"/>
        </w:rPr>
        <w:t>用人单位提供的劳动合同文本未载明本法规定的劳动合同必备条款或者用人单位未将劳动合同文本交付劳动者的，由劳动行政部门责令改正；给劳动者造成损害的，应当承担赔偿责任。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第八十二条　</w:t>
      </w:r>
      <w:r>
        <w:rPr>
          <w:rFonts w:ascii="Times New Roman" w:hAnsi="Times New Roman" w:hint="eastAsia"/>
          <w:sz w:val="22"/>
          <w:szCs w:val="22"/>
        </w:rPr>
        <w:t>用人单位自用工之日起超过一个月不满一年未与劳动者订立书面劳动合同的，应当向劳动者每月支付二倍的工资。</w:t>
      </w:r>
      <w:r>
        <w:rPr>
          <w:rFonts w:ascii="Times New Roman" w:hAnsi="Times New Roman" w:cs="Times New Roman"/>
          <w:sz w:val="22"/>
          <w:szCs w:val="22"/>
        </w:rPr>
        <w:br/>
      </w:r>
      <w:r>
        <w:rPr>
          <w:rFonts w:ascii="Times New Roman" w:hAnsi="Times New Roman" w:hint="eastAsia"/>
          <w:sz w:val="22"/>
          <w:szCs w:val="22"/>
        </w:rPr>
        <w:t xml:space="preserve">　　用人单位违反本法规定不与劳动者订立无固定期限劳动合同的，自应当订立无固定期限劳动合同之日起向劳动者每月支付二倍的工资。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第八十三条　</w:t>
      </w:r>
      <w:r>
        <w:rPr>
          <w:rFonts w:ascii="Times New Roman" w:hAnsi="Times New Roman" w:hint="eastAsia"/>
          <w:sz w:val="22"/>
          <w:szCs w:val="22"/>
        </w:rPr>
        <w:t>用人单位违反本法规定与劳动者约定试用期的，由劳动行政部门责令改正；违法约定的试用期已经履行的，由用人单位以劳动者试用期满月工资为标准，按已经履行的超过法定试用期的期间向劳动者支付赔偿金。</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第八十四条</w:t>
      </w:r>
      <w:r>
        <w:rPr>
          <w:rFonts w:ascii="Times New Roman" w:hAnsi="Times New Roman" w:hint="eastAsia"/>
          <w:sz w:val="22"/>
          <w:szCs w:val="22"/>
        </w:rPr>
        <w:t xml:space="preserve">　用人单位违反本法规定，扣押劳动者居民身份证等证件的，由劳动行政部门责令限期退还劳动者本人，并依照有关法律规定给予处罚。</w:t>
      </w:r>
      <w:r>
        <w:rPr>
          <w:rFonts w:ascii="Times New Roman" w:hAnsi="Times New Roman" w:cs="Times New Roman"/>
          <w:sz w:val="22"/>
          <w:szCs w:val="22"/>
        </w:rPr>
        <w:br/>
      </w:r>
      <w:r>
        <w:rPr>
          <w:rFonts w:ascii="Times New Roman" w:hAnsi="Times New Roman" w:hint="eastAsia"/>
          <w:sz w:val="22"/>
          <w:szCs w:val="22"/>
        </w:rPr>
        <w:t xml:space="preserve">　　用人单位违反本法规定，以担保或者其他名义向劳动者收取财物的，由劳动行政部门责令限期退还劳动者本人，并以每人五百元以上二千元以下的标准处以罚款；给劳动者造成损害的，应当承担赔偿责任。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劳动者依法解除或者终止劳动合同，用人单位扣押劳动者档案或者其他物品的，依照前款规定处罚。</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第八十五条　</w:t>
      </w:r>
      <w:r>
        <w:rPr>
          <w:rFonts w:ascii="Times New Roman" w:hAnsi="Times New Roman" w:hint="eastAsia"/>
          <w:sz w:val="22"/>
          <w:szCs w:val="22"/>
        </w:rPr>
        <w:t>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r>
        <w:rPr>
          <w:rFonts w:ascii="Times New Roman" w:hAnsi="Times New Roman" w:cs="Times New Roman"/>
          <w:sz w:val="22"/>
          <w:szCs w:val="22"/>
        </w:rPr>
        <w:br/>
      </w:r>
      <w:r>
        <w:rPr>
          <w:rFonts w:ascii="Times New Roman" w:hAnsi="Times New Roman" w:hint="eastAsia"/>
          <w:sz w:val="22"/>
          <w:szCs w:val="22"/>
        </w:rPr>
        <w:t xml:space="preserve">　　（一）未按照劳动合同的约定或者国家规定及时足额支付劳动者劳动报酬的；</w:t>
      </w:r>
      <w:r>
        <w:rPr>
          <w:rFonts w:ascii="Times New Roman" w:hAnsi="Times New Roman" w:cs="Times New Roman"/>
          <w:sz w:val="22"/>
          <w:szCs w:val="22"/>
        </w:rPr>
        <w:br/>
      </w:r>
      <w:r>
        <w:rPr>
          <w:rFonts w:ascii="Times New Roman" w:hAnsi="Times New Roman" w:hint="eastAsia"/>
          <w:sz w:val="22"/>
          <w:szCs w:val="22"/>
        </w:rPr>
        <w:t xml:space="preserve">　　（二）低于当地最低工资标准支付劳动者工资的；</w:t>
      </w:r>
      <w:r>
        <w:rPr>
          <w:rFonts w:ascii="Times New Roman" w:hAnsi="Times New Roman" w:cs="Times New Roman"/>
          <w:sz w:val="22"/>
          <w:szCs w:val="22"/>
        </w:rPr>
        <w:br/>
      </w:r>
      <w:r>
        <w:rPr>
          <w:rFonts w:ascii="Times New Roman" w:hAnsi="Times New Roman" w:hint="eastAsia"/>
          <w:sz w:val="22"/>
          <w:szCs w:val="22"/>
        </w:rPr>
        <w:t xml:space="preserve">　　（三）安排加班不支付加班费的；</w:t>
      </w:r>
      <w:r>
        <w:rPr>
          <w:rFonts w:ascii="Times New Roman" w:hAnsi="Times New Roman" w:cs="Times New Roman"/>
          <w:sz w:val="22"/>
          <w:szCs w:val="22"/>
        </w:rPr>
        <w:br/>
      </w:r>
      <w:r>
        <w:rPr>
          <w:rFonts w:ascii="Times New Roman" w:hAnsi="Times New Roman" w:hint="eastAsia"/>
          <w:sz w:val="22"/>
          <w:szCs w:val="22"/>
        </w:rPr>
        <w:t xml:space="preserve">　　（四）解除或者终止劳动合同，未依照本法规定向劳动者支付经济补偿的。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第八十六条　</w:t>
      </w:r>
      <w:r>
        <w:rPr>
          <w:rFonts w:ascii="Times New Roman" w:hAnsi="Times New Roman" w:hint="eastAsia"/>
          <w:sz w:val="22"/>
          <w:szCs w:val="22"/>
        </w:rPr>
        <w:t>劳动合同依照本法第二十六条规定被确认无效，给对方造成损害的，有过错的一方应当承担赔偿责任。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第八十七条　</w:t>
      </w:r>
      <w:r>
        <w:rPr>
          <w:rFonts w:ascii="Times New Roman" w:hAnsi="Times New Roman" w:hint="eastAsia"/>
          <w:sz w:val="22"/>
          <w:szCs w:val="22"/>
        </w:rPr>
        <w:t>用人单位违反本法规定解除或者终止劳动合同的，应当依照本法第四十七条规定的经济补偿标准的二倍向劳动者支付赔偿金。</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第八十八条　</w:t>
      </w:r>
      <w:r>
        <w:rPr>
          <w:rFonts w:ascii="Times New Roman" w:hAnsi="Times New Roman" w:hint="eastAsia"/>
          <w:sz w:val="22"/>
          <w:szCs w:val="22"/>
        </w:rPr>
        <w:t>用人单位有下列情形之一的，依法给予行政处罚；构成犯罪的，依法追究刑事责任；给劳动者造成损害的，应当承担赔偿责任：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（一）以暴力、威胁或者非法限制人身自由的手段强迫劳动的；</w:t>
      </w:r>
      <w:r>
        <w:rPr>
          <w:rFonts w:ascii="Times New Roman" w:hAnsi="Times New Roman" w:cs="Times New Roman"/>
          <w:sz w:val="22"/>
          <w:szCs w:val="22"/>
        </w:rPr>
        <w:br/>
      </w:r>
      <w:r>
        <w:rPr>
          <w:rFonts w:ascii="Times New Roman" w:hAnsi="Times New Roman" w:hint="eastAsia"/>
          <w:sz w:val="22"/>
          <w:szCs w:val="22"/>
        </w:rPr>
        <w:t xml:space="preserve">　　（二）违章指挥或者强令冒险作业危及劳动者人身安全的；</w:t>
      </w:r>
      <w:r>
        <w:rPr>
          <w:rFonts w:ascii="Times New Roman" w:hAnsi="Times New Roman" w:cs="Times New Roman"/>
          <w:sz w:val="22"/>
          <w:szCs w:val="22"/>
        </w:rPr>
        <w:br/>
      </w:r>
      <w:r>
        <w:rPr>
          <w:rFonts w:ascii="Times New Roman" w:hAnsi="Times New Roman" w:hint="eastAsia"/>
          <w:sz w:val="22"/>
          <w:szCs w:val="22"/>
        </w:rPr>
        <w:t xml:space="preserve">　　（三）侮辱、体罚、殴打、非法搜查或者拘禁劳动者的；</w:t>
      </w:r>
      <w:r>
        <w:rPr>
          <w:rFonts w:ascii="Times New Roman" w:hAnsi="Times New Roman" w:cs="Times New Roman"/>
          <w:sz w:val="22"/>
          <w:szCs w:val="22"/>
        </w:rPr>
        <w:br/>
      </w:r>
      <w:r>
        <w:rPr>
          <w:rFonts w:ascii="Times New Roman" w:hAnsi="Times New Roman" w:hint="eastAsia"/>
          <w:sz w:val="22"/>
          <w:szCs w:val="22"/>
        </w:rPr>
        <w:t xml:space="preserve">　　（四）劳动条件恶劣、环境污染严重，给劳动者身心健康造成严重损害的。</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第八十九条　</w:t>
      </w:r>
      <w:r>
        <w:rPr>
          <w:rFonts w:ascii="Times New Roman" w:hAnsi="Times New Roman" w:hint="eastAsia"/>
          <w:sz w:val="22"/>
          <w:szCs w:val="22"/>
        </w:rPr>
        <w:t>用人单位违反本法规定未向劳动者出具解除或者终止劳动合同的书面证明，由劳动行政部门责令改正；给劳动者造成损害的，应当承担赔偿责任。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第九十条　</w:t>
      </w:r>
      <w:r>
        <w:rPr>
          <w:rFonts w:ascii="Times New Roman" w:hAnsi="Times New Roman" w:hint="eastAsia"/>
          <w:sz w:val="22"/>
          <w:szCs w:val="22"/>
        </w:rPr>
        <w:t>劳动者违反本法规定解除劳动合同，或者违反劳动合同中约定的保密义务或者竞业限制，给用人单位造成损失的，应当承担赔偿责任。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第九十一条　</w:t>
      </w:r>
      <w:r>
        <w:rPr>
          <w:rFonts w:ascii="Times New Roman" w:hAnsi="Times New Roman" w:hint="eastAsia"/>
          <w:sz w:val="22"/>
          <w:szCs w:val="22"/>
        </w:rPr>
        <w:t>用人单位招用与其他用人单位尚未解除或者终止劳动合同的劳动者，给其他用人单位造成损失的，应当承担连带赔偿责任。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第九十二条　</w:t>
      </w:r>
      <w:r>
        <w:rPr>
          <w:rFonts w:ascii="Times New Roman" w:hAnsi="Times New Roman" w:hint="eastAsia"/>
          <w:sz w:val="22"/>
          <w:szCs w:val="22"/>
        </w:rPr>
        <w:t>劳务派遣单位违反本法规定的，由劳动行政部门和其他有关主管部门责令改正；情节严重的，以每人一千元以上五千元以下的标准处以罚款，并由工商行政管理部门吊销营业执照；给被派遣劳动者造成损害的，劳务派遣单位与用工单位承担连带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第九十三条　</w:t>
      </w:r>
      <w:r>
        <w:rPr>
          <w:rFonts w:ascii="Times New Roman" w:hAnsi="Times New Roman" w:hint="eastAsia"/>
          <w:sz w:val="22"/>
          <w:szCs w:val="22"/>
        </w:rPr>
        <w:t>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第九十四条　</w:t>
      </w:r>
      <w:r>
        <w:rPr>
          <w:rFonts w:ascii="Times New Roman" w:hAnsi="Times New Roman" w:hint="eastAsia"/>
          <w:sz w:val="22"/>
          <w:szCs w:val="22"/>
        </w:rPr>
        <w:t>个人承包经营违反本法规定招用劳动者，给劳动者造成损害的，发包的组织与个人承包经营者承担连带赔偿责任。</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第九十五条　</w:t>
      </w:r>
      <w:r>
        <w:rPr>
          <w:rFonts w:ascii="Times New Roman" w:hAnsi="Times New Roman" w:hint="eastAsia"/>
          <w:sz w:val="22"/>
          <w:szCs w:val="22"/>
        </w:rPr>
        <w:t>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　附</w:t>
      </w:r>
      <w:r>
        <w:rPr>
          <w:rFonts w:ascii="Times New Roman" w:hAnsi="Times New Roman" w:cs="Times New Roman"/>
          <w:b/>
          <w:bCs/>
          <w:color w:val="333333"/>
        </w:rPr>
        <w:t xml:space="preserve">  </w:t>
      </w:r>
      <w:r>
        <w:rPr>
          <w:rFonts w:ascii="Times New Roman" w:hAnsi="Times New Roman" w:hint="eastAsia"/>
          <w:b/>
          <w:bCs/>
          <w:color w:val="333333"/>
        </w:rPr>
        <w:t>则</w:t>
      </w:r>
      <w:bookmarkStart w:id="66" w:name="BM08"/>
      <w:bookmarkEnd w:id="66"/>
    </w:p>
    <w:p w:rsidR="00A32067" w:rsidRDefault="00A32067">
      <w:pPr>
        <w:pStyle w:val="NormalWeb"/>
        <w:spacing w:before="0" w:beforeAutospacing="0" w:after="0" w:afterAutospacing="0" w:line="480" w:lineRule="atLeast"/>
        <w:rPr>
          <w:rFonts w:ascii="Times New Roman" w:hAnsi="Times New Roman" w:cs="Times New Roman"/>
          <w:sz w:val="22"/>
          <w:szCs w:val="22"/>
        </w:rPr>
      </w:pPr>
      <w:r>
        <w:rPr>
          <w:rFonts w:ascii="Times New Roman" w:hAnsi="Times New Roman" w:hint="eastAsia"/>
          <w:sz w:val="22"/>
          <w:szCs w:val="22"/>
        </w:rPr>
        <w:t xml:space="preserve">　　</w:t>
      </w:r>
      <w:r>
        <w:rPr>
          <w:rFonts w:ascii="Times New Roman" w:hAnsi="Times New Roman" w:hint="eastAsia"/>
          <w:b/>
          <w:bCs/>
          <w:sz w:val="22"/>
          <w:szCs w:val="22"/>
        </w:rPr>
        <w:t xml:space="preserve">第九十六条　</w:t>
      </w:r>
      <w:r>
        <w:rPr>
          <w:rFonts w:ascii="Times New Roman" w:hAnsi="Times New Roman" w:hint="eastAsia"/>
          <w:sz w:val="22"/>
          <w:szCs w:val="22"/>
        </w:rPr>
        <w:t>事业单位与实行聘用制的工作人员订立、履行、变更、解除或者终止劳动合同，法律、行政法规或者国务院另有规定的，依照其规定；未作规定的，依照本法有关规定执行。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 xml:space="preserve">第九十七条　</w:t>
      </w:r>
      <w:r>
        <w:rPr>
          <w:rFonts w:ascii="Times New Roman" w:hAnsi="Times New Roman" w:hint="eastAsia"/>
          <w:sz w:val="22"/>
          <w:szCs w:val="22"/>
        </w:rPr>
        <w:t>本法施行前已依法订立且在本法施行之日存续的劳动合同，继续履行；本法第十四条第二款第三项规定连续订立固定期限劳动合同的次数，自本法施行后续订固定期限劳动合同时开始计算。</w:t>
      </w:r>
      <w:r>
        <w:rPr>
          <w:rFonts w:ascii="Times New Roman" w:hAnsi="Times New Roman" w:cs="Times New Roman"/>
          <w:sz w:val="22"/>
          <w:szCs w:val="22"/>
        </w:rPr>
        <w:br/>
      </w:r>
      <w:r>
        <w:rPr>
          <w:rFonts w:ascii="Times New Roman" w:hAnsi="Times New Roman" w:hint="eastAsia"/>
          <w:sz w:val="22"/>
          <w:szCs w:val="22"/>
        </w:rPr>
        <w:t xml:space="preserve">　　本法施行前已建立劳动关系，尚未订立书面劳动合同的，应当自本法施行之日起一个月内订立。</w:t>
      </w:r>
      <w:r>
        <w:rPr>
          <w:rFonts w:ascii="Times New Roman" w:hAnsi="Times New Roman" w:cs="Times New Roman"/>
          <w:sz w:val="22"/>
          <w:szCs w:val="22"/>
        </w:rPr>
        <w:br/>
      </w:r>
      <w:r>
        <w:rPr>
          <w:rFonts w:ascii="Times New Roman" w:hAnsi="Times New Roman" w:hint="eastAsia"/>
          <w:sz w:val="22"/>
          <w:szCs w:val="22"/>
        </w:rPr>
        <w:t xml:space="preserve">　　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r>
        <w:rPr>
          <w:rFonts w:ascii="Times New Roman" w:hAnsi="Times New Roman" w:cs="Times New Roman"/>
          <w:sz w:val="22"/>
          <w:szCs w:val="22"/>
        </w:rPr>
        <w:br/>
      </w:r>
      <w:r>
        <w:rPr>
          <w:rFonts w:ascii="Times New Roman" w:hAnsi="Times New Roman" w:hint="eastAsia"/>
          <w:sz w:val="22"/>
          <w:szCs w:val="22"/>
        </w:rPr>
        <w:t xml:space="preserve">　　</w:t>
      </w:r>
      <w:r>
        <w:rPr>
          <w:rFonts w:ascii="Times New Roman" w:hAnsi="Times New Roman" w:hint="eastAsia"/>
          <w:b/>
          <w:bCs/>
          <w:sz w:val="22"/>
          <w:szCs w:val="22"/>
        </w:rPr>
        <w:t>第九十八条</w:t>
      </w:r>
      <w:r>
        <w:rPr>
          <w:rFonts w:ascii="Times New Roman" w:hAnsi="Times New Roman" w:hint="eastAsia"/>
          <w:sz w:val="22"/>
          <w:szCs w:val="22"/>
        </w:rPr>
        <w:t xml:space="preserve">　本法自</w:t>
      </w:r>
      <w:r>
        <w:rPr>
          <w:rFonts w:ascii="Times New Roman" w:hAnsi="Times New Roman" w:cs="Times New Roman"/>
          <w:sz w:val="22"/>
          <w:szCs w:val="22"/>
        </w:rPr>
        <w:t>2008</w:t>
      </w:r>
      <w:r>
        <w:rPr>
          <w:rFonts w:ascii="Times New Roman" w:hAnsi="Times New Roman" w:hint="eastAsia"/>
          <w:sz w:val="22"/>
          <w:szCs w:val="22"/>
        </w:rPr>
        <w:t>年</w:t>
      </w:r>
      <w:r>
        <w:rPr>
          <w:rFonts w:ascii="Times New Roman" w:hAnsi="Times New Roman" w:cs="Times New Roman"/>
          <w:sz w:val="22"/>
          <w:szCs w:val="22"/>
        </w:rPr>
        <w:t>1</w:t>
      </w:r>
      <w:r>
        <w:rPr>
          <w:rFonts w:ascii="Times New Roman" w:hAnsi="Times New Roman" w:hint="eastAsia"/>
          <w:sz w:val="22"/>
          <w:szCs w:val="22"/>
        </w:rPr>
        <w:t>月</w:t>
      </w:r>
      <w:r>
        <w:rPr>
          <w:rFonts w:ascii="Times New Roman" w:hAnsi="Times New Roman" w:cs="Times New Roman"/>
          <w:sz w:val="22"/>
          <w:szCs w:val="22"/>
        </w:rPr>
        <w:t>1</w:t>
      </w:r>
      <w:r>
        <w:rPr>
          <w:rFonts w:ascii="Times New Roman" w:hAnsi="Times New Roman" w:hint="eastAsia"/>
          <w:sz w:val="22"/>
          <w:szCs w:val="22"/>
        </w:rPr>
        <w:t>日起施行。</w:t>
      </w:r>
    </w:p>
    <w:p w:rsidR="00A32067" w:rsidRDefault="00A32067">
      <w:pPr>
        <w:spacing w:line="480" w:lineRule="atLeast"/>
        <w:rPr>
          <w:kern w:val="0"/>
          <w:sz w:val="22"/>
          <w:szCs w:val="22"/>
        </w:rPr>
      </w:pPr>
    </w:p>
    <w:p w:rsidR="00A32067" w:rsidRDefault="00A32067"/>
    <w:p w:rsidR="00A32067" w:rsidRDefault="00A32067">
      <w:pPr>
        <w:spacing w:line="220" w:lineRule="atLeast"/>
      </w:pPr>
      <w:r>
        <w:br w:type="page"/>
      </w:r>
    </w:p>
    <w:p w:rsidR="00A32067" w:rsidRDefault="00A32067" w:rsidP="0002085C">
      <w:pPr>
        <w:pStyle w:val="NormalWeb"/>
        <w:shd w:val="clear" w:color="auto" w:fill="FFFFFF"/>
        <w:spacing w:beforeLines="100" w:beforeAutospacing="0" w:afterLines="100" w:afterAutospacing="0" w:line="360" w:lineRule="auto"/>
        <w:jc w:val="center"/>
        <w:outlineLvl w:val="2"/>
        <w:rPr>
          <w:rFonts w:ascii="Times New Roman" w:hAnsi="Times New Roman" w:cs="Times New Roman"/>
          <w:b/>
          <w:bCs/>
          <w:color w:val="333333"/>
          <w:spacing w:val="10"/>
          <w:sz w:val="44"/>
          <w:szCs w:val="44"/>
        </w:rPr>
      </w:pPr>
      <w:bookmarkStart w:id="67" w:name="_Toc519872296"/>
      <w:r>
        <w:rPr>
          <w:rFonts w:ascii="Times New Roman" w:hAnsi="Times New Roman" w:hint="eastAsia"/>
          <w:b/>
          <w:bCs/>
          <w:color w:val="333333"/>
          <w:spacing w:val="10"/>
          <w:sz w:val="44"/>
          <w:szCs w:val="44"/>
        </w:rPr>
        <w:t>中华人民共和国安全生产法</w:t>
      </w:r>
      <w:r>
        <w:rPr>
          <w:rFonts w:ascii="Times New Roman" w:hAnsi="Times New Roman" w:cs="Times New Roman"/>
          <w:b/>
          <w:bCs/>
          <w:color w:val="333333"/>
          <w:spacing w:val="10"/>
          <w:sz w:val="44"/>
          <w:szCs w:val="44"/>
        </w:rPr>
        <w:br/>
      </w:r>
      <w:r>
        <w:rPr>
          <w:rFonts w:ascii="Times New Roman" w:hAnsi="Times New Roman" w:hint="eastAsia"/>
          <w:color w:val="333333"/>
          <w:spacing w:val="10"/>
          <w:sz w:val="22"/>
          <w:szCs w:val="22"/>
        </w:rPr>
        <w:t>中华人民共和国主席令</w:t>
      </w:r>
      <w:r>
        <w:rPr>
          <w:rFonts w:ascii="Times New Roman" w:hAnsi="Times New Roman" w:hint="eastAsia"/>
          <w:color w:val="333333"/>
          <w:sz w:val="22"/>
          <w:szCs w:val="22"/>
        </w:rPr>
        <w:t>第十三号</w:t>
      </w:r>
      <w:bookmarkEnd w:id="67"/>
    </w:p>
    <w:p w:rsidR="00A32067" w:rsidRDefault="00A32067">
      <w:pPr>
        <w:pStyle w:val="NormalWeb"/>
        <w:shd w:val="clear" w:color="auto" w:fill="FFFFFF"/>
        <w:spacing w:before="0" w:beforeAutospacing="0" w:after="0" w:afterAutospacing="0" w:line="360" w:lineRule="auto"/>
        <w:ind w:firstLine="420"/>
        <w:rPr>
          <w:rFonts w:ascii="Times New Roman" w:hAnsi="Times New Roman" w:cs="Times New Roman"/>
          <w:color w:val="333333"/>
          <w:spacing w:val="6"/>
          <w:sz w:val="22"/>
          <w:szCs w:val="22"/>
        </w:rPr>
      </w:pPr>
      <w:r>
        <w:rPr>
          <w:rFonts w:ascii="Times New Roman" w:hAnsi="Times New Roman" w:hint="eastAsia"/>
          <w:color w:val="333333"/>
          <w:spacing w:val="6"/>
          <w:sz w:val="22"/>
          <w:szCs w:val="22"/>
        </w:rPr>
        <w:t>《全国人民代表大会常务委员会关于修改〈中华人民共和国安全生产法〉的决定》已由中华人民共和国第十二届全国人民代表大会常务委员会第十次会议于</w:t>
      </w:r>
      <w:r>
        <w:rPr>
          <w:rFonts w:ascii="Times New Roman" w:hAnsi="Times New Roman" w:cs="Times New Roman"/>
          <w:color w:val="333333"/>
          <w:spacing w:val="6"/>
          <w:sz w:val="22"/>
          <w:szCs w:val="22"/>
        </w:rPr>
        <w:t>2014</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8</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31</w:t>
      </w:r>
      <w:r>
        <w:rPr>
          <w:rFonts w:ascii="Times New Roman" w:hAnsi="Times New Roman" w:hint="eastAsia"/>
          <w:color w:val="333333"/>
          <w:spacing w:val="6"/>
          <w:sz w:val="22"/>
          <w:szCs w:val="22"/>
        </w:rPr>
        <w:t>日通过，现予公布，自</w:t>
      </w:r>
      <w:r>
        <w:rPr>
          <w:rFonts w:ascii="Times New Roman" w:hAnsi="Times New Roman" w:cs="Times New Roman"/>
          <w:color w:val="333333"/>
          <w:spacing w:val="6"/>
          <w:sz w:val="22"/>
          <w:szCs w:val="22"/>
        </w:rPr>
        <w:t>2014</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12</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1</w:t>
      </w:r>
      <w:r>
        <w:rPr>
          <w:rFonts w:ascii="Times New Roman" w:hAnsi="Times New Roman" w:hint="eastAsia"/>
          <w:color w:val="333333"/>
          <w:spacing w:val="6"/>
          <w:sz w:val="22"/>
          <w:szCs w:val="22"/>
        </w:rPr>
        <w:t>日起施行。</w:t>
      </w:r>
    </w:p>
    <w:p w:rsidR="00A32067" w:rsidRDefault="00A32067">
      <w:pPr>
        <w:pStyle w:val="NormalWeb"/>
        <w:shd w:val="clear" w:color="auto" w:fill="FFFFFF"/>
        <w:spacing w:before="0" w:beforeAutospacing="0" w:after="0" w:afterAutospacing="0" w:line="360" w:lineRule="auto"/>
        <w:ind w:firstLine="420"/>
        <w:rPr>
          <w:rFonts w:ascii="Times New Roman" w:hAnsi="Times New Roman" w:cs="Times New Roman"/>
          <w:color w:val="333333"/>
          <w:spacing w:val="6"/>
          <w:sz w:val="22"/>
          <w:szCs w:val="22"/>
        </w:rPr>
      </w:pPr>
    </w:p>
    <w:p w:rsidR="00A32067" w:rsidRDefault="00A32067">
      <w:pPr>
        <w:pStyle w:val="NormalWeb"/>
        <w:shd w:val="clear" w:color="auto" w:fill="FFFFFF"/>
        <w:spacing w:before="0" w:beforeAutospacing="0" w:after="0" w:afterAutospacing="0" w:line="360" w:lineRule="auto"/>
        <w:ind w:firstLine="420"/>
        <w:jc w:val="right"/>
        <w:rPr>
          <w:rFonts w:ascii="Times New Roman" w:hAnsi="Times New Roman" w:cs="Times New Roman"/>
          <w:color w:val="333333"/>
          <w:spacing w:val="6"/>
          <w:sz w:val="22"/>
          <w:szCs w:val="22"/>
        </w:rPr>
      </w:pPr>
      <w:r>
        <w:rPr>
          <w:rFonts w:ascii="Times New Roman" w:hAnsi="Times New Roman" w:hint="eastAsia"/>
          <w:color w:val="333333"/>
          <w:spacing w:val="6"/>
          <w:sz w:val="22"/>
          <w:szCs w:val="22"/>
        </w:rPr>
        <w:t>中华人民共和国主席　习近平</w:t>
      </w:r>
    </w:p>
    <w:p w:rsidR="00A32067" w:rsidRDefault="00A32067">
      <w:pPr>
        <w:pStyle w:val="NormalWeb"/>
        <w:shd w:val="clear" w:color="auto" w:fill="FFFFFF"/>
        <w:spacing w:before="0" w:beforeAutospacing="0" w:after="0" w:afterAutospacing="0" w:line="360" w:lineRule="auto"/>
        <w:ind w:right="232" w:firstLine="420"/>
        <w:jc w:val="right"/>
        <w:rPr>
          <w:rFonts w:ascii="Times New Roman" w:hAnsi="Times New Roman" w:cs="Times New Roman"/>
          <w:color w:val="333333"/>
          <w:spacing w:val="6"/>
          <w:sz w:val="22"/>
          <w:szCs w:val="22"/>
        </w:rPr>
      </w:pPr>
      <w:r>
        <w:rPr>
          <w:rFonts w:ascii="Times New Roman" w:hAnsi="Times New Roman" w:hint="eastAsia"/>
          <w:color w:val="333333"/>
          <w:spacing w:val="6"/>
          <w:sz w:val="22"/>
          <w:szCs w:val="22"/>
        </w:rPr>
        <w:t xml:space="preserve">　</w:t>
      </w:r>
      <w:r>
        <w:rPr>
          <w:rFonts w:ascii="Times New Roman" w:hAnsi="Times New Roman" w:cs="Times New Roman"/>
          <w:color w:val="333333"/>
          <w:spacing w:val="6"/>
          <w:sz w:val="22"/>
          <w:szCs w:val="22"/>
        </w:rPr>
        <w:t>2014</w:t>
      </w:r>
      <w:r>
        <w:rPr>
          <w:rFonts w:ascii="Times New Roman" w:hAnsi="Times New Roman" w:hint="eastAsia"/>
          <w:color w:val="333333"/>
          <w:spacing w:val="6"/>
          <w:sz w:val="22"/>
          <w:szCs w:val="22"/>
        </w:rPr>
        <w:t>年</w:t>
      </w:r>
      <w:r>
        <w:rPr>
          <w:rFonts w:ascii="Times New Roman" w:hAnsi="Times New Roman" w:cs="Times New Roman"/>
          <w:color w:val="333333"/>
          <w:spacing w:val="6"/>
          <w:sz w:val="22"/>
          <w:szCs w:val="22"/>
        </w:rPr>
        <w:t>8</w:t>
      </w:r>
      <w:r>
        <w:rPr>
          <w:rFonts w:ascii="Times New Roman" w:hAnsi="Times New Roman" w:hint="eastAsia"/>
          <w:color w:val="333333"/>
          <w:spacing w:val="6"/>
          <w:sz w:val="22"/>
          <w:szCs w:val="22"/>
        </w:rPr>
        <w:t>月</w:t>
      </w:r>
      <w:r>
        <w:rPr>
          <w:rFonts w:ascii="Times New Roman" w:hAnsi="Times New Roman" w:cs="Times New Roman"/>
          <w:color w:val="333333"/>
          <w:spacing w:val="6"/>
          <w:sz w:val="22"/>
          <w:szCs w:val="22"/>
        </w:rPr>
        <w:t>31</w:t>
      </w:r>
      <w:r>
        <w:rPr>
          <w:rFonts w:ascii="Times New Roman" w:hAnsi="Times New Roman" w:hint="eastAsia"/>
          <w:color w:val="333333"/>
          <w:spacing w:val="6"/>
          <w:sz w:val="22"/>
          <w:szCs w:val="22"/>
        </w:rPr>
        <w:t>日</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第一条</w:t>
      </w:r>
      <w:r>
        <w:rPr>
          <w:rFonts w:cs="宋体" w:hint="eastAsia"/>
          <w:kern w:val="0"/>
          <w:sz w:val="22"/>
          <w:szCs w:val="22"/>
        </w:rPr>
        <w:t xml:space="preserve">　为了加强安全生产工作，防止和减少生产安全事故，保障人民群众生命和财产安全，促进经济社会持续健康发展，制定本法。</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第二条</w:t>
      </w:r>
      <w:r>
        <w:rPr>
          <w:rFonts w:cs="宋体" w:hint="eastAsia"/>
          <w:kern w:val="0"/>
          <w:sz w:val="22"/>
          <w:szCs w:val="22"/>
        </w:rPr>
        <w:t xml:space="preserve">　在中华人民共和国领域内从事生产经营活动的单位（以下统称生产经营单位）的安全生产及其监督管理，适用本法；有关法律、行政法规对消防安全和道路交通安全、铁路交通安全、水上交通安全、民用航空安全以及核与辐射安全、特种设备安全另有规定的，适用其规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第三条</w:t>
      </w:r>
      <w:r>
        <w:rPr>
          <w:rFonts w:cs="宋体" w:hint="eastAsia"/>
          <w:kern w:val="0"/>
          <w:sz w:val="22"/>
          <w:szCs w:val="22"/>
        </w:rPr>
        <w:t xml:space="preserve">　安全生产工作应当以人为本，坚持安全发展，坚持安全第一、预防为主、综合治理的方针，强化和落实生产经营单位的主体责任，建立生产经营单位负责、职工参与、政府监管、行业自律和社会监督的机制。</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第四条</w:t>
      </w:r>
      <w:r>
        <w:rPr>
          <w:rFonts w:cs="宋体" w:hint="eastAsia"/>
          <w:kern w:val="0"/>
          <w:sz w:val="22"/>
          <w:szCs w:val="22"/>
        </w:rPr>
        <w:t xml:space="preserve">　生产经营单位必须遵守本法和其他有关安全生产的法律、法规，加强安全生产管理，建立、健全安全生产责任制和安全生产规章制度，改善安全生产条件，推进安全生产标准化建设，提高安全生产水平，确保安全生产。</w:t>
      </w:r>
      <w:r>
        <w:rPr>
          <w:kern w:val="0"/>
          <w:sz w:val="22"/>
          <w:szCs w:val="22"/>
        </w:rPr>
        <w:t>”</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第五条</w:t>
      </w:r>
      <w:r>
        <w:rPr>
          <w:rFonts w:cs="宋体" w:hint="eastAsia"/>
          <w:kern w:val="0"/>
          <w:sz w:val="22"/>
          <w:szCs w:val="22"/>
        </w:rPr>
        <w:t xml:space="preserve">　生产经营单位的主要负责人对本单位的安全生产工作全面负责。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第六条</w:t>
      </w:r>
      <w:r>
        <w:rPr>
          <w:rFonts w:cs="宋体" w:hint="eastAsia"/>
          <w:kern w:val="0"/>
          <w:sz w:val="22"/>
          <w:szCs w:val="22"/>
        </w:rPr>
        <w:t xml:space="preserve">　生产经营单位的从业人员有依法获得安全生产保障的权利，并应当依法履行安全生产方面的义务。</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第七条</w:t>
      </w:r>
      <w:r>
        <w:rPr>
          <w:rFonts w:cs="宋体" w:hint="eastAsia"/>
          <w:kern w:val="0"/>
          <w:sz w:val="22"/>
          <w:szCs w:val="22"/>
        </w:rPr>
        <w:t xml:space="preserve">　工会依法对安全生产工作进行监督。生产经营单位的工会依法组织职工参加本单位安全生产工作的民主管理和民主监督，维护职工在安全生产方面的合法权益。生产经营单位制定或者修改有关安全生产的规章制度，应当听取工会的意见。</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第八条</w:t>
      </w:r>
      <w:r>
        <w:rPr>
          <w:rFonts w:cs="宋体" w:hint="eastAsia"/>
          <w:kern w:val="0"/>
          <w:sz w:val="22"/>
          <w:szCs w:val="22"/>
        </w:rPr>
        <w:t xml:space="preserve">　国务院和县级以上地方各级人民政府应当根据国民经济和社会发展规划制定安全生产规划，并组织实施。安全生产规划应当与城乡规划相衔接。</w:t>
      </w:r>
    </w:p>
    <w:p w:rsidR="00A32067" w:rsidRDefault="00A32067" w:rsidP="005431C7">
      <w:pPr>
        <w:spacing w:line="360" w:lineRule="auto"/>
        <w:ind w:firstLineChars="200" w:firstLine="31680"/>
        <w:rPr>
          <w:kern w:val="0"/>
          <w:sz w:val="22"/>
          <w:szCs w:val="22"/>
        </w:rPr>
      </w:pPr>
      <w:r>
        <w:rPr>
          <w:kern w:val="0"/>
          <w:sz w:val="22"/>
          <w:szCs w:val="22"/>
        </w:rPr>
        <w:t>“</w:t>
      </w:r>
      <w:r>
        <w:rPr>
          <w:rFonts w:cs="宋体" w:hint="eastAsia"/>
          <w:kern w:val="0"/>
          <w:sz w:val="22"/>
          <w:szCs w:val="22"/>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rsidR="00A32067" w:rsidRDefault="00A32067" w:rsidP="005431C7">
      <w:pPr>
        <w:spacing w:line="360" w:lineRule="auto"/>
        <w:ind w:firstLineChars="200" w:firstLine="31680"/>
        <w:rPr>
          <w:kern w:val="0"/>
          <w:sz w:val="22"/>
          <w:szCs w:val="22"/>
        </w:rPr>
      </w:pPr>
      <w:r>
        <w:rPr>
          <w:kern w:val="0"/>
          <w:sz w:val="22"/>
          <w:szCs w:val="22"/>
        </w:rPr>
        <w:t>“</w:t>
      </w:r>
      <w:r>
        <w:rPr>
          <w:rFonts w:cs="宋体" w:hint="eastAsia"/>
          <w:kern w:val="0"/>
          <w:sz w:val="22"/>
          <w:szCs w:val="22"/>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第九条</w:t>
      </w:r>
      <w:r>
        <w:rPr>
          <w:rFonts w:cs="宋体" w:hint="eastAsia"/>
          <w:kern w:val="0"/>
          <w:sz w:val="22"/>
          <w:szCs w:val="22"/>
        </w:rPr>
        <w:t xml:space="preserve">　国务院安全生产监督管理部门依照本法，对全国安全生产工作实施综合监督管理；县级以上地方各级人民政府安全生产监督管理部门依照本法，对本行政区域内安全生产工作实施综合监督管理。</w:t>
      </w:r>
    </w:p>
    <w:p w:rsidR="00A32067" w:rsidRDefault="00A32067" w:rsidP="005431C7">
      <w:pPr>
        <w:spacing w:line="360" w:lineRule="auto"/>
        <w:ind w:firstLineChars="200" w:firstLine="31680"/>
        <w:rPr>
          <w:kern w:val="0"/>
          <w:sz w:val="22"/>
          <w:szCs w:val="22"/>
        </w:rPr>
      </w:pPr>
      <w:r>
        <w:rPr>
          <w:rFonts w:cs="宋体" w:hint="eastAsia"/>
          <w:kern w:val="0"/>
          <w:sz w:val="22"/>
          <w:szCs w:val="22"/>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rsidR="00A32067" w:rsidRDefault="00A32067" w:rsidP="005431C7">
      <w:pPr>
        <w:spacing w:line="360" w:lineRule="auto"/>
        <w:ind w:firstLineChars="200" w:firstLine="31680"/>
        <w:rPr>
          <w:kern w:val="0"/>
          <w:sz w:val="22"/>
          <w:szCs w:val="22"/>
        </w:rPr>
      </w:pPr>
      <w:r>
        <w:rPr>
          <w:rFonts w:cs="宋体" w:hint="eastAsia"/>
          <w:kern w:val="0"/>
          <w:sz w:val="22"/>
          <w:szCs w:val="22"/>
        </w:rPr>
        <w:t>安全生产监督管理部门和对有关行业、领域的安全生产工作实施监督管理的部门，统称负有安全生产监督管理职责的部门。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第十条</w:t>
      </w:r>
      <w:r>
        <w:rPr>
          <w:rFonts w:cs="宋体" w:hint="eastAsia"/>
          <w:kern w:val="0"/>
          <w:sz w:val="22"/>
          <w:szCs w:val="22"/>
        </w:rPr>
        <w:t xml:space="preserve">　国务院有关部门应当按照保障安全生产的要求，依法及时制定有关的国家标准或者行业标准，并根据科技进步和经济发展适时修订。</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生产经营单位必须执行依法制定的保障安全生产的国家标准或者行业标准。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第十一条</w:t>
      </w:r>
      <w:r>
        <w:rPr>
          <w:rFonts w:cs="宋体" w:hint="eastAsia"/>
          <w:kern w:val="0"/>
          <w:sz w:val="22"/>
          <w:szCs w:val="22"/>
        </w:rPr>
        <w:t xml:space="preserve">　各级人民政府及其有关部门应当采取多种形式，加强对有关安全生产的法律、法规和安全生产知识的宣传，增强全社会的安全生产意识。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第十二条</w:t>
      </w:r>
      <w:r>
        <w:rPr>
          <w:kern w:val="0"/>
          <w:sz w:val="22"/>
          <w:szCs w:val="22"/>
        </w:rPr>
        <w:t> </w:t>
      </w:r>
      <w:r>
        <w:rPr>
          <w:rFonts w:cs="宋体" w:hint="eastAsia"/>
          <w:kern w:val="0"/>
          <w:sz w:val="22"/>
          <w:szCs w:val="22"/>
        </w:rPr>
        <w:t>有关协会组织依照法律、行政法规和章程，为生产经营单位提供安全生产方面的信息、培训等服务，发挥自律作用，促进生产经营单位加强安全生产管理。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第十三条</w:t>
      </w:r>
      <w:r>
        <w:rPr>
          <w:rFonts w:cs="宋体" w:hint="eastAsia"/>
          <w:kern w:val="0"/>
          <w:sz w:val="22"/>
          <w:szCs w:val="22"/>
        </w:rPr>
        <w:t>依法设立的为安全生产提供技术、管理服务的机构，依照法律、行政法规和执业准则，接受生产经营单位的委托为其安全生产工作提供技术、管理服务。</w:t>
      </w:r>
    </w:p>
    <w:p w:rsidR="00A32067" w:rsidRDefault="00A32067" w:rsidP="005431C7">
      <w:pPr>
        <w:spacing w:line="360" w:lineRule="auto"/>
        <w:ind w:firstLineChars="200" w:firstLine="31680"/>
        <w:rPr>
          <w:kern w:val="0"/>
          <w:sz w:val="22"/>
          <w:szCs w:val="22"/>
        </w:rPr>
      </w:pPr>
      <w:r>
        <w:rPr>
          <w:kern w:val="0"/>
          <w:sz w:val="22"/>
          <w:szCs w:val="22"/>
        </w:rPr>
        <w:t>“</w:t>
      </w:r>
      <w:r>
        <w:rPr>
          <w:rFonts w:cs="宋体" w:hint="eastAsia"/>
          <w:kern w:val="0"/>
          <w:sz w:val="22"/>
          <w:szCs w:val="22"/>
        </w:rPr>
        <w:t>生产经营单位委托前款规定的机构提供安全生产技术、管理服务的，保证安全生产的责任仍由本单位负责。</w:t>
      </w:r>
      <w:r>
        <w:rPr>
          <w:kern w:val="0"/>
          <w:sz w:val="22"/>
          <w:szCs w:val="22"/>
        </w:rPr>
        <w:t>”</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第十四条</w:t>
      </w:r>
      <w:r>
        <w:rPr>
          <w:rFonts w:cs="宋体" w:hint="eastAsia"/>
          <w:kern w:val="0"/>
          <w:sz w:val="22"/>
          <w:szCs w:val="22"/>
        </w:rPr>
        <w:t xml:space="preserve">　国家实行生产安全事故责任追究制度，依照本法和有关法律、法规的规定，追究生产安全事故责任人员的法律责任。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第十五条</w:t>
      </w:r>
      <w:r>
        <w:rPr>
          <w:kern w:val="0"/>
          <w:sz w:val="22"/>
          <w:szCs w:val="22"/>
        </w:rPr>
        <w:t> </w:t>
      </w:r>
      <w:r>
        <w:rPr>
          <w:rFonts w:cs="宋体" w:hint="eastAsia"/>
          <w:kern w:val="0"/>
          <w:sz w:val="22"/>
          <w:szCs w:val="22"/>
        </w:rPr>
        <w:t>国家鼓励和支持安全生产科学技术研究和安全生产先进技术的推广应用，提高安全生产水平。</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第十六条</w:t>
      </w:r>
      <w:r>
        <w:rPr>
          <w:rFonts w:cs="宋体" w:hint="eastAsia"/>
          <w:kern w:val="0"/>
          <w:sz w:val="22"/>
          <w:szCs w:val="22"/>
        </w:rPr>
        <w:t xml:space="preserve">　国家对在改善安全生产条件、防止生产安全事故、参加抢险救护等方面取得显著成绩的单位和个人，给予奖励。</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第二章生产经营单位的安全生产保障</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第十七条</w:t>
      </w:r>
      <w:r>
        <w:rPr>
          <w:rFonts w:cs="宋体" w:hint="eastAsia"/>
          <w:kern w:val="0"/>
          <w:sz w:val="22"/>
          <w:szCs w:val="22"/>
        </w:rPr>
        <w:t>生产经营单位应当具备本法和有关法律、行政法规和国家标准或者行业标准规定的安全生产条件；不具备安全生产条件的，不得从事生产经营活动。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第十八条</w:t>
      </w:r>
      <w:r>
        <w:rPr>
          <w:rFonts w:cs="宋体" w:hint="eastAsia"/>
          <w:kern w:val="0"/>
          <w:sz w:val="22"/>
          <w:szCs w:val="22"/>
        </w:rPr>
        <w:t>生产经营单位的主要负责人对本单位安全生产工作负有下列职责：</w:t>
      </w:r>
    </w:p>
    <w:p w:rsidR="00A32067" w:rsidRDefault="00A32067" w:rsidP="005431C7">
      <w:pPr>
        <w:spacing w:line="360" w:lineRule="auto"/>
        <w:ind w:firstLineChars="200" w:firstLine="31680"/>
        <w:rPr>
          <w:kern w:val="0"/>
          <w:sz w:val="22"/>
          <w:szCs w:val="22"/>
        </w:rPr>
      </w:pPr>
      <w:r>
        <w:rPr>
          <w:rFonts w:cs="宋体" w:hint="eastAsia"/>
          <w:kern w:val="0"/>
          <w:sz w:val="22"/>
          <w:szCs w:val="22"/>
        </w:rPr>
        <w:t>（一）建立、健全本单位安全生产责任制</w:t>
      </w:r>
    </w:p>
    <w:p w:rsidR="00A32067" w:rsidRDefault="00A32067" w:rsidP="005431C7">
      <w:pPr>
        <w:spacing w:line="360" w:lineRule="auto"/>
        <w:ind w:firstLineChars="200" w:firstLine="31680"/>
        <w:rPr>
          <w:kern w:val="0"/>
          <w:sz w:val="22"/>
          <w:szCs w:val="22"/>
        </w:rPr>
      </w:pPr>
      <w:r>
        <w:rPr>
          <w:rFonts w:cs="宋体" w:hint="eastAsia"/>
          <w:kern w:val="0"/>
          <w:sz w:val="22"/>
          <w:szCs w:val="22"/>
        </w:rPr>
        <w:t>（二）组织制定本单位安全生产规章制度和操作规程</w:t>
      </w:r>
    </w:p>
    <w:p w:rsidR="00A32067" w:rsidRDefault="00A32067" w:rsidP="005431C7">
      <w:pPr>
        <w:spacing w:line="360" w:lineRule="auto"/>
        <w:ind w:firstLineChars="200" w:firstLine="31680"/>
        <w:rPr>
          <w:kern w:val="0"/>
          <w:sz w:val="22"/>
          <w:szCs w:val="22"/>
        </w:rPr>
      </w:pPr>
      <w:r>
        <w:rPr>
          <w:rFonts w:cs="宋体" w:hint="eastAsia"/>
          <w:kern w:val="0"/>
          <w:sz w:val="22"/>
          <w:szCs w:val="22"/>
        </w:rPr>
        <w:t>（三）组织制定并实施本单位安全生产教育和培训计划</w:t>
      </w:r>
    </w:p>
    <w:p w:rsidR="00A32067" w:rsidRDefault="00A32067" w:rsidP="005431C7">
      <w:pPr>
        <w:spacing w:line="360" w:lineRule="auto"/>
        <w:ind w:firstLineChars="200" w:firstLine="31680"/>
        <w:rPr>
          <w:kern w:val="0"/>
          <w:sz w:val="22"/>
          <w:szCs w:val="22"/>
        </w:rPr>
      </w:pPr>
      <w:r>
        <w:rPr>
          <w:rFonts w:cs="宋体" w:hint="eastAsia"/>
          <w:kern w:val="0"/>
          <w:sz w:val="22"/>
          <w:szCs w:val="22"/>
        </w:rPr>
        <w:t>（四）保证本单位安全生产投入的有效实施</w:t>
      </w:r>
    </w:p>
    <w:p w:rsidR="00A32067" w:rsidRDefault="00A32067" w:rsidP="005431C7">
      <w:pPr>
        <w:spacing w:line="360" w:lineRule="auto"/>
        <w:ind w:firstLineChars="200" w:firstLine="31680"/>
        <w:rPr>
          <w:kern w:val="0"/>
          <w:sz w:val="22"/>
          <w:szCs w:val="22"/>
        </w:rPr>
      </w:pPr>
      <w:r>
        <w:rPr>
          <w:rFonts w:cs="宋体" w:hint="eastAsia"/>
          <w:kern w:val="0"/>
          <w:sz w:val="22"/>
          <w:szCs w:val="22"/>
        </w:rPr>
        <w:t>（五）督促、检查本单位的安全生产工作，及时消除生产安全事故隐患</w:t>
      </w:r>
    </w:p>
    <w:p w:rsidR="00A32067" w:rsidRDefault="00A32067" w:rsidP="005431C7">
      <w:pPr>
        <w:spacing w:line="360" w:lineRule="auto"/>
        <w:ind w:firstLineChars="200" w:firstLine="31680"/>
        <w:rPr>
          <w:kern w:val="0"/>
          <w:sz w:val="22"/>
          <w:szCs w:val="22"/>
        </w:rPr>
      </w:pPr>
      <w:r>
        <w:rPr>
          <w:rFonts w:cs="宋体" w:hint="eastAsia"/>
          <w:kern w:val="0"/>
          <w:sz w:val="22"/>
          <w:szCs w:val="22"/>
        </w:rPr>
        <w:t>（六）组织制定并实施本单位的生产安全事故应急救援预案</w:t>
      </w:r>
    </w:p>
    <w:p w:rsidR="00A32067" w:rsidRDefault="00A32067" w:rsidP="005431C7">
      <w:pPr>
        <w:spacing w:line="360" w:lineRule="auto"/>
        <w:ind w:firstLineChars="200" w:firstLine="31680"/>
        <w:rPr>
          <w:kern w:val="0"/>
          <w:sz w:val="22"/>
          <w:szCs w:val="22"/>
        </w:rPr>
      </w:pPr>
      <w:r>
        <w:rPr>
          <w:rFonts w:cs="宋体" w:hint="eastAsia"/>
          <w:kern w:val="0"/>
          <w:sz w:val="22"/>
          <w:szCs w:val="22"/>
        </w:rPr>
        <w:t>（七）及时、如实报告生产安全事故。</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第十九条</w:t>
      </w:r>
      <w:r>
        <w:rPr>
          <w:rFonts w:cs="宋体" w:hint="eastAsia"/>
          <w:kern w:val="0"/>
          <w:sz w:val="22"/>
          <w:szCs w:val="22"/>
        </w:rPr>
        <w:t>生产经营单位的安全生产责任制应当明确各岗位的责任人员、责任范围和考核标准等内容。</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生产经营单位应当建立相应的机制，加强对安全生产责任制落实情况的监督考核，保证安全生产责任制的落实。</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第二十条</w:t>
      </w:r>
      <w:r>
        <w:rPr>
          <w:rFonts w:cs="宋体" w:hint="eastAsia"/>
          <w:kern w:val="0"/>
          <w:sz w:val="22"/>
          <w:szCs w:val="22"/>
        </w:rPr>
        <w:t>生产经营单位应当具备的安全生产条件所必需的资金投入，由生产经营单位的决策机构、主要负责人或者个人经营的投资人予以保证，并对由于安全生产所必需的资金投入不足导致的后果承担责任。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第二十一条</w:t>
      </w:r>
      <w:r>
        <w:rPr>
          <w:rFonts w:cs="宋体" w:hint="eastAsia"/>
          <w:kern w:val="0"/>
          <w:sz w:val="22"/>
          <w:szCs w:val="22"/>
        </w:rPr>
        <w:t>矿山、金属冶炼、建筑施工、道路运输单位和危险物品的生产、经营、储存单位，应当设置安全生产管理机构或者配备专职安全生产管理人员。</w:t>
      </w:r>
    </w:p>
    <w:p w:rsidR="00A32067" w:rsidRDefault="00A32067" w:rsidP="005431C7">
      <w:pPr>
        <w:spacing w:line="360" w:lineRule="auto"/>
        <w:ind w:firstLineChars="200" w:firstLine="31680"/>
        <w:rPr>
          <w:kern w:val="0"/>
          <w:sz w:val="22"/>
          <w:szCs w:val="22"/>
        </w:rPr>
      </w:pPr>
      <w:r>
        <w:rPr>
          <w:kern w:val="0"/>
          <w:sz w:val="22"/>
          <w:szCs w:val="22"/>
        </w:rPr>
        <w:t>“</w:t>
      </w:r>
      <w:r>
        <w:rPr>
          <w:rFonts w:cs="宋体" w:hint="eastAsia"/>
          <w:kern w:val="0"/>
          <w:sz w:val="22"/>
          <w:szCs w:val="22"/>
        </w:rPr>
        <w:t>前款规定以外的其他生产经营单位，从业人员超过一百人的，应当设置安全生产管理机构或者配备专职安全生产管理人员；从业人员在一百人以下的，应当配备专职或者兼职的安全生产管理人员。</w:t>
      </w:r>
      <w:r>
        <w:rPr>
          <w:kern w:val="0"/>
          <w:sz w:val="22"/>
          <w:szCs w:val="22"/>
        </w:rPr>
        <w:t>”</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第二十二条</w:t>
      </w:r>
      <w:r>
        <w:rPr>
          <w:rFonts w:cs="宋体" w:hint="eastAsia"/>
          <w:kern w:val="0"/>
          <w:sz w:val="22"/>
          <w:szCs w:val="22"/>
        </w:rPr>
        <w:t>生产经营单位的安全生产管理机构以及安全生产管理人员履行下列职责：</w:t>
      </w:r>
    </w:p>
    <w:p w:rsidR="00A32067" w:rsidRDefault="00A32067" w:rsidP="005431C7">
      <w:pPr>
        <w:spacing w:line="360" w:lineRule="auto"/>
        <w:ind w:firstLineChars="200" w:firstLine="31680"/>
        <w:rPr>
          <w:kern w:val="0"/>
          <w:sz w:val="22"/>
          <w:szCs w:val="22"/>
        </w:rPr>
      </w:pPr>
      <w:r>
        <w:rPr>
          <w:rFonts w:cs="宋体" w:hint="eastAsia"/>
          <w:kern w:val="0"/>
          <w:sz w:val="22"/>
          <w:szCs w:val="22"/>
        </w:rPr>
        <w:t>（一）组织或者参与拟订本单位安全生产规章制度、操作规程和生产安全事故应急救援预案；</w:t>
      </w:r>
    </w:p>
    <w:p w:rsidR="00A32067" w:rsidRDefault="00A32067" w:rsidP="005431C7">
      <w:pPr>
        <w:spacing w:line="360" w:lineRule="auto"/>
        <w:ind w:firstLineChars="200" w:firstLine="31680"/>
        <w:rPr>
          <w:kern w:val="0"/>
          <w:sz w:val="22"/>
          <w:szCs w:val="22"/>
        </w:rPr>
      </w:pPr>
      <w:r>
        <w:rPr>
          <w:rFonts w:cs="宋体" w:hint="eastAsia"/>
          <w:kern w:val="0"/>
          <w:sz w:val="22"/>
          <w:szCs w:val="22"/>
        </w:rPr>
        <w:t>（二）组织或者参与本单位安全生产教育和培训，如实记录安全生产教育和培训情况；</w:t>
      </w:r>
    </w:p>
    <w:p w:rsidR="00A32067" w:rsidRDefault="00A32067" w:rsidP="005431C7">
      <w:pPr>
        <w:spacing w:line="360" w:lineRule="auto"/>
        <w:ind w:firstLineChars="200" w:firstLine="31680"/>
        <w:rPr>
          <w:kern w:val="0"/>
          <w:sz w:val="22"/>
          <w:szCs w:val="22"/>
        </w:rPr>
      </w:pPr>
      <w:r>
        <w:rPr>
          <w:rFonts w:cs="宋体" w:hint="eastAsia"/>
          <w:kern w:val="0"/>
          <w:sz w:val="22"/>
          <w:szCs w:val="22"/>
        </w:rPr>
        <w:t>（三）督促落实本单位重大危险源的安全管理措施；</w:t>
      </w:r>
    </w:p>
    <w:p w:rsidR="00A32067" w:rsidRDefault="00A32067" w:rsidP="005431C7">
      <w:pPr>
        <w:spacing w:line="360" w:lineRule="auto"/>
        <w:ind w:firstLineChars="200" w:firstLine="31680"/>
        <w:rPr>
          <w:kern w:val="0"/>
          <w:sz w:val="22"/>
          <w:szCs w:val="22"/>
        </w:rPr>
      </w:pPr>
      <w:r>
        <w:rPr>
          <w:rFonts w:cs="宋体" w:hint="eastAsia"/>
          <w:kern w:val="0"/>
          <w:sz w:val="22"/>
          <w:szCs w:val="22"/>
        </w:rPr>
        <w:t>（四）组织或者参与本单位应急救援演练；</w:t>
      </w:r>
    </w:p>
    <w:p w:rsidR="00A32067" w:rsidRDefault="00A32067" w:rsidP="005431C7">
      <w:pPr>
        <w:spacing w:line="360" w:lineRule="auto"/>
        <w:ind w:firstLineChars="200" w:firstLine="31680"/>
        <w:rPr>
          <w:kern w:val="0"/>
          <w:sz w:val="22"/>
          <w:szCs w:val="22"/>
        </w:rPr>
      </w:pPr>
      <w:r>
        <w:rPr>
          <w:rFonts w:cs="宋体" w:hint="eastAsia"/>
          <w:kern w:val="0"/>
          <w:sz w:val="22"/>
          <w:szCs w:val="22"/>
        </w:rPr>
        <w:t>（五）检查本单位的安全生产状况，及时排查生产安全事故隐患，提出改进安全生产管理的建议；</w:t>
      </w:r>
    </w:p>
    <w:p w:rsidR="00A32067" w:rsidRDefault="00A32067" w:rsidP="005431C7">
      <w:pPr>
        <w:spacing w:line="360" w:lineRule="auto"/>
        <w:ind w:firstLineChars="200" w:firstLine="31680"/>
        <w:rPr>
          <w:kern w:val="0"/>
          <w:sz w:val="22"/>
          <w:szCs w:val="22"/>
        </w:rPr>
      </w:pPr>
      <w:r>
        <w:rPr>
          <w:rFonts w:cs="宋体" w:hint="eastAsia"/>
          <w:kern w:val="0"/>
          <w:sz w:val="22"/>
          <w:szCs w:val="22"/>
        </w:rPr>
        <w:t>（六）制止和纠正违章指挥、强令冒险作业、违反操作规程的行为；</w:t>
      </w:r>
    </w:p>
    <w:p w:rsidR="00A32067" w:rsidRDefault="00A32067" w:rsidP="005431C7">
      <w:pPr>
        <w:spacing w:line="360" w:lineRule="auto"/>
        <w:ind w:firstLineChars="200" w:firstLine="31680"/>
        <w:rPr>
          <w:kern w:val="0"/>
          <w:sz w:val="22"/>
          <w:szCs w:val="22"/>
        </w:rPr>
      </w:pPr>
      <w:r>
        <w:rPr>
          <w:rFonts w:cs="宋体" w:hint="eastAsia"/>
          <w:kern w:val="0"/>
          <w:sz w:val="22"/>
          <w:szCs w:val="22"/>
        </w:rPr>
        <w:t>（七）督促落实本单位安全生产整改措施。</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第二十三条</w:t>
      </w:r>
      <w:r>
        <w:rPr>
          <w:rFonts w:cs="宋体" w:hint="eastAsia"/>
          <w:kern w:val="0"/>
          <w:sz w:val="22"/>
          <w:szCs w:val="22"/>
        </w:rPr>
        <w:t>生产经营单位的安全生产管理机构以及安全生产管理人员应当恪尽职守，依法履行职责。</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生产经营单位作出涉及安全生产的经营决策，应当听取安全生产管理机构以及安全生产管理人员的意见。</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生产经营单位不得因安全生产管理人员依法履行职责而降低其工资、福利等待遇或者解除与其订立的劳动合同。</w:t>
      </w:r>
    </w:p>
    <w:p w:rsidR="00A32067" w:rsidRDefault="00A32067" w:rsidP="005431C7">
      <w:pPr>
        <w:spacing w:line="360" w:lineRule="auto"/>
        <w:ind w:firstLineChars="200" w:firstLine="31680"/>
        <w:rPr>
          <w:kern w:val="0"/>
          <w:sz w:val="22"/>
          <w:szCs w:val="22"/>
        </w:rPr>
      </w:pPr>
      <w:r>
        <w:rPr>
          <w:rFonts w:cs="宋体" w:hint="eastAsia"/>
          <w:kern w:val="0"/>
          <w:sz w:val="22"/>
          <w:szCs w:val="22"/>
        </w:rPr>
        <w:t>危险物品的生产、储存单位以及矿山、金属冶炼单位的安全生产管理人员的任免，应当告知主管的负有安全生产监督管理职责的部门。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第二十四条</w:t>
      </w:r>
      <w:r>
        <w:rPr>
          <w:rFonts w:cs="宋体" w:hint="eastAsia"/>
          <w:kern w:val="0"/>
          <w:sz w:val="22"/>
          <w:szCs w:val="22"/>
        </w:rPr>
        <w:t>生产经营单位的主要负责人和安全生产管理人员必须具备与本单位所从事的生产经营活动相应的安全生产知识和管理能力。</w:t>
      </w:r>
    </w:p>
    <w:p w:rsidR="00A32067" w:rsidRDefault="00A32067" w:rsidP="005431C7">
      <w:pPr>
        <w:spacing w:line="360" w:lineRule="auto"/>
        <w:ind w:firstLineChars="200" w:firstLine="31680"/>
        <w:rPr>
          <w:kern w:val="0"/>
          <w:sz w:val="22"/>
          <w:szCs w:val="22"/>
        </w:rPr>
      </w:pPr>
      <w:r>
        <w:rPr>
          <w:rFonts w:cs="宋体" w:hint="eastAsia"/>
          <w:kern w:val="0"/>
          <w:sz w:val="22"/>
          <w:szCs w:val="22"/>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rsidR="00A32067" w:rsidRDefault="00A32067" w:rsidP="005431C7">
      <w:pPr>
        <w:spacing w:line="360" w:lineRule="auto"/>
        <w:ind w:firstLineChars="200" w:firstLine="31680"/>
        <w:rPr>
          <w:kern w:val="0"/>
          <w:sz w:val="22"/>
          <w:szCs w:val="22"/>
        </w:rPr>
      </w:pPr>
      <w:r>
        <w:rPr>
          <w:rFonts w:cs="宋体" w:hint="eastAsia"/>
          <w:kern w:val="0"/>
          <w:sz w:val="22"/>
          <w:szCs w:val="22"/>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第二十五条</w:t>
      </w:r>
      <w:r>
        <w:rPr>
          <w:rFonts w:cs="宋体" w:hint="eastAsia"/>
          <w:kern w:val="0"/>
          <w:sz w:val="22"/>
          <w:szCs w:val="22"/>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生产经营单位接收中等职业学校、高等学校学生实习的，应当对实习学生进行相应的安全生产教育和培训，提供必要的劳动防护用品。学校应当协助生产经营单位对实习学生进行安全生产教育和培训。</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生产经营单位应当建立安全生产教育和培训档案，如实记录安全生产教育和培训的时间、内容、参加人员以及考核结果等情况。</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第二十六条</w:t>
      </w:r>
      <w:r>
        <w:rPr>
          <w:rFonts w:cs="宋体" w:hint="eastAsia"/>
          <w:kern w:val="0"/>
          <w:sz w:val="22"/>
          <w:szCs w:val="22"/>
        </w:rPr>
        <w:t>生产经营单位采用新工艺、新技术、新材料或者使用新设备，必须了解、掌握其安全技术特性，采取有效的安全防护措施，并对从业人员进行专门的安全生产教育和培训。</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第二十七条</w:t>
      </w:r>
      <w:r>
        <w:rPr>
          <w:rFonts w:cs="宋体" w:hint="eastAsia"/>
          <w:kern w:val="0"/>
          <w:sz w:val="22"/>
          <w:szCs w:val="22"/>
        </w:rPr>
        <w:t>生产经营单位的特种作业人员必须按照国家有关规定经专门的安全作业培训，取得相应资格，方可上岗作业。</w:t>
      </w:r>
    </w:p>
    <w:p w:rsidR="00A32067" w:rsidRDefault="00A32067" w:rsidP="005431C7">
      <w:pPr>
        <w:spacing w:line="360" w:lineRule="auto"/>
        <w:ind w:firstLineChars="200" w:firstLine="31680"/>
        <w:rPr>
          <w:kern w:val="0"/>
          <w:sz w:val="22"/>
          <w:szCs w:val="22"/>
        </w:rPr>
      </w:pPr>
      <w:r>
        <w:rPr>
          <w:rFonts w:cs="宋体" w:hint="eastAsia"/>
          <w:kern w:val="0"/>
          <w:sz w:val="22"/>
          <w:szCs w:val="22"/>
        </w:rPr>
        <w:t>特种作业人员的范围由国务院安全生产监督管理部门会同国务院有关部门确定。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第二十八条</w:t>
      </w:r>
      <w:r>
        <w:rPr>
          <w:rFonts w:cs="宋体" w:hint="eastAsia"/>
          <w:kern w:val="0"/>
          <w:sz w:val="22"/>
          <w:szCs w:val="22"/>
        </w:rPr>
        <w:t>生产经营单位新建、改建、扩建工程项目（以下统称建设项目）的安全设施，必须与主体工程同时设计、同时施工、同时投入生产和使用。安全设施投资应当纳入建设项目概算。</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第二十九条</w:t>
      </w:r>
      <w:r>
        <w:rPr>
          <w:rFonts w:cs="宋体" w:hint="eastAsia"/>
          <w:kern w:val="0"/>
          <w:sz w:val="22"/>
          <w:szCs w:val="22"/>
        </w:rPr>
        <w:t>矿山、金属冶炼建设项目和用于生产、储存、装卸危险物品的建设项目，应当按照国家有关规定进行安全评价。</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第三十条</w:t>
      </w:r>
      <w:r>
        <w:rPr>
          <w:rFonts w:cs="宋体" w:hint="eastAsia"/>
          <w:kern w:val="0"/>
          <w:sz w:val="22"/>
          <w:szCs w:val="22"/>
        </w:rPr>
        <w:t>建设项目安全设施的设计人、设计单位应当对安全设施设计负责。</w:t>
      </w:r>
    </w:p>
    <w:p w:rsidR="00A32067" w:rsidRDefault="00A32067" w:rsidP="005431C7">
      <w:pPr>
        <w:spacing w:line="360" w:lineRule="auto"/>
        <w:ind w:firstLineChars="200" w:firstLine="31680"/>
        <w:rPr>
          <w:kern w:val="0"/>
          <w:sz w:val="22"/>
          <w:szCs w:val="22"/>
        </w:rPr>
      </w:pPr>
      <w:r>
        <w:rPr>
          <w:rFonts w:cs="宋体" w:hint="eastAsia"/>
          <w:kern w:val="0"/>
          <w:sz w:val="22"/>
          <w:szCs w:val="22"/>
        </w:rPr>
        <w:t>矿山建设项目和用于生产、储存危险物品的建设项目的安全设施设计应当按照国家有关规定报经有关部门审查，审查部门及其负责审查的人员对审查结果负责。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第三十一条</w:t>
      </w:r>
      <w:r>
        <w:rPr>
          <w:rFonts w:cs="宋体" w:hint="eastAsia"/>
          <w:kern w:val="0"/>
          <w:sz w:val="22"/>
          <w:szCs w:val="22"/>
        </w:rPr>
        <w:t>矿山、金属冶炼建设项目和用于生产、储存、装卸危险物品的建设项目的施工单位必须按照批准的安全设施设计施工，并对安全设施的工程质量负责。</w:t>
      </w:r>
    </w:p>
    <w:p w:rsidR="00A32067" w:rsidRDefault="00A32067" w:rsidP="005431C7">
      <w:pPr>
        <w:spacing w:line="360" w:lineRule="auto"/>
        <w:ind w:firstLineChars="200" w:firstLine="31680"/>
        <w:rPr>
          <w:kern w:val="0"/>
          <w:sz w:val="22"/>
          <w:szCs w:val="22"/>
        </w:rPr>
      </w:pPr>
      <w:r>
        <w:rPr>
          <w:rFonts w:cs="宋体" w:hint="eastAsia"/>
          <w:kern w:val="0"/>
          <w:sz w:val="22"/>
          <w:szCs w:val="22"/>
        </w:rPr>
        <w:t>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第三十二条</w:t>
      </w:r>
      <w:r>
        <w:rPr>
          <w:rFonts w:cs="宋体" w:hint="eastAsia"/>
          <w:kern w:val="0"/>
          <w:sz w:val="22"/>
          <w:szCs w:val="22"/>
        </w:rPr>
        <w:t>生产经营单位应当在有较大危险因素的生产经营场所和有关设施、设备上，设置明显的安全警示标志。</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第三十三条</w:t>
      </w:r>
      <w:r>
        <w:rPr>
          <w:rFonts w:cs="宋体" w:hint="eastAsia"/>
          <w:kern w:val="0"/>
          <w:sz w:val="22"/>
          <w:szCs w:val="22"/>
        </w:rPr>
        <w:t>安全设备的设计、制造、安装、使用、检测、维修、改造和报废，应当符合国家标准或者行业标准。</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生产经营单位必须对安全设备进行经常性维护、保养，并定期检测，保证正常运转。维护、保养、检测应当作好记录，并由有关人员签字。</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第三十四条</w:t>
      </w:r>
      <w:r>
        <w:rPr>
          <w:rFonts w:cs="宋体" w:hint="eastAsia"/>
          <w:kern w:val="0"/>
          <w:sz w:val="22"/>
          <w:szCs w:val="22"/>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第三十五条</w:t>
      </w:r>
      <w:r>
        <w:rPr>
          <w:rFonts w:cs="宋体" w:hint="eastAsia"/>
          <w:kern w:val="0"/>
          <w:sz w:val="22"/>
          <w:szCs w:val="22"/>
        </w:rPr>
        <w:t>国家对严重危及生产安全的工艺、设备实行淘汰制度，具体目录由国务院安全生产监督管理部门会同国务院有关部门制定并公布。法律、行政法规对目录的制定另有规定的，适用其规定。</w:t>
      </w:r>
    </w:p>
    <w:p w:rsidR="00A32067" w:rsidRDefault="00A32067" w:rsidP="005431C7">
      <w:pPr>
        <w:spacing w:line="360" w:lineRule="auto"/>
        <w:ind w:firstLineChars="200" w:firstLine="31680"/>
        <w:rPr>
          <w:kern w:val="0"/>
          <w:sz w:val="22"/>
          <w:szCs w:val="22"/>
        </w:rPr>
      </w:pPr>
      <w:r>
        <w:rPr>
          <w:rFonts w:cs="宋体" w:hint="eastAsia"/>
          <w:kern w:val="0"/>
          <w:sz w:val="22"/>
          <w:szCs w:val="22"/>
        </w:rPr>
        <w:t>省、自治区、直辖市人民政府可以根据本地区实际情况制定并公布具体目录，对前款规定以外的危及生产安全的工艺、设备予以淘汰。</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生产经营单位不得使用应当淘汰的危及生产安全的工艺、设备。</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第三十六条</w:t>
      </w:r>
      <w:r>
        <w:rPr>
          <w:rFonts w:cs="宋体" w:hint="eastAsia"/>
          <w:kern w:val="0"/>
          <w:sz w:val="22"/>
          <w:szCs w:val="22"/>
        </w:rPr>
        <w:t>生产经营单位应当建立健全生产安全事故隐患排查治理制度，采取技术、管理措施，及时发现并消除事故隐患。事故隐患排查治理情况应当如实记录，并向从业人员通报。</w:t>
      </w:r>
    </w:p>
    <w:p w:rsidR="00A32067" w:rsidRDefault="00A32067" w:rsidP="005431C7">
      <w:pPr>
        <w:spacing w:line="360" w:lineRule="auto"/>
        <w:ind w:firstLineChars="200" w:firstLine="31680"/>
        <w:rPr>
          <w:kern w:val="0"/>
          <w:sz w:val="22"/>
          <w:szCs w:val="22"/>
        </w:rPr>
      </w:pPr>
      <w:r>
        <w:rPr>
          <w:rFonts w:cs="宋体" w:hint="eastAsia"/>
          <w:kern w:val="0"/>
          <w:sz w:val="22"/>
          <w:szCs w:val="22"/>
        </w:rPr>
        <w:t>县级以上地方各级人民政府安全生产监督管理职责部门应当建立健全重大事故隐患治理督办制度，督促生产经营单位消除重大事故隐患。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第三十七条</w:t>
      </w:r>
      <w:r>
        <w:rPr>
          <w:rFonts w:cs="宋体" w:hint="eastAsia"/>
          <w:kern w:val="0"/>
          <w:sz w:val="22"/>
          <w:szCs w:val="22"/>
        </w:rPr>
        <w:t>生产、经营、运输、储存、使用危险物品或者处置废弃危险物品的，由有关主管部门依照有关法律、法规的规定和国家标准或者行业标准审批并实施监督管理。</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第三十八条</w:t>
      </w:r>
      <w:r>
        <w:rPr>
          <w:rFonts w:cs="宋体" w:hint="eastAsia"/>
          <w:kern w:val="0"/>
          <w:sz w:val="22"/>
          <w:szCs w:val="22"/>
        </w:rPr>
        <w:t>生产经营单位对重大危险源应当登记建档，进行定期检测、评估、监控，并制定应急预案，告知从业人员和相关人员在紧急情况下应当采取的应急措施。</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生产经营单位应当按照国家有关规定将本单位重大危险源及有关安全措施、应急措施报有关地方人民政府负责安全生产监督管理的部门和有关部门备案。</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第三十九条</w:t>
      </w:r>
      <w:r>
        <w:rPr>
          <w:rFonts w:cs="宋体" w:hint="eastAsia"/>
          <w:kern w:val="0"/>
          <w:sz w:val="22"/>
          <w:szCs w:val="22"/>
        </w:rPr>
        <w:t>生产、经营、储存、使用危险物品的车间、商店、仓库不得与员工宿舍在同一座建筑物内，并应当与员工宿舍保持安全距离。</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生产经营场所和员工宿舍应当设有符合紧急疏散要求、标志明显、保持畅通的出口。禁止锁闭、封堵生产经营场所或者员工宿舍的出口。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第四十条</w:t>
      </w:r>
      <w:r>
        <w:rPr>
          <w:rFonts w:cs="宋体" w:hint="eastAsia"/>
          <w:kern w:val="0"/>
          <w:sz w:val="22"/>
          <w:szCs w:val="22"/>
        </w:rPr>
        <w:t>生产经营单位进行爆破、吊装以及国务院安全生产监督管理部门会同国务院有关部门规定的其他危险作业，应当安排专门人员进行现场安全管理，确保操作规程的遵守和安全措施的落实。</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第四十一条</w:t>
      </w:r>
      <w:r>
        <w:rPr>
          <w:rFonts w:cs="宋体" w:hint="eastAsia"/>
          <w:kern w:val="0"/>
          <w:sz w:val="22"/>
          <w:szCs w:val="22"/>
        </w:rPr>
        <w:t>生产经营单位应当教育和督促从业人员严格执行本单位的安全生产规章制度和安全操作规程；并向从业人员如实告知作业场所和工作岗位存在的危险因素、防范措施以及事故应急措施。</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第四十二条</w:t>
      </w:r>
      <w:r>
        <w:rPr>
          <w:rFonts w:cs="宋体" w:hint="eastAsia"/>
          <w:kern w:val="0"/>
          <w:sz w:val="22"/>
          <w:szCs w:val="22"/>
        </w:rPr>
        <w:t>生产经营单位必须为从业人员提供符合国家标准或者行业标准的劳动防护用品，并监督、教育从业人员按照使用规则佩戴、使用。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第四十三条</w:t>
      </w:r>
      <w:r>
        <w:rPr>
          <w:rFonts w:cs="宋体" w:hint="eastAsia"/>
          <w:kern w:val="0"/>
          <w:sz w:val="22"/>
          <w:szCs w:val="22"/>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第四十四条</w:t>
      </w:r>
      <w:r>
        <w:rPr>
          <w:rFonts w:cs="宋体" w:hint="eastAsia"/>
          <w:kern w:val="0"/>
          <w:sz w:val="22"/>
          <w:szCs w:val="22"/>
        </w:rPr>
        <w:t>生产经营单位应当安排用于配备劳动防护用品、进行安全生产培训的经费。</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第四十五条</w:t>
      </w:r>
      <w:r>
        <w:rPr>
          <w:rFonts w:cs="宋体" w:hint="eastAsia"/>
          <w:kern w:val="0"/>
          <w:sz w:val="22"/>
          <w:szCs w:val="22"/>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第四十六条</w:t>
      </w:r>
      <w:r>
        <w:rPr>
          <w:rFonts w:cs="宋体" w:hint="eastAsia"/>
          <w:kern w:val="0"/>
          <w:sz w:val="22"/>
          <w:szCs w:val="22"/>
        </w:rPr>
        <w:t>生产经营单位不得将生产经营项目、场所、设备发包或者出租给不具备安全生产条件或者相应资质的单位或者个人。</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第四十七条</w:t>
      </w:r>
      <w:r>
        <w:rPr>
          <w:rFonts w:cs="宋体" w:hint="eastAsia"/>
          <w:kern w:val="0"/>
          <w:sz w:val="22"/>
          <w:szCs w:val="22"/>
        </w:rPr>
        <w:t>生产经营单位发生生产安全事故时，单位的主要负责人应当立即组织抢救，并不得在事故调查处理期间擅离职守。</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第四十八条</w:t>
      </w:r>
      <w:r>
        <w:rPr>
          <w:rFonts w:cs="宋体" w:hint="eastAsia"/>
          <w:kern w:val="0"/>
          <w:sz w:val="22"/>
          <w:szCs w:val="22"/>
        </w:rPr>
        <w:t>生产经营单位必须依法参加工伤保险，为从业人员缴纳保险费。</w:t>
      </w:r>
    </w:p>
    <w:p w:rsidR="00A32067" w:rsidRDefault="00A32067" w:rsidP="005431C7">
      <w:pPr>
        <w:spacing w:line="360" w:lineRule="auto"/>
        <w:ind w:firstLineChars="200" w:firstLine="31680"/>
        <w:rPr>
          <w:kern w:val="0"/>
          <w:sz w:val="22"/>
          <w:szCs w:val="22"/>
        </w:rPr>
      </w:pPr>
      <w:r>
        <w:rPr>
          <w:rFonts w:cs="宋体" w:hint="eastAsia"/>
          <w:kern w:val="0"/>
          <w:sz w:val="22"/>
          <w:szCs w:val="22"/>
        </w:rPr>
        <w:t>国家鼓励生产经营单位投保安全生产责任保险。</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第三章从业人员的安全生产权利义务</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第四十九条</w:t>
      </w:r>
      <w:r>
        <w:rPr>
          <w:rFonts w:cs="宋体" w:hint="eastAsia"/>
          <w:kern w:val="0"/>
          <w:sz w:val="22"/>
          <w:szCs w:val="22"/>
        </w:rPr>
        <w:t>生产经营单位与从业人员订立的劳动合同，应当载明有关保障从业人员劳动安全、防止职业危害的事项，以及依法为从业人员办理工伤保险的事项。</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生产经营单位不得以任何形式与从业人员订立协议，免除或者减轻其对从业人员因生产安全事故伤亡依法应承担的责任。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第五十条</w:t>
      </w:r>
      <w:r>
        <w:rPr>
          <w:rFonts w:cs="宋体" w:hint="eastAsia"/>
          <w:kern w:val="0"/>
          <w:sz w:val="22"/>
          <w:szCs w:val="22"/>
        </w:rPr>
        <w:t>生产经营单位的从业人员有权了解其作业场所和工作岗位存在的危险因素、防范措施及事故应急措施，有权对本单位的安全生产工作提出建议。</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第五十一条</w:t>
      </w:r>
      <w:r>
        <w:rPr>
          <w:rFonts w:cs="宋体" w:hint="eastAsia"/>
          <w:kern w:val="0"/>
          <w:sz w:val="22"/>
          <w:szCs w:val="22"/>
        </w:rPr>
        <w:t>从业人员有权对本单位安全生产工作中存在的问题提出批评、检举、控告；有权拒绝违章指挥和强令冒险作业。</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生产经营单位不得因从业人员对本单位安全生产工作提出批评、检举、控告或者拒绝违章指挥、强令冒险作业而降低其工资、福利等待遇或者解除与其订立的劳动合同。</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第五十二条</w:t>
      </w:r>
      <w:r>
        <w:rPr>
          <w:rFonts w:cs="宋体" w:hint="eastAsia"/>
          <w:kern w:val="0"/>
          <w:sz w:val="22"/>
          <w:szCs w:val="22"/>
        </w:rPr>
        <w:t>从业人员发现直接危及人身安全的紧急情况时，有权停止作业或者在采取可能的应急措施后撤离作业场所。</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生产经营单位不得因从业人员在前款紧急情况下停止作业或者采取紧急撤离措施而降低其工资、福利等待遇或者解除与其订立的劳动合同。</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第五十三条</w:t>
      </w:r>
      <w:r>
        <w:rPr>
          <w:rFonts w:cs="宋体" w:hint="eastAsia"/>
          <w:kern w:val="0"/>
          <w:sz w:val="22"/>
          <w:szCs w:val="22"/>
        </w:rPr>
        <w:t>因生产安全事故受到损害的从业人员，除依法享有工伤保险外，依照有关民事法律尚有获得赔偿的权利的，有权向本单位提出赔偿要求。</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第五十四条</w:t>
      </w:r>
      <w:r>
        <w:rPr>
          <w:rFonts w:cs="宋体" w:hint="eastAsia"/>
          <w:kern w:val="0"/>
          <w:sz w:val="22"/>
          <w:szCs w:val="22"/>
        </w:rPr>
        <w:t>从业人员在作业过程中，应当严格遵守本单位的安全生产规章制度和操作规程，服从管理，正确佩戴和使用劳动防护用品。</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第五十五条</w:t>
      </w:r>
      <w:r>
        <w:rPr>
          <w:rFonts w:cs="宋体" w:hint="eastAsia"/>
          <w:kern w:val="0"/>
          <w:sz w:val="22"/>
          <w:szCs w:val="22"/>
        </w:rPr>
        <w:t>从业人员应当接受安全生产教育和培训，掌握本职工作所需的安全生产知识，提高安全生产技能，增强事故预防和应急处理能力。</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第五十六条</w:t>
      </w:r>
      <w:r>
        <w:rPr>
          <w:rFonts w:cs="宋体" w:hint="eastAsia"/>
          <w:kern w:val="0"/>
          <w:sz w:val="22"/>
          <w:szCs w:val="22"/>
        </w:rPr>
        <w:t>从业人员发现事故隐患或者其他不安全因素，应当立即向现场安全生产管理人员或者本单位负责人报告；接到报告的人员应当及时予以处理。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第五十七条</w:t>
      </w:r>
      <w:r>
        <w:rPr>
          <w:rFonts w:cs="宋体" w:hint="eastAsia"/>
          <w:kern w:val="0"/>
          <w:sz w:val="22"/>
          <w:szCs w:val="22"/>
        </w:rPr>
        <w:t>工会有权对建设项目的安全设施与主体工程同时设计、同时施工、同时投入生产和使用进行监督，提出意见。</w:t>
      </w:r>
    </w:p>
    <w:p w:rsidR="00A32067" w:rsidRDefault="00A32067" w:rsidP="005431C7">
      <w:pPr>
        <w:spacing w:line="360" w:lineRule="auto"/>
        <w:ind w:firstLineChars="200" w:firstLine="31680"/>
        <w:rPr>
          <w:kern w:val="0"/>
          <w:sz w:val="22"/>
          <w:szCs w:val="22"/>
        </w:rPr>
      </w:pPr>
      <w:r>
        <w:rPr>
          <w:rFonts w:cs="宋体" w:hint="eastAsia"/>
          <w:kern w:val="0"/>
          <w:sz w:val="22"/>
          <w:szCs w:val="22"/>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rsidR="00A32067" w:rsidRDefault="00A32067" w:rsidP="005431C7">
      <w:pPr>
        <w:spacing w:line="360" w:lineRule="auto"/>
        <w:ind w:firstLineChars="200" w:firstLine="31680"/>
        <w:rPr>
          <w:kern w:val="0"/>
          <w:sz w:val="22"/>
          <w:szCs w:val="22"/>
        </w:rPr>
      </w:pPr>
      <w:r>
        <w:rPr>
          <w:rFonts w:cs="宋体" w:hint="eastAsia"/>
          <w:kern w:val="0"/>
          <w:sz w:val="22"/>
          <w:szCs w:val="22"/>
        </w:rPr>
        <w:t>工会有权依法参加事故调查，向有关部门提出处理意见，并要求追究有关人员的责任。</w:t>
      </w:r>
    </w:p>
    <w:p w:rsidR="00A32067" w:rsidRDefault="00A32067" w:rsidP="005431C7">
      <w:pPr>
        <w:spacing w:line="360" w:lineRule="auto"/>
        <w:ind w:firstLineChars="200" w:firstLine="31680"/>
        <w:rPr>
          <w:rFonts w:eastAsia="微软雅黑"/>
          <w:kern w:val="0"/>
          <w:sz w:val="24"/>
          <w:szCs w:val="24"/>
        </w:rPr>
      </w:pPr>
      <w:r>
        <w:rPr>
          <w:rFonts w:cs="宋体" w:hint="eastAsia"/>
          <w:b/>
          <w:bCs/>
          <w:kern w:val="0"/>
          <w:sz w:val="22"/>
          <w:szCs w:val="22"/>
        </w:rPr>
        <w:t>第五十八条</w:t>
      </w:r>
      <w:r>
        <w:rPr>
          <w:rFonts w:cs="宋体" w:hint="eastAsia"/>
          <w:kern w:val="0"/>
          <w:sz w:val="22"/>
          <w:szCs w:val="22"/>
        </w:rPr>
        <w:t>生产经营单位使用被派遣劳动者的，被派遣劳动者享有本法规定的从业人员的权利，并应当履行本法规定的从业人员的义务。</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第四章安全生产的监督管理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第五十九条</w:t>
      </w:r>
      <w:r>
        <w:rPr>
          <w:rFonts w:cs="宋体" w:hint="eastAsia"/>
          <w:kern w:val="0"/>
          <w:sz w:val="22"/>
          <w:szCs w:val="22"/>
        </w:rPr>
        <w:t>县级以上地方各级人民政府应当根据本行政区域内的安全生产状况，组织有关部门按照职责分工，对本行政区域内容易发生重大生产安全事故的生产经营单位进行严格检查。</w:t>
      </w:r>
    </w:p>
    <w:p w:rsidR="00A32067" w:rsidRDefault="00A32067" w:rsidP="005431C7">
      <w:pPr>
        <w:spacing w:line="360" w:lineRule="auto"/>
        <w:ind w:firstLineChars="200" w:firstLine="31680"/>
        <w:rPr>
          <w:kern w:val="0"/>
          <w:sz w:val="22"/>
          <w:szCs w:val="22"/>
        </w:rPr>
      </w:pPr>
      <w:r>
        <w:rPr>
          <w:rFonts w:cs="宋体" w:hint="eastAsia"/>
          <w:kern w:val="0"/>
          <w:sz w:val="22"/>
          <w:szCs w:val="22"/>
        </w:rPr>
        <w:t>安全生产监督管理部门应当按照分类分级监督管理的要求，制定安全生产年度监督检查计划，并按照年度监督检查计划进行监督检查，发现事故隐患，应当及时处理。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第六十条</w:t>
      </w:r>
      <w:r>
        <w:rPr>
          <w:rFonts w:cs="宋体" w:hint="eastAsia"/>
          <w:kern w:val="0"/>
          <w:sz w:val="22"/>
          <w:szCs w:val="22"/>
        </w:rP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第六十一条</w:t>
      </w:r>
      <w:r>
        <w:rPr>
          <w:rFonts w:cs="宋体" w:hint="eastAsia"/>
          <w:kern w:val="0"/>
          <w:sz w:val="22"/>
          <w:szCs w:val="22"/>
        </w:rPr>
        <w:t>负有安全生产监督管理职责的部门对涉及安全生产的事项进行审查、验收，不得收取费用；不得要求接受审查、验收的单位购买其指定品牌或者指定生产、销售单位的安全设备、器材或者其他产品。</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第六十二条</w:t>
      </w:r>
      <w:r>
        <w:rPr>
          <w:rFonts w:cs="宋体" w:hint="eastAsia"/>
          <w:kern w:val="0"/>
          <w:sz w:val="22"/>
          <w:szCs w:val="22"/>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rsidR="00A32067" w:rsidRDefault="00A32067" w:rsidP="005431C7">
      <w:pPr>
        <w:spacing w:line="360" w:lineRule="auto"/>
        <w:ind w:firstLineChars="200" w:firstLine="31680"/>
        <w:rPr>
          <w:kern w:val="0"/>
          <w:sz w:val="22"/>
          <w:szCs w:val="22"/>
        </w:rPr>
      </w:pPr>
      <w:r>
        <w:rPr>
          <w:rFonts w:cs="宋体" w:hint="eastAsia"/>
          <w:kern w:val="0"/>
          <w:sz w:val="22"/>
          <w:szCs w:val="22"/>
        </w:rPr>
        <w:t>（一）进入生产经营单位进行检查，调阅有关资料，向有关单位和人员了解情况；</w:t>
      </w:r>
    </w:p>
    <w:p w:rsidR="00A32067" w:rsidRDefault="00A32067" w:rsidP="005431C7">
      <w:pPr>
        <w:spacing w:line="360" w:lineRule="auto"/>
        <w:ind w:firstLineChars="200" w:firstLine="31680"/>
        <w:rPr>
          <w:kern w:val="0"/>
          <w:sz w:val="22"/>
          <w:szCs w:val="22"/>
        </w:rPr>
      </w:pPr>
      <w:r>
        <w:rPr>
          <w:rFonts w:cs="宋体" w:hint="eastAsia"/>
          <w:kern w:val="0"/>
          <w:sz w:val="22"/>
          <w:szCs w:val="22"/>
        </w:rPr>
        <w:t>（二）对检查中发现的安全生产违法行为，当场予以纠正或者要求限期改正；对依法应当给予行政处罚的行为，依照本法和其他有关法律、行政法规的规定作出行政处罚决定；</w:t>
      </w:r>
    </w:p>
    <w:p w:rsidR="00A32067" w:rsidRDefault="00A32067" w:rsidP="005431C7">
      <w:pPr>
        <w:spacing w:line="360" w:lineRule="auto"/>
        <w:ind w:firstLineChars="200" w:firstLine="31680"/>
        <w:rPr>
          <w:kern w:val="0"/>
          <w:sz w:val="22"/>
          <w:szCs w:val="22"/>
        </w:rPr>
      </w:pPr>
      <w:r>
        <w:rPr>
          <w:rFonts w:cs="宋体" w:hint="eastAsia"/>
          <w:kern w:val="0"/>
          <w:sz w:val="22"/>
          <w:szCs w:val="22"/>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rsidR="00A32067" w:rsidRDefault="00A32067" w:rsidP="005431C7">
      <w:pPr>
        <w:spacing w:line="360" w:lineRule="auto"/>
        <w:ind w:firstLineChars="200" w:firstLine="31680"/>
        <w:rPr>
          <w:kern w:val="0"/>
          <w:sz w:val="22"/>
          <w:szCs w:val="22"/>
        </w:rPr>
      </w:pPr>
      <w:r>
        <w:rPr>
          <w:rFonts w:cs="宋体" w:hint="eastAsia"/>
          <w:kern w:val="0"/>
          <w:sz w:val="22"/>
          <w:szCs w:val="22"/>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第六十三条</w:t>
      </w:r>
      <w:r>
        <w:rPr>
          <w:rFonts w:cs="宋体" w:hint="eastAsia"/>
          <w:kern w:val="0"/>
          <w:sz w:val="22"/>
          <w:szCs w:val="22"/>
        </w:rPr>
        <w:t>生产经营单位对负有安全生产监督管理职责的部门的监督检查人员（以下统称安全生产监督检查人员）依法履行监督检查职责，应当予以配合，不得拒绝、阻挠。</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第六十四条</w:t>
      </w:r>
      <w:r>
        <w:rPr>
          <w:rFonts w:cs="宋体" w:hint="eastAsia"/>
          <w:kern w:val="0"/>
          <w:sz w:val="22"/>
          <w:szCs w:val="22"/>
        </w:rPr>
        <w:t>安全生产监督检查人员应当忠于职守，坚持原则，秉公执法。</w:t>
      </w:r>
    </w:p>
    <w:p w:rsidR="00A32067" w:rsidRDefault="00A32067" w:rsidP="005431C7">
      <w:pPr>
        <w:spacing w:line="360" w:lineRule="auto"/>
        <w:ind w:firstLineChars="200" w:firstLine="31680"/>
        <w:rPr>
          <w:kern w:val="0"/>
          <w:sz w:val="22"/>
          <w:szCs w:val="22"/>
        </w:rPr>
      </w:pPr>
      <w:r>
        <w:rPr>
          <w:rFonts w:cs="宋体" w:hint="eastAsia"/>
          <w:kern w:val="0"/>
          <w:sz w:val="22"/>
          <w:szCs w:val="22"/>
        </w:rPr>
        <w:t>安全生产监督检查人员执行监督检查任务时，必须出示有效的监督执法证件；对涉及被检查单位的技术秘密和业务秘密，应当为其保密。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第六十五条</w:t>
      </w:r>
      <w:r>
        <w:rPr>
          <w:rFonts w:cs="宋体" w:hint="eastAsia"/>
          <w:kern w:val="0"/>
          <w:sz w:val="22"/>
          <w:szCs w:val="22"/>
        </w:rP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第六十六条</w:t>
      </w:r>
      <w:r>
        <w:rPr>
          <w:rFonts w:cs="宋体" w:hint="eastAsia"/>
          <w:kern w:val="0"/>
          <w:sz w:val="22"/>
          <w:szCs w:val="22"/>
        </w:rP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第六十七条</w:t>
      </w:r>
      <w:r>
        <w:rPr>
          <w:rFonts w:cs="宋体" w:hint="eastAsia"/>
          <w:kern w:val="0"/>
          <w:sz w:val="22"/>
          <w:szCs w:val="22"/>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rsidR="00A32067" w:rsidRDefault="00A32067" w:rsidP="005431C7">
      <w:pPr>
        <w:spacing w:line="360" w:lineRule="auto"/>
        <w:ind w:firstLineChars="200" w:firstLine="31680"/>
        <w:rPr>
          <w:kern w:val="0"/>
          <w:sz w:val="22"/>
          <w:szCs w:val="22"/>
        </w:rPr>
      </w:pPr>
      <w:r>
        <w:rPr>
          <w:rFonts w:cs="宋体" w:hint="eastAsia"/>
          <w:kern w:val="0"/>
          <w:sz w:val="22"/>
          <w:szCs w:val="22"/>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第六十八条</w:t>
      </w:r>
      <w:r>
        <w:rPr>
          <w:rFonts w:cs="宋体" w:hint="eastAsia"/>
          <w:kern w:val="0"/>
          <w:sz w:val="22"/>
          <w:szCs w:val="22"/>
        </w:rPr>
        <w:t>监察机关依照行政监察法的规定，对负有安全生产监督管理职责的部门及其工作人员履行安全生产监督管理职责实施监察。</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第六十九条</w:t>
      </w:r>
      <w:r>
        <w:rPr>
          <w:rFonts w:cs="宋体" w:hint="eastAsia"/>
          <w:kern w:val="0"/>
          <w:sz w:val="22"/>
          <w:szCs w:val="22"/>
        </w:rPr>
        <w:t>承担安全评价、认证、检测、检验的机构应当具备国家规定的资质条件，并对其作出的安全评价、认证、检测、检验的结果负责。</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第七十条</w:t>
      </w:r>
      <w:r>
        <w:rPr>
          <w:rFonts w:cs="宋体" w:hint="eastAsia"/>
          <w:kern w:val="0"/>
          <w:sz w:val="22"/>
          <w:szCs w:val="22"/>
        </w:rPr>
        <w:t>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第七十一条</w:t>
      </w:r>
      <w:r>
        <w:rPr>
          <w:rFonts w:cs="宋体" w:hint="eastAsia"/>
          <w:kern w:val="0"/>
          <w:sz w:val="22"/>
          <w:szCs w:val="22"/>
        </w:rPr>
        <w:t>任何单位或者个人对事故隐患或者安全生产违法行为，均有权向负有安全生产监督管理职责的部门报告或者举报。</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第七十二条</w:t>
      </w:r>
      <w:r>
        <w:rPr>
          <w:rFonts w:cs="宋体" w:hint="eastAsia"/>
          <w:kern w:val="0"/>
          <w:sz w:val="22"/>
          <w:szCs w:val="22"/>
        </w:rPr>
        <w:t>居民委员会、村民委员会发现其所在区域内的生产经营单位存在事故隐患或者安全生产违法行为时，应当向当地人民政府或者有关部门报告。</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第七十三条</w:t>
      </w:r>
      <w:r>
        <w:rPr>
          <w:rFonts w:cs="宋体" w:hint="eastAsia"/>
          <w:kern w:val="0"/>
          <w:sz w:val="22"/>
          <w:szCs w:val="22"/>
        </w:rPr>
        <w:t>县级以上各级人民政府及其有关部门对报告重大事故隐患或者举报安全生产违法行为的有功人员，给予奖励。具体奖励办法由国务院安全生产监督管理部门会同国务院财政部门制定。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第七十四条</w:t>
      </w:r>
      <w:r>
        <w:rPr>
          <w:rFonts w:cs="宋体" w:hint="eastAsia"/>
          <w:kern w:val="0"/>
          <w:sz w:val="22"/>
          <w:szCs w:val="22"/>
        </w:rPr>
        <w:t>新闻、出版、广播、电影、电视等单位有进行安全生产公益宣传教育的义务，有对违反安全生产法律、法规的行为进行舆论监督的权利。</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第七十五条</w:t>
      </w:r>
      <w:r>
        <w:rPr>
          <w:rFonts w:cs="宋体" w:hint="eastAsia"/>
          <w:kern w:val="0"/>
          <w:sz w:val="22"/>
          <w:szCs w:val="22"/>
        </w:rPr>
        <w:t>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第七十六条</w:t>
      </w:r>
      <w:r>
        <w:rPr>
          <w:rFonts w:cs="宋体" w:hint="eastAsia"/>
          <w:kern w:val="0"/>
          <w:sz w:val="22"/>
          <w:szCs w:val="22"/>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rsidR="00A32067" w:rsidRDefault="00A32067" w:rsidP="005431C7">
      <w:pPr>
        <w:spacing w:line="360" w:lineRule="auto"/>
        <w:ind w:firstLineChars="200" w:firstLine="31680"/>
        <w:rPr>
          <w:kern w:val="0"/>
          <w:sz w:val="22"/>
          <w:szCs w:val="22"/>
        </w:rPr>
      </w:pPr>
      <w:r>
        <w:rPr>
          <w:rFonts w:cs="宋体" w:hint="eastAsia"/>
          <w:kern w:val="0"/>
          <w:sz w:val="22"/>
          <w:szCs w:val="22"/>
        </w:rPr>
        <w:t>国务院安全生产监督管理部门建立全国统一的生产安全事故应急救援信息系统，国务院有关部门建立健全相关行业、领域的生产安全事故应急救援信息系统。</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第五章生产安全事故的应急救援与调查处理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第七十七条</w:t>
      </w:r>
      <w:r>
        <w:rPr>
          <w:rFonts w:cs="宋体" w:hint="eastAsia"/>
          <w:kern w:val="0"/>
          <w:sz w:val="22"/>
          <w:szCs w:val="22"/>
        </w:rPr>
        <w:t>县级以上地方各级人民政府应当组织有关部门制定本行政区域内生产安全事故应急救援预案，建立应急救援体系。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第七十八条</w:t>
      </w:r>
      <w:r>
        <w:rPr>
          <w:rFonts w:cs="宋体" w:hint="eastAsia"/>
          <w:kern w:val="0"/>
          <w:sz w:val="22"/>
          <w:szCs w:val="22"/>
        </w:rPr>
        <w:t>生产经营单位应当制定本单位生产安全事故应急救援预案，与所在地县级以上地方人民政府组织制定的生产安全事故应急救援预案相衔接，并定期组织演练。</w:t>
      </w:r>
      <w:r>
        <w:rPr>
          <w:kern w:val="0"/>
          <w:sz w:val="22"/>
          <w:szCs w:val="22"/>
        </w:rPr>
        <w:t>”</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第七十九条</w:t>
      </w:r>
      <w:r>
        <w:rPr>
          <w:rFonts w:cs="宋体" w:hint="eastAsia"/>
          <w:kern w:val="0"/>
          <w:sz w:val="22"/>
          <w:szCs w:val="22"/>
        </w:rPr>
        <w:t>危险物品的生产、经营、储存单位以及矿山、金属冶炼、城市轨道交通运营、建筑施工单位应当建立应急救援组织；生产经营规模较小的，可以不建立应急救援组织，但应当指定兼职的应急救援人员。</w:t>
      </w:r>
    </w:p>
    <w:p w:rsidR="00A32067" w:rsidRDefault="00A32067" w:rsidP="005431C7">
      <w:pPr>
        <w:spacing w:line="360" w:lineRule="auto"/>
        <w:ind w:firstLineChars="200" w:firstLine="31680"/>
        <w:rPr>
          <w:kern w:val="0"/>
          <w:sz w:val="22"/>
          <w:szCs w:val="22"/>
        </w:rPr>
      </w:pPr>
      <w:r>
        <w:rPr>
          <w:rFonts w:cs="宋体" w:hint="eastAsia"/>
          <w:kern w:val="0"/>
          <w:sz w:val="22"/>
          <w:szCs w:val="22"/>
        </w:rPr>
        <w:t>危险物品的生产、经营、储存、运输单位以及矿山、金属冶炼、城市轨道交通运营、建筑施工单位应当配备必要的应急救援器材、设备和物资，并进行经常性维护、保养，保证正常运转。</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第八十条</w:t>
      </w:r>
      <w:r>
        <w:rPr>
          <w:rFonts w:cs="宋体" w:hint="eastAsia"/>
          <w:kern w:val="0"/>
          <w:sz w:val="22"/>
          <w:szCs w:val="22"/>
        </w:rPr>
        <w:t>生产经营单位发生生产安全事故后，事故现场有关人员应当立即报告本单位负责人。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第八十一条</w:t>
      </w:r>
      <w:r>
        <w:rPr>
          <w:rFonts w:cs="宋体" w:hint="eastAsia"/>
          <w:kern w:val="0"/>
          <w:sz w:val="22"/>
          <w:szCs w:val="22"/>
        </w:rPr>
        <w:t>负有安全生产监督管理职责的部门接到事故报告后，应当立即按照国家有关规定上报事故情况。负有安全生产监督管理职责的部门和有关地方人民政府对事故情况不得隐瞒不报、谎报或者迟报。</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第八十二条</w:t>
      </w:r>
      <w:r>
        <w:rPr>
          <w:rFonts w:cs="宋体" w:hint="eastAsia"/>
          <w:kern w:val="0"/>
          <w:sz w:val="22"/>
          <w:szCs w:val="22"/>
        </w:rPr>
        <w:t>有关地方人民政府和负有安全生产监督管理职责的部门的负责人接到生产安全事故报告后，应当按照生产安全事故应急救援预案的要求立即赶到事故现场，组织事故抢救。</w:t>
      </w:r>
    </w:p>
    <w:p w:rsidR="00A32067" w:rsidRDefault="00A32067" w:rsidP="005431C7">
      <w:pPr>
        <w:spacing w:line="360" w:lineRule="auto"/>
        <w:ind w:firstLineChars="200" w:firstLine="31680"/>
        <w:rPr>
          <w:kern w:val="0"/>
          <w:sz w:val="22"/>
          <w:szCs w:val="22"/>
        </w:rPr>
      </w:pPr>
      <w:r>
        <w:rPr>
          <w:rFonts w:cs="宋体" w:hint="eastAsia"/>
          <w:kern w:val="0"/>
          <w:sz w:val="22"/>
          <w:szCs w:val="22"/>
        </w:rPr>
        <w:t>参与事故抢救的部门和单位应当服从统一指挥，加强协同联动，采取有效的应急救援措施，并根据事故救援的需要采取警戒、疏散等措施，防止事故扩大和次生灾害的发生，减少人员伤亡和财产损失。</w:t>
      </w:r>
    </w:p>
    <w:p w:rsidR="00A32067" w:rsidRDefault="00A32067" w:rsidP="005431C7">
      <w:pPr>
        <w:spacing w:line="360" w:lineRule="auto"/>
        <w:ind w:firstLineChars="200" w:firstLine="31680"/>
        <w:rPr>
          <w:kern w:val="0"/>
          <w:sz w:val="22"/>
          <w:szCs w:val="22"/>
        </w:rPr>
      </w:pPr>
      <w:r>
        <w:rPr>
          <w:rFonts w:cs="宋体" w:hint="eastAsia"/>
          <w:kern w:val="0"/>
          <w:sz w:val="22"/>
          <w:szCs w:val="22"/>
        </w:rPr>
        <w:t>事故抢救过程中应当采取必要措施，避免或者减少对环境造成的危害。</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第八十三条</w:t>
      </w:r>
      <w:r>
        <w:rPr>
          <w:rFonts w:cs="宋体" w:hint="eastAsia"/>
          <w:kern w:val="0"/>
          <w:sz w:val="22"/>
          <w:szCs w:val="22"/>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rsidR="00A32067" w:rsidRDefault="00A32067" w:rsidP="005431C7">
      <w:pPr>
        <w:spacing w:line="360" w:lineRule="auto"/>
        <w:ind w:firstLineChars="200" w:firstLine="31680"/>
        <w:rPr>
          <w:kern w:val="0"/>
          <w:sz w:val="22"/>
          <w:szCs w:val="22"/>
        </w:rPr>
      </w:pPr>
      <w:r>
        <w:rPr>
          <w:rFonts w:cs="宋体" w:hint="eastAsia"/>
          <w:kern w:val="0"/>
          <w:sz w:val="22"/>
          <w:szCs w:val="22"/>
        </w:rPr>
        <w:t>事故发生单位应当及时全面落实整改措施，负有安全生产监督管理职责的部门应当加强监督检查。</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第八十四条</w:t>
      </w:r>
      <w:r>
        <w:rPr>
          <w:rFonts w:cs="宋体" w:hint="eastAsia"/>
          <w:kern w:val="0"/>
          <w:sz w:val="22"/>
          <w:szCs w:val="22"/>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七十七条的规定追究法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第八十五条</w:t>
      </w:r>
      <w:r>
        <w:rPr>
          <w:rFonts w:cs="宋体" w:hint="eastAsia"/>
          <w:kern w:val="0"/>
          <w:sz w:val="22"/>
          <w:szCs w:val="22"/>
        </w:rPr>
        <w:t>任何单位和个人不得阻挠和干涉对事故的依法调查处理。</w:t>
      </w:r>
    </w:p>
    <w:p w:rsidR="00A32067" w:rsidRDefault="00A32067" w:rsidP="005431C7">
      <w:pPr>
        <w:spacing w:line="360" w:lineRule="auto"/>
        <w:ind w:firstLineChars="200" w:firstLine="31680"/>
        <w:rPr>
          <w:rFonts w:eastAsia="微软雅黑"/>
          <w:kern w:val="0"/>
          <w:sz w:val="24"/>
          <w:szCs w:val="24"/>
        </w:rPr>
      </w:pPr>
      <w:r>
        <w:rPr>
          <w:rFonts w:cs="宋体" w:hint="eastAsia"/>
          <w:b/>
          <w:bCs/>
          <w:kern w:val="0"/>
          <w:sz w:val="22"/>
          <w:szCs w:val="22"/>
        </w:rPr>
        <w:t>第八十六条</w:t>
      </w:r>
      <w:r>
        <w:rPr>
          <w:rFonts w:cs="宋体" w:hint="eastAsia"/>
          <w:kern w:val="0"/>
          <w:sz w:val="22"/>
          <w:szCs w:val="22"/>
        </w:rPr>
        <w:t>县级以上地方各级人民政府安全生产监督管理部门应当定期统计分析本行政区域内发生生产安全事故的情况，并定期向社会公布。</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第六章法律责任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第八十七条</w:t>
      </w:r>
      <w:r>
        <w:rPr>
          <w:rFonts w:cs="宋体" w:hint="eastAsia"/>
          <w:kern w:val="0"/>
          <w:sz w:val="22"/>
          <w:szCs w:val="22"/>
        </w:rPr>
        <w:t>负有安全生产监督管理职责的部门的工作人员，有下列行为之一的，给予降级或者撤职的处分；构成犯罪的，依照刑法有关规定追究刑事责任：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（一）对不符合法定安全生产条件的涉及安全生产的事项予以批准或者验收通过的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（二）发现未依法取得批准、验收的单位擅自从事有关活动或者接到举报后不予取缔或者不依法予以处理的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（三）对已经依法取得批准的单位不履行监督管理职责，发现其不再具备安全生产条件而不撤销原批准或者发现安全生产违法行为不予查处的。</w:t>
      </w:r>
    </w:p>
    <w:p w:rsidR="00A32067" w:rsidRDefault="00A32067" w:rsidP="005431C7">
      <w:pPr>
        <w:spacing w:line="360" w:lineRule="auto"/>
        <w:ind w:firstLineChars="200" w:firstLine="31680"/>
        <w:rPr>
          <w:kern w:val="0"/>
          <w:sz w:val="22"/>
          <w:szCs w:val="22"/>
        </w:rPr>
      </w:pPr>
      <w:r>
        <w:rPr>
          <w:rFonts w:cs="宋体" w:hint="eastAsia"/>
          <w:kern w:val="0"/>
          <w:sz w:val="22"/>
          <w:szCs w:val="22"/>
        </w:rPr>
        <w:t>（四）在监督检查中发现重大事故隐患，不依法及时处理的。</w:t>
      </w:r>
    </w:p>
    <w:p w:rsidR="00A32067" w:rsidRDefault="00A32067" w:rsidP="005431C7">
      <w:pPr>
        <w:spacing w:line="360" w:lineRule="auto"/>
        <w:ind w:firstLineChars="200" w:firstLine="31680"/>
        <w:rPr>
          <w:kern w:val="0"/>
          <w:sz w:val="22"/>
          <w:szCs w:val="22"/>
        </w:rPr>
      </w:pPr>
      <w:r>
        <w:rPr>
          <w:rFonts w:cs="宋体" w:hint="eastAsia"/>
          <w:kern w:val="0"/>
          <w:sz w:val="22"/>
          <w:szCs w:val="22"/>
        </w:rPr>
        <w:t>负有安全生产监督管理职责的部门的工作人员有前款规定以外的滥用职权、玩忽职守、徇私舞弊行为的，依法给予处分；构成犯罪的，依照刑法有关规定追究刑事责任。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第八十八条</w:t>
      </w:r>
      <w:r>
        <w:rPr>
          <w:rFonts w:cs="宋体" w:hint="eastAsia"/>
          <w:kern w:val="0"/>
          <w:sz w:val="22"/>
          <w:szCs w:val="22"/>
        </w:rP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第八十九条</w:t>
      </w:r>
      <w:r>
        <w:rPr>
          <w:rFonts w:cs="宋体" w:hint="eastAsia"/>
          <w:kern w:val="0"/>
          <w:sz w:val="22"/>
          <w:szCs w:val="22"/>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对有前款违法行为的机构，吊销其相应资质。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第九十条</w:t>
      </w:r>
      <w:r>
        <w:rPr>
          <w:rFonts w:cs="宋体" w:hint="eastAsia"/>
          <w:kern w:val="0"/>
          <w:sz w:val="22"/>
          <w:szCs w:val="22"/>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rsidR="00A32067" w:rsidRDefault="00A32067" w:rsidP="005431C7">
      <w:pPr>
        <w:spacing w:line="360" w:lineRule="auto"/>
        <w:ind w:firstLineChars="200" w:firstLine="31680"/>
        <w:rPr>
          <w:kern w:val="0"/>
          <w:sz w:val="22"/>
          <w:szCs w:val="22"/>
        </w:rPr>
      </w:pPr>
      <w:r>
        <w:rPr>
          <w:rFonts w:cs="宋体" w:hint="eastAsia"/>
          <w:kern w:val="0"/>
          <w:sz w:val="22"/>
          <w:szCs w:val="22"/>
        </w:rPr>
        <w:t>有前款违法行为，导致发生生产安全事故的，对生产经营单位的主要负责人给予撤职处分，对个人经营的投资人处二万元以上二十万元以下的罚款；构成犯罪的，依照刑法有关规定追究刑事责任。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第九十一条</w:t>
      </w:r>
      <w:r>
        <w:rPr>
          <w:rFonts w:cs="宋体" w:hint="eastAsia"/>
          <w:kern w:val="0"/>
          <w:sz w:val="22"/>
          <w:szCs w:val="22"/>
        </w:rPr>
        <w:t>生产经营单位的主要负责人未履行本法规定的安全生产管理职责的，责令限期改正；逾期未改正的，处二万元以上五万元以下的罚款，责令生产经营单位停产停业整顿。</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生产经营单位的主要负责人有前款违法行为，导致发生生产安全事故的，给予撤职处分；构成犯罪的，依照刑法有关规定追究刑事责任。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第九十二条</w:t>
      </w:r>
      <w:r>
        <w:rPr>
          <w:rFonts w:cs="宋体" w:hint="eastAsia"/>
          <w:kern w:val="0"/>
          <w:sz w:val="22"/>
          <w:szCs w:val="22"/>
        </w:rPr>
        <w:t>生产经营单位的主要负责人未履行本法规定的安全生产管理职责，导致发生生产安全事故的，由安全生产监督管理部门依照下列规定处以罚款：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（一）发生一般事故的，处上一年年收入百分之三十的罚款；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（二）发生较大事故的，处上一年年收入百分之四十的罚款；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（三）发生重大事故的，处上一年年收入百分之六十的罚款；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（四）发生特别重大事故的，处上一年年收入百分之八十的罚款。</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第九十三条</w:t>
      </w:r>
      <w:r>
        <w:rPr>
          <w:rFonts w:cs="宋体" w:hint="eastAsia"/>
          <w:kern w:val="0"/>
          <w:sz w:val="22"/>
          <w:szCs w:val="22"/>
        </w:rPr>
        <w:t>生产经营单位的安全生产管理人员未履行本法规定的安全生产管理职责的，责令限期改正；导致发生生产安全事故的，暂停或者撤销其与安全生产有关的资格；构成犯罪的，依照刑法有关规定追究刑事责任。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第九十四条</w:t>
      </w:r>
      <w:r>
        <w:rPr>
          <w:rFonts w:cs="宋体" w:hint="eastAsia"/>
          <w:kern w:val="0"/>
          <w:sz w:val="22"/>
          <w:szCs w:val="22"/>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（一）未按照规定设置安全生产管理机构或者配备安全生产管理人员的；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（二）危险物品的生产、经营、储存单位以及矿山、金属冶炼、建筑施工、道路运输单位的主要负责人和安全生产管理人员未按照规定经考核合格的；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（三）未按照规定对从业人员、被派遣劳动者、实习学生进行安全生产教育和培训，或者未按照规定如实告知有关的安全生产事项的；</w:t>
      </w:r>
    </w:p>
    <w:p w:rsidR="00A32067" w:rsidRDefault="00A32067" w:rsidP="005431C7">
      <w:pPr>
        <w:spacing w:line="360" w:lineRule="auto"/>
        <w:ind w:firstLineChars="200" w:firstLine="31680"/>
        <w:rPr>
          <w:kern w:val="0"/>
          <w:sz w:val="22"/>
          <w:szCs w:val="22"/>
        </w:rPr>
      </w:pPr>
      <w:r>
        <w:rPr>
          <w:rFonts w:cs="宋体" w:hint="eastAsia"/>
          <w:kern w:val="0"/>
          <w:sz w:val="22"/>
          <w:szCs w:val="22"/>
        </w:rPr>
        <w:t>（四）未如实记录安全生产教育和培训情况的；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（五）未将事故隐患排查治理情况如实记录或者未向从业人员通报的；</w:t>
      </w:r>
    </w:p>
    <w:p w:rsidR="00A32067" w:rsidRDefault="00A32067" w:rsidP="005431C7">
      <w:pPr>
        <w:spacing w:line="360" w:lineRule="auto"/>
        <w:ind w:firstLineChars="200" w:firstLine="31680"/>
        <w:rPr>
          <w:kern w:val="0"/>
          <w:sz w:val="22"/>
          <w:szCs w:val="22"/>
        </w:rPr>
      </w:pPr>
      <w:r>
        <w:rPr>
          <w:rFonts w:cs="宋体" w:hint="eastAsia"/>
          <w:kern w:val="0"/>
          <w:sz w:val="22"/>
          <w:szCs w:val="22"/>
        </w:rPr>
        <w:t>（六）未按照规定制定生产安全事故应急救援预案或者未定期组织演练的；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（七）特种作业人员未按照规定经专门的安全作业培训并取得相应资格，上岗作业的。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第九十五条</w:t>
      </w:r>
      <w:r>
        <w:rPr>
          <w:rFonts w:cs="宋体" w:hint="eastAsia"/>
          <w:kern w:val="0"/>
          <w:sz w:val="22"/>
          <w:szCs w:val="22"/>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（一）未按照规定对矿山、金属冶炼建设项目或者用于生产、储存、装卸危险物品的建设项目进行安全评价的；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（二）矿山、金属冶炼建设项目或者用于生产、储存、装卸危险物品的建设项目没有安全设施设计或者安全设施设计未按照规定报经有关部门审查同意的；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（三）矿山、金属冶炼建设项目或者用于生产、储存、装卸危险物品的建设项目的施工单位未按照批准的安全设施设计施工的；</w:t>
      </w:r>
    </w:p>
    <w:p w:rsidR="00A32067" w:rsidRDefault="00A32067" w:rsidP="005431C7">
      <w:pPr>
        <w:spacing w:line="360" w:lineRule="auto"/>
        <w:ind w:firstLineChars="200" w:firstLine="31680"/>
        <w:rPr>
          <w:kern w:val="0"/>
          <w:sz w:val="22"/>
          <w:szCs w:val="22"/>
        </w:rPr>
      </w:pPr>
      <w:r>
        <w:rPr>
          <w:rFonts w:cs="宋体" w:hint="eastAsia"/>
          <w:kern w:val="0"/>
          <w:sz w:val="22"/>
          <w:szCs w:val="22"/>
        </w:rPr>
        <w:t>（四）矿山、金属冶炼建设项目或者用于生产、储存危险物品的建设项目竣工投入生产或者使用前，安全设施未经验收合格的。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第九十六条</w:t>
      </w:r>
      <w:r>
        <w:rPr>
          <w:rFonts w:cs="宋体" w:hint="eastAsia"/>
          <w:kern w:val="0"/>
          <w:sz w:val="22"/>
          <w:szCs w:val="22"/>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（一）未在有较大危险因素的生产经营场所和有关设施、设备上设置明显的安全警示标志的；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（二）安全设备的安装、使用、检测、改造和报废不符合国家标准或者行业标准的；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（三）未对安全设备进行经常性维护、保养和定期检测的；</w:t>
      </w:r>
    </w:p>
    <w:p w:rsidR="00A32067" w:rsidRDefault="00A32067" w:rsidP="005431C7">
      <w:pPr>
        <w:spacing w:line="360" w:lineRule="auto"/>
        <w:ind w:firstLineChars="200" w:firstLine="31680"/>
        <w:rPr>
          <w:kern w:val="0"/>
          <w:sz w:val="22"/>
          <w:szCs w:val="22"/>
        </w:rPr>
      </w:pPr>
      <w:r>
        <w:rPr>
          <w:rFonts w:cs="宋体" w:hint="eastAsia"/>
          <w:kern w:val="0"/>
          <w:sz w:val="22"/>
          <w:szCs w:val="22"/>
        </w:rPr>
        <w:t>（四）未为从业人员提供符合国家标准或者行业标准的劳动防护用品的；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（五）危险物品的容器、运输工具，以及涉及人身安全、危险性较大的海洋石油开采特种设备和矿山井下特种设备未经具有专业资质的机构检测、检验合格，取得安全使用证或者安全标志，投入使用的；</w:t>
      </w:r>
    </w:p>
    <w:p w:rsidR="00A32067" w:rsidRDefault="00A32067" w:rsidP="005431C7">
      <w:pPr>
        <w:spacing w:line="360" w:lineRule="auto"/>
        <w:ind w:firstLineChars="200" w:firstLine="31680"/>
        <w:rPr>
          <w:kern w:val="0"/>
          <w:sz w:val="22"/>
          <w:szCs w:val="22"/>
        </w:rPr>
      </w:pPr>
      <w:r>
        <w:rPr>
          <w:rFonts w:cs="宋体" w:hint="eastAsia"/>
          <w:kern w:val="0"/>
          <w:sz w:val="22"/>
          <w:szCs w:val="22"/>
        </w:rPr>
        <w:t>（六）使用应当淘汰的危及生产安全的工艺、设备的。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第九十七条</w:t>
      </w:r>
      <w:r>
        <w:rPr>
          <w:rFonts w:cs="宋体" w:hint="eastAsia"/>
          <w:kern w:val="0"/>
          <w:sz w:val="22"/>
          <w:szCs w:val="22"/>
        </w:rPr>
        <w:t>未经依法批准，擅自生产、经营、运输、储存、使用危险物品或者处置废弃危险物品的，依照有关危险物品安全管理的法律、行政法规的规定予以处罚；构成犯罪的，依照刑法有关规定追究刑事责任。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第九十八条</w:t>
      </w:r>
      <w:r>
        <w:rPr>
          <w:rFonts w:cs="宋体" w:hint="eastAsia"/>
          <w:kern w:val="0"/>
          <w:sz w:val="22"/>
          <w:szCs w:val="22"/>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（一）生产、经营、运输、储存、使用危险物品或者处置废弃危险物品，未建立专门安全管理制度、未采取可靠的安全措施的；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（二）对重大危险源未登记建档，或者未进行评估、监控，或者未制定应急预案的；</w:t>
      </w:r>
    </w:p>
    <w:p w:rsidR="00A32067" w:rsidRDefault="00A32067" w:rsidP="005431C7">
      <w:pPr>
        <w:spacing w:line="360" w:lineRule="auto"/>
        <w:ind w:firstLineChars="200" w:firstLine="31680"/>
        <w:rPr>
          <w:kern w:val="0"/>
          <w:sz w:val="22"/>
          <w:szCs w:val="22"/>
        </w:rPr>
      </w:pPr>
      <w:r>
        <w:rPr>
          <w:rFonts w:cs="宋体" w:hint="eastAsia"/>
          <w:kern w:val="0"/>
          <w:sz w:val="22"/>
          <w:szCs w:val="22"/>
        </w:rPr>
        <w:t>（三）进行爆破、吊装以及国务院安全生产监督管理部门会同国务院有关部门规定的其他危险作业，未安排专门人员进行现场安全管理的；</w:t>
      </w:r>
    </w:p>
    <w:p w:rsidR="00A32067" w:rsidRDefault="00A32067" w:rsidP="005431C7">
      <w:pPr>
        <w:spacing w:line="360" w:lineRule="auto"/>
        <w:ind w:firstLineChars="200" w:firstLine="31680"/>
        <w:rPr>
          <w:kern w:val="0"/>
          <w:sz w:val="22"/>
          <w:szCs w:val="22"/>
        </w:rPr>
      </w:pPr>
      <w:r>
        <w:rPr>
          <w:rFonts w:cs="宋体" w:hint="eastAsia"/>
          <w:kern w:val="0"/>
          <w:sz w:val="22"/>
          <w:szCs w:val="22"/>
        </w:rPr>
        <w:t>（四）未建立事故隐患排查治理制度的。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第九十九条</w:t>
      </w:r>
      <w:r>
        <w:rPr>
          <w:rFonts w:cs="宋体" w:hint="eastAsia"/>
          <w:kern w:val="0"/>
          <w:sz w:val="22"/>
          <w:szCs w:val="22"/>
        </w:rP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第一百条</w:t>
      </w:r>
      <w:r>
        <w:rPr>
          <w:rFonts w:cs="宋体" w:hint="eastAsia"/>
          <w:kern w:val="0"/>
          <w:sz w:val="22"/>
          <w:szCs w:val="22"/>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第一百零一条</w:t>
      </w:r>
      <w:r>
        <w:rPr>
          <w:rFonts w:cs="宋体" w:hint="eastAsia"/>
          <w:kern w:val="0"/>
          <w:sz w:val="22"/>
          <w:szCs w:val="22"/>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第一百零二条</w:t>
      </w:r>
      <w:r>
        <w:rPr>
          <w:rFonts w:cs="宋体" w:hint="eastAsia"/>
          <w:kern w:val="0"/>
          <w:sz w:val="22"/>
          <w:szCs w:val="22"/>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（一）生产、经营、储存、使用危险物品的车间、商店、仓库与员工宿舍在同一座建筑内，或者与员工宿舍的距离不符合安全要求的</w:t>
      </w:r>
    </w:p>
    <w:p w:rsidR="00A32067" w:rsidRDefault="00A32067" w:rsidP="005431C7">
      <w:pPr>
        <w:spacing w:line="360" w:lineRule="auto"/>
        <w:ind w:firstLineChars="200" w:firstLine="31680"/>
        <w:rPr>
          <w:kern w:val="0"/>
          <w:sz w:val="22"/>
          <w:szCs w:val="22"/>
        </w:rPr>
      </w:pPr>
      <w:r>
        <w:rPr>
          <w:rFonts w:cs="宋体" w:hint="eastAsia"/>
          <w:kern w:val="0"/>
          <w:sz w:val="22"/>
          <w:szCs w:val="22"/>
        </w:rPr>
        <w:t>（二）生产经营场所和员工宿舍未设有符合紧急疏散需要、标志明显、保持畅通的出口，或者锁闭、封堵生产经营场所或者员工宿舍出口的。</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第一百零三条</w:t>
      </w:r>
      <w:r>
        <w:rPr>
          <w:rFonts w:cs="宋体" w:hint="eastAsia"/>
          <w:kern w:val="0"/>
          <w:sz w:val="22"/>
          <w:szCs w:val="22"/>
        </w:rPr>
        <w:t>生产经营单位与从业人员订立协议，免除或者减轻其对从业人员因生产安全事故伤亡依法应承担的责任的，该协议无效；对生产经营单位的主要负责人、个人经营的投资人处二万元以上十万元以下的罚款。</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第一百零四条</w:t>
      </w:r>
      <w:r>
        <w:rPr>
          <w:rFonts w:cs="宋体" w:hint="eastAsia"/>
          <w:kern w:val="0"/>
          <w:sz w:val="22"/>
          <w:szCs w:val="22"/>
        </w:rPr>
        <w:t>生产经营单位的从业人员不服从管理，违反安全生产规章制度或者操作规程的，由生产经营单位给予批评教育，依照有关规章制度给予处分；构成犯罪的，依照刑法有关规定追究刑事责任。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第一百零五条</w:t>
      </w:r>
      <w:r>
        <w:rPr>
          <w:rFonts w:cs="宋体" w:hint="eastAsia"/>
          <w:kern w:val="0"/>
          <w:sz w:val="22"/>
          <w:szCs w:val="22"/>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第一百零六条</w:t>
      </w:r>
      <w:r>
        <w:rPr>
          <w:rFonts w:cs="宋体" w:hint="eastAsia"/>
          <w:kern w:val="0"/>
          <w:sz w:val="22"/>
          <w:szCs w:val="22"/>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生产经营单位的主要负责人对生产安全事故隐瞒不报、谎报或者迟报的，依照前款规定处罚。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第一百零六条</w:t>
      </w:r>
      <w:r>
        <w:rPr>
          <w:rFonts w:cs="宋体" w:hint="eastAsia"/>
          <w:kern w:val="0"/>
          <w:sz w:val="22"/>
          <w:szCs w:val="22"/>
        </w:rPr>
        <w:t>有关地方人民政府、负有安全生产监督管理职责的部门，对生产安全事故隐瞒不报、谎报或者迟报的，对直接负责的主管人员和其他直接责任人员依法给予处分；构成犯罪的，依照刑法有关规定追究刑事责任。</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第一百零七条</w:t>
      </w:r>
      <w:r>
        <w:rPr>
          <w:rFonts w:cs="宋体" w:hint="eastAsia"/>
          <w:kern w:val="0"/>
          <w:sz w:val="22"/>
          <w:szCs w:val="22"/>
        </w:rPr>
        <w:t>生产经营单位不具备本法和其他有关法律、行政法规和国家标准或者行业标准规定的安全生产条件，经停产停业整顿仍不具备安全生产条件的，予以关闭；有关部门应当依法吊销其有关证照。</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第一百零八条</w:t>
      </w:r>
      <w:r>
        <w:rPr>
          <w:rFonts w:cs="宋体" w:hint="eastAsia"/>
          <w:kern w:val="0"/>
          <w:sz w:val="22"/>
          <w:szCs w:val="22"/>
        </w:rPr>
        <w:t>生产经营单位不具备本法和其他有关法律、行政法规和国家标准或者行业标准规定的安全生产条件，经停产停业整顿仍不具备安全生产条件的，予以关闭</w:t>
      </w:r>
      <w:r>
        <w:rPr>
          <w:kern w:val="0"/>
          <w:sz w:val="22"/>
          <w:szCs w:val="22"/>
        </w:rPr>
        <w:t>;</w:t>
      </w:r>
      <w:r>
        <w:rPr>
          <w:rFonts w:cs="宋体" w:hint="eastAsia"/>
          <w:kern w:val="0"/>
          <w:sz w:val="22"/>
          <w:szCs w:val="22"/>
        </w:rPr>
        <w:t>有关部门应当依法吊销其有关证照。</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第一百零九条</w:t>
      </w:r>
      <w:r>
        <w:rPr>
          <w:rFonts w:cs="宋体" w:hint="eastAsia"/>
          <w:kern w:val="0"/>
          <w:sz w:val="22"/>
          <w:szCs w:val="22"/>
        </w:rPr>
        <w:t>发生生产安全事故，对负有责任的生产经营单位除要求其依法承担相应的赔偿等责任外，由安全生产监督管理部门依照下列规定处以罚款：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（一）发生一般事故的，处二十万元以上五十万元以下的罚款；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（二）发生较大事故的，处五十万元以上一百万元以下的罚款；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（三）发生重大事故的，处一百万元以上五百万元以下的罚款；</w:t>
      </w:r>
    </w:p>
    <w:p w:rsidR="00A32067" w:rsidRDefault="00A32067" w:rsidP="005431C7">
      <w:pPr>
        <w:spacing w:line="360" w:lineRule="auto"/>
        <w:ind w:firstLineChars="200" w:firstLine="31680"/>
        <w:rPr>
          <w:kern w:val="0"/>
          <w:sz w:val="22"/>
          <w:szCs w:val="22"/>
        </w:rPr>
      </w:pPr>
      <w:r>
        <w:rPr>
          <w:rFonts w:cs="宋体" w:hint="eastAsia"/>
          <w:kern w:val="0"/>
          <w:sz w:val="22"/>
          <w:szCs w:val="22"/>
        </w:rPr>
        <w:t>（四）发生特别重大事故的，处五百万元以上一千万元以下的罚款；情节特别严重的，处一千万元以上二千万元以下的罚款。</w:t>
      </w:r>
      <w:r>
        <w:rPr>
          <w:kern w:val="0"/>
          <w:sz w:val="22"/>
          <w:szCs w:val="22"/>
        </w:rPr>
        <w:t>”</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第一百一十条</w:t>
      </w:r>
      <w:r>
        <w:rPr>
          <w:rFonts w:cs="宋体" w:hint="eastAsia"/>
          <w:kern w:val="0"/>
          <w:sz w:val="22"/>
          <w:szCs w:val="22"/>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第一百一十一条</w:t>
      </w:r>
      <w:r>
        <w:rPr>
          <w:rFonts w:cs="宋体" w:hint="eastAsia"/>
          <w:kern w:val="0"/>
          <w:sz w:val="22"/>
          <w:szCs w:val="22"/>
        </w:rPr>
        <w:t>生产经营单位发生生产安全事故造成人员伤亡、他人财产损失的，应当依法承担赔偿责任；拒不承担或者其负责人逃匿的，由人民法院依法强制执行。</w:t>
      </w:r>
    </w:p>
    <w:p w:rsidR="00A32067" w:rsidRDefault="00A32067" w:rsidP="005431C7">
      <w:pPr>
        <w:spacing w:line="360" w:lineRule="auto"/>
        <w:ind w:firstLineChars="200" w:firstLine="31680"/>
        <w:rPr>
          <w:kern w:val="0"/>
          <w:sz w:val="22"/>
          <w:szCs w:val="22"/>
        </w:rPr>
      </w:pPr>
      <w:r>
        <w:rPr>
          <w:rFonts w:cs="宋体" w:hint="eastAsia"/>
          <w:kern w:val="0"/>
          <w:sz w:val="22"/>
          <w:szCs w:val="22"/>
        </w:rPr>
        <w:t>生产安全事故的责任人未依法承担赔偿责任，经人民法院依法采取执行措施后，仍不能对受害人给予足额赔偿的，应当继续履行赔偿义务；受害人发现责任人有其他财产的，可以随时请求人民法院执行。</w:t>
      </w:r>
    </w:p>
    <w:p w:rsidR="00A32067" w:rsidRDefault="00A32067" w:rsidP="0002085C">
      <w:pPr>
        <w:pStyle w:val="NormalWeb"/>
        <w:shd w:val="clear" w:color="auto" w:fill="FFFFFF"/>
        <w:spacing w:beforeLines="50" w:beforeAutospacing="0" w:after="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第七章附则</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第一百一十二条</w:t>
      </w:r>
      <w:r>
        <w:rPr>
          <w:rFonts w:cs="宋体" w:hint="eastAsia"/>
          <w:kern w:val="0"/>
          <w:sz w:val="22"/>
          <w:szCs w:val="22"/>
        </w:rPr>
        <w:t>本法下列用语的含义：危险物品，是指易燃易爆物品、危险化学品、放射性物品等能够危及人身安全和财产安全的物品。</w:t>
      </w:r>
    </w:p>
    <w:p w:rsidR="00A32067" w:rsidRDefault="00A32067" w:rsidP="005431C7">
      <w:pPr>
        <w:spacing w:line="360" w:lineRule="auto"/>
        <w:ind w:firstLineChars="200" w:firstLine="31680"/>
        <w:rPr>
          <w:kern w:val="0"/>
          <w:sz w:val="22"/>
          <w:szCs w:val="22"/>
        </w:rPr>
      </w:pPr>
      <w:r>
        <w:rPr>
          <w:rFonts w:cs="宋体" w:hint="eastAsia"/>
          <w:kern w:val="0"/>
          <w:sz w:val="22"/>
          <w:szCs w:val="22"/>
        </w:rPr>
        <w:t>重大危险源，是指长期地或者临时地生产、搬运、使用或者储存危险物品，且危险物品的数量等于或者超过临界量的单元（包括场所和设施）。</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第一百一十三条</w:t>
      </w:r>
      <w:r>
        <w:rPr>
          <w:rFonts w:cs="宋体" w:hint="eastAsia"/>
          <w:kern w:val="0"/>
          <w:sz w:val="22"/>
          <w:szCs w:val="22"/>
        </w:rPr>
        <w:t>本法规定的生产安全一般事故、较大事故、重大事故、特别重大事故的划分标准由国务院规定。</w:t>
      </w:r>
    </w:p>
    <w:p w:rsidR="00A32067" w:rsidRDefault="00A32067" w:rsidP="005431C7">
      <w:pPr>
        <w:spacing w:line="360" w:lineRule="auto"/>
        <w:ind w:firstLineChars="200" w:firstLine="31680"/>
        <w:rPr>
          <w:kern w:val="0"/>
          <w:sz w:val="22"/>
          <w:szCs w:val="22"/>
        </w:rPr>
      </w:pPr>
      <w:r>
        <w:rPr>
          <w:rFonts w:cs="宋体" w:hint="eastAsia"/>
          <w:kern w:val="0"/>
          <w:sz w:val="22"/>
          <w:szCs w:val="22"/>
        </w:rPr>
        <w:t>国务院安全生产监督管理部门和其他负有安全生产监督管理职责的部门应当根据各自的职责分工，制定相关行业、领域重大事故隐患的判定标准。</w:t>
      </w:r>
    </w:p>
    <w:p w:rsidR="00A32067" w:rsidRDefault="00A32067">
      <w:pPr>
        <w:spacing w:line="360" w:lineRule="auto"/>
        <w:jc w:val="center"/>
        <w:outlineLvl w:val="2"/>
        <w:rPr>
          <w:b/>
          <w:bCs/>
          <w:color w:val="333333"/>
          <w:spacing w:val="10"/>
          <w:kern w:val="0"/>
          <w:sz w:val="44"/>
          <w:szCs w:val="44"/>
        </w:rPr>
      </w:pPr>
      <w:bookmarkStart w:id="68" w:name="_Toc519872297"/>
    </w:p>
    <w:p w:rsidR="00A32067" w:rsidRDefault="00A32067">
      <w:pPr>
        <w:spacing w:line="360" w:lineRule="auto"/>
        <w:jc w:val="center"/>
        <w:outlineLvl w:val="2"/>
        <w:rPr>
          <w:b/>
          <w:bCs/>
          <w:color w:val="333333"/>
          <w:spacing w:val="10"/>
          <w:kern w:val="0"/>
          <w:sz w:val="44"/>
          <w:szCs w:val="44"/>
        </w:rPr>
      </w:pPr>
      <w:r>
        <w:rPr>
          <w:rFonts w:cs="宋体" w:hint="eastAsia"/>
          <w:b/>
          <w:bCs/>
          <w:color w:val="333333"/>
          <w:spacing w:val="10"/>
          <w:kern w:val="0"/>
          <w:sz w:val="44"/>
          <w:szCs w:val="44"/>
        </w:rPr>
        <w:t>关于建筑设计服务成本要素信息</w:t>
      </w:r>
      <w:r>
        <w:rPr>
          <w:b/>
          <w:bCs/>
          <w:color w:val="333333"/>
          <w:spacing w:val="10"/>
          <w:kern w:val="0"/>
          <w:sz w:val="44"/>
          <w:szCs w:val="44"/>
        </w:rPr>
        <w:br/>
      </w:r>
      <w:r>
        <w:rPr>
          <w:rFonts w:cs="宋体" w:hint="eastAsia"/>
          <w:b/>
          <w:bCs/>
          <w:color w:val="333333"/>
          <w:spacing w:val="10"/>
          <w:kern w:val="0"/>
          <w:sz w:val="44"/>
          <w:szCs w:val="44"/>
        </w:rPr>
        <w:t>统计分析情况的通报</w:t>
      </w:r>
      <w:r>
        <w:rPr>
          <w:b/>
          <w:bCs/>
          <w:color w:val="333333"/>
          <w:spacing w:val="10"/>
          <w:kern w:val="0"/>
          <w:sz w:val="44"/>
          <w:szCs w:val="44"/>
        </w:rPr>
        <w:br/>
      </w:r>
      <w:r>
        <w:rPr>
          <w:rFonts w:cs="宋体" w:hint="eastAsia"/>
          <w:color w:val="000000"/>
          <w:sz w:val="22"/>
          <w:szCs w:val="22"/>
        </w:rPr>
        <w:t>中设协字</w:t>
      </w:r>
      <w:r>
        <w:rPr>
          <w:color w:val="000000"/>
          <w:sz w:val="22"/>
          <w:szCs w:val="22"/>
        </w:rPr>
        <w:t>[2016] 89</w:t>
      </w:r>
      <w:r>
        <w:rPr>
          <w:rFonts w:cs="宋体" w:hint="eastAsia"/>
          <w:color w:val="000000"/>
          <w:sz w:val="22"/>
          <w:szCs w:val="22"/>
        </w:rPr>
        <w:t>号</w:t>
      </w:r>
      <w:bookmarkEnd w:id="68"/>
    </w:p>
    <w:p w:rsidR="00A32067" w:rsidRDefault="00A32067">
      <w:pPr>
        <w:jc w:val="center"/>
        <w:outlineLvl w:val="0"/>
        <w:rPr>
          <w:sz w:val="44"/>
          <w:szCs w:val="44"/>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各地方、各部门勘察设计同业协会，解放军工程建设协会，中国勘察设计协会各分支机构，各会员单位：</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为充分发挥市场在资源配置中的决定性作用，维护建筑设计市场公平有序的竞争环境，确保建筑工程的设计质量，中国勘察设计协会建筑设计分会组织开展了建筑设计服务成本要素信息统计分析工作，对全国百余家建筑设计单位</w:t>
      </w:r>
      <w:r>
        <w:rPr>
          <w:rFonts w:ascii="Times New Roman" w:hAnsi="Times New Roman" w:cs="Times New Roman"/>
          <w:color w:val="000000"/>
          <w:sz w:val="22"/>
          <w:szCs w:val="22"/>
        </w:rPr>
        <w:t>2013</w:t>
      </w:r>
      <w:r>
        <w:rPr>
          <w:rFonts w:ascii="Times New Roman" w:hAnsi="Times New Roman" w:hint="eastAsia"/>
          <w:color w:val="000000"/>
          <w:sz w:val="22"/>
          <w:szCs w:val="22"/>
        </w:rPr>
        <w:t>年至</w:t>
      </w:r>
      <w:r>
        <w:rPr>
          <w:rFonts w:ascii="Times New Roman" w:hAnsi="Times New Roman" w:cs="Times New Roman"/>
          <w:color w:val="000000"/>
          <w:sz w:val="22"/>
          <w:szCs w:val="22"/>
        </w:rPr>
        <w:t>2015</w:t>
      </w:r>
      <w:r>
        <w:rPr>
          <w:rFonts w:ascii="Times New Roman" w:hAnsi="Times New Roman" w:hint="eastAsia"/>
          <w:color w:val="000000"/>
          <w:sz w:val="22"/>
          <w:szCs w:val="22"/>
        </w:rPr>
        <w:t>年三个年度建筑设计服务成本要素信息进行了调查、统计、测算和分析。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本次设计服务成本调查工作，对全国各地区不同类型的建筑设计单位进行了抽样调查，主要收集了建筑设计服务范围和内容、服务收入、成本构成、直接人工成本及其占总成本的权重比例、服务项目人力资源要素配置、对应建筑工程建安费的设计基本服务成本（含税金）等大量生产要素数据信息，采集的数据在建筑设计行业具有一定的代表性。</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建筑设计分会组织行业专家对采集的大量数据信息进行了汇总、分析与归纳，并组织了多轮次的研讨和论证，形成了建筑设计服务两类成本要素信息，一类是建筑设计服务不同等级工程技术人员的直接人工成本信息，另一类是对应不同额度建安费的设计基本服务成本（含税金）的信息。现将建筑设计服务两类成本要素信息予以通报，供建筑设计市场各相关方参考。</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由于建筑设计市场不断发展变化，中国勘察设计协会将持续开展建筑设计服务成本要素的调查、统计与分析工作，并不定期进行相关信息通报，以反映建筑设计市场的成本现状，为维护建筑设计市场秩序，反对不正当竞争，保证工程设计质量提供信息支持。</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color w:val="000000"/>
          <w:sz w:val="22"/>
          <w:szCs w:val="22"/>
        </w:rPr>
        <w:t>附件：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表一</w:t>
      </w:r>
      <w:r>
        <w:rPr>
          <w:rFonts w:ascii="Times New Roman" w:hAnsi="Times New Roman" w:cs="Times New Roman"/>
          <w:color w:val="000000"/>
          <w:sz w:val="22"/>
          <w:szCs w:val="22"/>
        </w:rPr>
        <w:t> </w:t>
      </w:r>
      <w:r>
        <w:rPr>
          <w:rFonts w:ascii="Times New Roman" w:hAnsi="Times New Roman" w:hint="eastAsia"/>
          <w:color w:val="000000"/>
          <w:sz w:val="22"/>
          <w:szCs w:val="22"/>
        </w:rPr>
        <w:t>建筑设计服务直接人工成本与人工日法综合成本系数信息表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表二</w:t>
      </w:r>
      <w:r>
        <w:rPr>
          <w:rFonts w:ascii="Times New Roman" w:hAnsi="Times New Roman" w:cs="Times New Roman"/>
          <w:color w:val="000000"/>
          <w:sz w:val="22"/>
          <w:szCs w:val="22"/>
        </w:rPr>
        <w:t> </w:t>
      </w:r>
      <w:r>
        <w:rPr>
          <w:rFonts w:ascii="Times New Roman" w:hAnsi="Times New Roman" w:hint="eastAsia"/>
          <w:color w:val="000000"/>
          <w:sz w:val="22"/>
          <w:szCs w:val="22"/>
        </w:rPr>
        <w:t>建安费与设计基本服务成本对应信息表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表三</w:t>
      </w:r>
      <w:r>
        <w:rPr>
          <w:rFonts w:ascii="Times New Roman" w:hAnsi="Times New Roman" w:cs="Times New Roman"/>
          <w:color w:val="000000"/>
          <w:sz w:val="22"/>
          <w:szCs w:val="22"/>
        </w:rPr>
        <w:t> </w:t>
      </w:r>
      <w:r>
        <w:rPr>
          <w:rFonts w:ascii="Times New Roman" w:hAnsi="Times New Roman" w:hint="eastAsia"/>
          <w:color w:val="000000"/>
          <w:sz w:val="22"/>
          <w:szCs w:val="22"/>
        </w:rPr>
        <w:t>建筑设计其他服务成本附加系数信息表</w:t>
      </w:r>
    </w:p>
    <w:p w:rsidR="00A32067" w:rsidRDefault="00A32067" w:rsidP="005431C7">
      <w:pPr>
        <w:pStyle w:val="NormalWeb"/>
        <w:shd w:val="clear" w:color="auto" w:fill="FFFFFF"/>
        <w:spacing w:before="0" w:beforeAutospacing="0" w:after="0" w:afterAutospacing="0" w:line="360" w:lineRule="auto"/>
        <w:ind w:right="720" w:firstLineChars="200" w:firstLine="31680"/>
        <w:jc w:val="right"/>
        <w:rPr>
          <w:rFonts w:ascii="Times New Roman" w:hAnsi="Times New Roman" w:cs="Times New Roman"/>
          <w:color w:val="000000"/>
          <w:sz w:val="22"/>
          <w:szCs w:val="22"/>
        </w:rPr>
      </w:pPr>
      <w:r>
        <w:rPr>
          <w:rFonts w:ascii="Times New Roman" w:eastAsia="微软雅黑" w:hAnsi="Times New Roman" w:cs="Times New Roman"/>
          <w:color w:val="3E3E3E"/>
        </w:rPr>
        <w:t>   </w:t>
      </w:r>
      <w:r>
        <w:rPr>
          <w:rFonts w:ascii="Times New Roman" w:hAnsi="Times New Roman" w:hint="eastAsia"/>
          <w:color w:val="000000"/>
          <w:sz w:val="22"/>
          <w:szCs w:val="22"/>
        </w:rPr>
        <w:t>中国勘察设计协会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2016</w:t>
      </w:r>
      <w:r>
        <w:rPr>
          <w:rFonts w:ascii="Times New Roman" w:hAnsi="Times New Roman" w:hint="eastAsia"/>
          <w:color w:val="000000"/>
          <w:sz w:val="22"/>
          <w:szCs w:val="22"/>
        </w:rPr>
        <w:t>年</w:t>
      </w:r>
      <w:r>
        <w:rPr>
          <w:rFonts w:ascii="Times New Roman" w:hAnsi="Times New Roman" w:cs="Times New Roman"/>
          <w:color w:val="000000"/>
          <w:sz w:val="22"/>
          <w:szCs w:val="22"/>
        </w:rPr>
        <w:t>12</w:t>
      </w:r>
      <w:r>
        <w:rPr>
          <w:rFonts w:ascii="Times New Roman" w:hAnsi="Times New Roman" w:hint="eastAsia"/>
          <w:color w:val="000000"/>
          <w:sz w:val="22"/>
          <w:szCs w:val="22"/>
        </w:rPr>
        <w:t>月</w:t>
      </w:r>
      <w:r>
        <w:rPr>
          <w:rFonts w:ascii="Times New Roman" w:hAnsi="Times New Roman" w:cs="Times New Roman"/>
          <w:color w:val="000000"/>
          <w:sz w:val="22"/>
          <w:szCs w:val="22"/>
        </w:rPr>
        <w:t>26</w:t>
      </w:r>
      <w:r>
        <w:rPr>
          <w:rFonts w:ascii="Times New Roman" w:hAnsi="Times New Roman" w:hint="eastAsia"/>
          <w:color w:val="000000"/>
          <w:sz w:val="22"/>
          <w:szCs w:val="22"/>
        </w:rPr>
        <w:t>日</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pPr>
        <w:jc w:val="center"/>
        <w:rPr>
          <w:b/>
          <w:bCs/>
          <w:sz w:val="24"/>
          <w:szCs w:val="24"/>
        </w:rPr>
        <w:sectPr w:rsidR="00A32067">
          <w:pgSz w:w="11907" w:h="16840"/>
          <w:pgMar w:top="1134" w:right="1077" w:bottom="1134" w:left="1077" w:header="794" w:footer="567" w:gutter="284"/>
          <w:cols w:space="720"/>
          <w:docGrid w:linePitch="312"/>
        </w:sectPr>
      </w:pPr>
    </w:p>
    <w:p w:rsidR="00A32067" w:rsidRDefault="00A32067">
      <w:pPr>
        <w:jc w:val="center"/>
        <w:rPr>
          <w:b/>
          <w:bCs/>
          <w:sz w:val="24"/>
          <w:szCs w:val="24"/>
        </w:rPr>
      </w:pPr>
      <w:r>
        <w:rPr>
          <w:rFonts w:cs="宋体" w:hint="eastAsia"/>
          <w:b/>
          <w:bCs/>
          <w:sz w:val="24"/>
          <w:szCs w:val="24"/>
        </w:rPr>
        <w:t>附表一</w:t>
      </w:r>
      <w:r>
        <w:rPr>
          <w:b/>
          <w:bCs/>
          <w:sz w:val="24"/>
          <w:szCs w:val="24"/>
        </w:rPr>
        <w:t xml:space="preserve">  </w:t>
      </w:r>
      <w:r>
        <w:rPr>
          <w:rFonts w:cs="宋体" w:hint="eastAsia"/>
          <w:b/>
          <w:bCs/>
          <w:sz w:val="24"/>
          <w:szCs w:val="24"/>
        </w:rPr>
        <w:t>建筑设计服务直接人工成本与人工日法综合成本系数信息表</w:t>
      </w:r>
    </w:p>
    <w:p w:rsidR="00A32067" w:rsidRDefault="00A32067">
      <w:pPr>
        <w:pStyle w:val="ListParagraph"/>
        <w:ind w:left="720" w:firstLineChars="0" w:firstLine="0"/>
        <w:jc w:val="center"/>
        <w:rPr>
          <w:b/>
          <w:bCs/>
          <w:sz w:val="24"/>
          <w:szCs w:val="24"/>
        </w:rPr>
      </w:pPr>
    </w:p>
    <w:tbl>
      <w:tblPr>
        <w:tblW w:w="8613" w:type="dxa"/>
        <w:jc w:val="center"/>
        <w:tblLayout w:type="fixed"/>
        <w:tblCellMar>
          <w:left w:w="0" w:type="dxa"/>
          <w:right w:w="0" w:type="dxa"/>
        </w:tblCellMar>
        <w:tblLook w:val="00A0"/>
      </w:tblPr>
      <w:tblGrid>
        <w:gridCol w:w="3683"/>
        <w:gridCol w:w="2552"/>
        <w:gridCol w:w="2378"/>
      </w:tblGrid>
      <w:tr w:rsidR="00A32067">
        <w:trPr>
          <w:trHeight w:val="544"/>
          <w:tblHeader/>
          <w:jc w:val="center"/>
        </w:trPr>
        <w:tc>
          <w:tcPr>
            <w:tcW w:w="3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ind w:firstLine="480"/>
              <w:jc w:val="center"/>
              <w:rPr>
                <w:color w:val="3E3E3E"/>
              </w:rPr>
            </w:pPr>
            <w:r>
              <w:rPr>
                <w:rFonts w:cs="宋体" w:hint="eastAsia"/>
                <w:color w:val="3E3E3E"/>
              </w:rPr>
              <w:t>技术人员等级</w:t>
            </w:r>
          </w:p>
        </w:tc>
        <w:tc>
          <w:tcPr>
            <w:tcW w:w="2552" w:type="dxa"/>
            <w:tcBorders>
              <w:top w:val="single" w:sz="8" w:space="0" w:color="auto"/>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jc w:val="center"/>
              <w:rPr>
                <w:color w:val="3E3E3E"/>
              </w:rPr>
            </w:pPr>
            <w:r>
              <w:rPr>
                <w:rFonts w:cs="宋体" w:hint="eastAsia"/>
                <w:color w:val="3E3E3E"/>
              </w:rPr>
              <w:t>直接人工成本</w:t>
            </w:r>
          </w:p>
          <w:p w:rsidR="00A32067" w:rsidRDefault="00A32067">
            <w:pPr>
              <w:wordWrap w:val="0"/>
              <w:jc w:val="center"/>
              <w:rPr>
                <w:color w:val="3E3E3E"/>
              </w:rPr>
            </w:pPr>
            <w:r>
              <w:rPr>
                <w:rFonts w:cs="宋体" w:hint="eastAsia"/>
                <w:color w:val="3E3E3E"/>
              </w:rPr>
              <w:t>（元</w:t>
            </w:r>
            <w:r>
              <w:rPr>
                <w:color w:val="3E3E3E"/>
              </w:rPr>
              <w:t>/</w:t>
            </w:r>
            <w:r>
              <w:rPr>
                <w:rFonts w:cs="宋体" w:hint="eastAsia"/>
                <w:color w:val="3E3E3E"/>
              </w:rPr>
              <w:t>人工日）</w:t>
            </w:r>
          </w:p>
        </w:tc>
        <w:tc>
          <w:tcPr>
            <w:tcW w:w="2378" w:type="dxa"/>
            <w:tcBorders>
              <w:top w:val="single" w:sz="8" w:space="0" w:color="auto"/>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rFonts w:cs="宋体" w:hint="eastAsia"/>
                <w:color w:val="3E3E3E"/>
              </w:rPr>
              <w:t>人工日法综合成本系数</w:t>
            </w:r>
          </w:p>
        </w:tc>
      </w:tr>
      <w:tr w:rsidR="00A32067">
        <w:trPr>
          <w:trHeight w:val="544"/>
          <w:jc w:val="center"/>
        </w:trPr>
        <w:tc>
          <w:tcPr>
            <w:tcW w:w="3683"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rPr>
                <w:color w:val="3E3E3E"/>
              </w:rPr>
            </w:pPr>
            <w:r>
              <w:rPr>
                <w:rFonts w:cs="宋体" w:hint="eastAsia"/>
                <w:color w:val="3E3E3E"/>
              </w:rPr>
              <w:t>教授（研究员）级高级工程（建筑）师</w:t>
            </w:r>
          </w:p>
        </w:tc>
        <w:tc>
          <w:tcPr>
            <w:tcW w:w="2552"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2679</w:t>
            </w:r>
          </w:p>
        </w:tc>
        <w:tc>
          <w:tcPr>
            <w:tcW w:w="2378"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2.75</w:t>
            </w:r>
          </w:p>
        </w:tc>
      </w:tr>
      <w:tr w:rsidR="00A32067">
        <w:trPr>
          <w:trHeight w:val="544"/>
          <w:jc w:val="center"/>
        </w:trPr>
        <w:tc>
          <w:tcPr>
            <w:tcW w:w="3683"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rFonts w:cs="宋体" w:hint="eastAsia"/>
                <w:color w:val="3E3E3E"/>
              </w:rPr>
              <w:t>高级工程（建筑）师</w:t>
            </w:r>
          </w:p>
        </w:tc>
        <w:tc>
          <w:tcPr>
            <w:tcW w:w="2552"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2083</w:t>
            </w:r>
          </w:p>
        </w:tc>
        <w:tc>
          <w:tcPr>
            <w:tcW w:w="2378"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2.45</w:t>
            </w:r>
          </w:p>
        </w:tc>
      </w:tr>
      <w:tr w:rsidR="00A32067">
        <w:trPr>
          <w:trHeight w:val="544"/>
          <w:jc w:val="center"/>
        </w:trPr>
        <w:tc>
          <w:tcPr>
            <w:tcW w:w="3683"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rFonts w:cs="宋体" w:hint="eastAsia"/>
                <w:color w:val="3E3E3E"/>
              </w:rPr>
              <w:t>工程（建筑）师</w:t>
            </w:r>
          </w:p>
        </w:tc>
        <w:tc>
          <w:tcPr>
            <w:tcW w:w="2552"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1765</w:t>
            </w:r>
          </w:p>
        </w:tc>
        <w:tc>
          <w:tcPr>
            <w:tcW w:w="2378"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2.15</w:t>
            </w:r>
          </w:p>
        </w:tc>
      </w:tr>
      <w:tr w:rsidR="00A32067">
        <w:trPr>
          <w:trHeight w:val="544"/>
          <w:jc w:val="center"/>
        </w:trPr>
        <w:tc>
          <w:tcPr>
            <w:tcW w:w="3683"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rFonts w:cs="宋体" w:hint="eastAsia"/>
                <w:color w:val="3E3E3E"/>
              </w:rPr>
              <w:t>初级技术人员</w:t>
            </w:r>
          </w:p>
        </w:tc>
        <w:tc>
          <w:tcPr>
            <w:tcW w:w="2552"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1176</w:t>
            </w:r>
          </w:p>
        </w:tc>
        <w:tc>
          <w:tcPr>
            <w:tcW w:w="2378"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jc w:val="center"/>
              <w:rPr>
                <w:color w:val="3E3E3E"/>
              </w:rPr>
            </w:pPr>
            <w:r>
              <w:rPr>
                <w:color w:val="3E3E3E"/>
              </w:rPr>
              <w:t>2.00</w:t>
            </w:r>
          </w:p>
        </w:tc>
      </w:tr>
    </w:tbl>
    <w:p w:rsidR="00A32067" w:rsidRDefault="00A32067" w:rsidP="00A3206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注：</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直接人工成本</w:t>
      </w:r>
      <w:r>
        <w:rPr>
          <w:rFonts w:ascii="Times New Roman" w:hAnsi="Times New Roman" w:cs="Times New Roman"/>
          <w:color w:val="000000"/>
          <w:sz w:val="22"/>
          <w:szCs w:val="22"/>
        </w:rPr>
        <w:t>”</w:t>
      </w:r>
      <w:r>
        <w:rPr>
          <w:rFonts w:ascii="Times New Roman" w:hAnsi="Times New Roman" w:hint="eastAsia"/>
          <w:color w:val="000000"/>
          <w:sz w:val="22"/>
          <w:szCs w:val="22"/>
        </w:rPr>
        <w:t>是指建筑设计服务过程中人员的工资、津贴、社会保险和福利等支出。</w:t>
      </w:r>
    </w:p>
    <w:p w:rsidR="00A32067" w:rsidRDefault="00A32067" w:rsidP="005431C7">
      <w:pPr>
        <w:pStyle w:val="NormalWeb"/>
        <w:shd w:val="clear" w:color="auto" w:fill="FFFFFF"/>
        <w:spacing w:before="0" w:beforeAutospacing="0" w:after="0" w:afterAutospacing="0" w:line="360" w:lineRule="auto"/>
        <w:ind w:leftChars="200" w:left="31680"/>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人工日</w:t>
      </w:r>
      <w:r>
        <w:rPr>
          <w:rFonts w:ascii="Times New Roman" w:hAnsi="Times New Roman" w:cs="Times New Roman"/>
          <w:color w:val="000000"/>
          <w:sz w:val="22"/>
          <w:szCs w:val="22"/>
        </w:rPr>
        <w:t>”</w:t>
      </w:r>
      <w:r>
        <w:rPr>
          <w:rFonts w:ascii="Times New Roman" w:hAnsi="Times New Roman" w:hint="eastAsia"/>
          <w:color w:val="000000"/>
          <w:sz w:val="22"/>
          <w:szCs w:val="22"/>
        </w:rPr>
        <w:t>是参照《全国建筑设计劳动（工日）定额》（</w:t>
      </w:r>
      <w:r>
        <w:rPr>
          <w:rFonts w:ascii="Times New Roman" w:hAnsi="Times New Roman" w:cs="Times New Roman"/>
          <w:color w:val="000000"/>
          <w:sz w:val="22"/>
          <w:szCs w:val="22"/>
        </w:rPr>
        <w:t>2014</w:t>
      </w:r>
      <w:r>
        <w:rPr>
          <w:rFonts w:ascii="Times New Roman" w:hAnsi="Times New Roman" w:hint="eastAsia"/>
          <w:color w:val="000000"/>
          <w:sz w:val="22"/>
          <w:szCs w:val="22"/>
        </w:rPr>
        <w:t>年修编版）的劳动管理指标与相关规定而定。</w:t>
      </w:r>
    </w:p>
    <w:p w:rsidR="00A32067" w:rsidRDefault="00A32067" w:rsidP="005431C7">
      <w:pPr>
        <w:pStyle w:val="NormalWeb"/>
        <w:shd w:val="clear" w:color="auto" w:fill="FFFFFF"/>
        <w:spacing w:before="0" w:beforeAutospacing="0" w:after="0" w:afterAutospacing="0" w:line="360" w:lineRule="auto"/>
        <w:ind w:leftChars="200" w:left="31680"/>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人工日法综合成本系数</w:t>
      </w:r>
      <w:r>
        <w:rPr>
          <w:rFonts w:ascii="Times New Roman" w:hAnsi="Times New Roman" w:cs="Times New Roman"/>
          <w:color w:val="000000"/>
          <w:sz w:val="22"/>
          <w:szCs w:val="22"/>
        </w:rPr>
        <w:t>”</w:t>
      </w:r>
      <w:r>
        <w:rPr>
          <w:rFonts w:ascii="Times New Roman" w:hAnsi="Times New Roman" w:hint="eastAsia"/>
          <w:color w:val="000000"/>
          <w:sz w:val="22"/>
          <w:szCs w:val="22"/>
        </w:rPr>
        <w:t>是考虑直接人工成本以外的企业其他成本（含税金）等因素的影响，反映不同等级技术人员直接人工成本与企业综合成本的比例关系。</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hint="eastAsia"/>
          <w:color w:val="000000"/>
          <w:sz w:val="22"/>
          <w:szCs w:val="22"/>
        </w:rPr>
        <w:t>．本表适用于建筑工程设计、工程咨询、驻场等服务。</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sectPr w:rsidR="00A32067">
          <w:pgSz w:w="11907" w:h="16840"/>
          <w:pgMar w:top="1134" w:right="1077" w:bottom="1134" w:left="1077" w:header="794" w:footer="567" w:gutter="284"/>
          <w:cols w:space="720"/>
          <w:docGrid w:linePitch="312"/>
        </w:sect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center"/>
        <w:rPr>
          <w:rFonts w:ascii="Times New Roman" w:hAnsi="Times New Roman" w:cs="Times New Roman"/>
          <w:b/>
          <w:bCs/>
          <w:kern w:val="2"/>
        </w:rPr>
      </w:pPr>
      <w:r>
        <w:rPr>
          <w:rFonts w:ascii="Times New Roman" w:hAnsi="Times New Roman" w:hint="eastAsia"/>
          <w:b/>
          <w:bCs/>
          <w:kern w:val="2"/>
        </w:rPr>
        <w:t>附表二</w:t>
      </w:r>
      <w:r>
        <w:rPr>
          <w:rFonts w:ascii="Times New Roman" w:hAnsi="Times New Roman" w:cs="Times New Roman"/>
          <w:b/>
          <w:bCs/>
          <w:kern w:val="2"/>
        </w:rPr>
        <w:t>   </w:t>
      </w:r>
      <w:r>
        <w:rPr>
          <w:rFonts w:ascii="Times New Roman" w:hAnsi="Times New Roman" w:hint="eastAsia"/>
          <w:b/>
          <w:bCs/>
          <w:kern w:val="2"/>
        </w:rPr>
        <w:t>建安费与设计基本服务成本对应信息表</w:t>
      </w:r>
    </w:p>
    <w:p w:rsidR="00A32067" w:rsidRDefault="00A32067" w:rsidP="005431C7">
      <w:pPr>
        <w:pStyle w:val="NormalWeb"/>
        <w:shd w:val="clear" w:color="auto" w:fill="FFFFFF"/>
        <w:spacing w:before="0" w:beforeAutospacing="0" w:after="0" w:afterAutospacing="0" w:line="360" w:lineRule="auto"/>
        <w:ind w:right="482" w:firstLineChars="200" w:firstLine="31680"/>
        <w:jc w:val="right"/>
        <w:rPr>
          <w:rFonts w:ascii="Times New Roman" w:eastAsia="微软雅黑" w:hAnsi="Times New Roman" w:cs="Times New Roman"/>
          <w:color w:val="3E3E3E"/>
        </w:rPr>
      </w:pPr>
      <w:r>
        <w:rPr>
          <w:rFonts w:ascii="Times New Roman" w:hAnsi="Times New Roman" w:hint="eastAsia"/>
          <w:b/>
          <w:bCs/>
          <w:kern w:val="2"/>
        </w:rPr>
        <w:t>单位：万元</w:t>
      </w:r>
    </w:p>
    <w:tbl>
      <w:tblPr>
        <w:tblW w:w="8740" w:type="dxa"/>
        <w:jc w:val="center"/>
        <w:tblLayout w:type="fixed"/>
        <w:tblLook w:val="00A0"/>
      </w:tblPr>
      <w:tblGrid>
        <w:gridCol w:w="640"/>
        <w:gridCol w:w="1680"/>
        <w:gridCol w:w="1720"/>
        <w:gridCol w:w="1220"/>
        <w:gridCol w:w="900"/>
        <w:gridCol w:w="1060"/>
        <w:gridCol w:w="1520"/>
      </w:tblGrid>
      <w:tr w:rsidR="00A32067">
        <w:trPr>
          <w:trHeight w:val="3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序号</w:t>
            </w:r>
          </w:p>
        </w:tc>
        <w:tc>
          <w:tcPr>
            <w:tcW w:w="1680" w:type="dxa"/>
            <w:vMerge w:val="restart"/>
            <w:tcBorders>
              <w:top w:val="single" w:sz="8" w:space="0" w:color="auto"/>
              <w:left w:val="single" w:sz="4" w:space="0" w:color="auto"/>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项目建安费额（万元）</w:t>
            </w:r>
          </w:p>
        </w:tc>
        <w:tc>
          <w:tcPr>
            <w:tcW w:w="1720" w:type="dxa"/>
            <w:vMerge w:val="restart"/>
            <w:tcBorders>
              <w:top w:val="single" w:sz="8" w:space="0" w:color="auto"/>
              <w:left w:val="single" w:sz="4" w:space="0" w:color="auto"/>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设计基本服务成本基数（万元）</w:t>
            </w:r>
          </w:p>
        </w:tc>
        <w:tc>
          <w:tcPr>
            <w:tcW w:w="4700" w:type="dxa"/>
            <w:gridSpan w:val="4"/>
            <w:tcBorders>
              <w:top w:val="single" w:sz="8" w:space="0" w:color="auto"/>
              <w:left w:val="nil"/>
              <w:bottom w:val="single" w:sz="4" w:space="0" w:color="auto"/>
              <w:right w:val="single" w:sz="8" w:space="0" w:color="000000"/>
            </w:tcBorders>
            <w:shd w:val="clear" w:color="000000" w:fill="FFFFFF"/>
            <w:vAlign w:val="center"/>
          </w:tcPr>
          <w:p w:rsidR="00A32067" w:rsidRDefault="00A32067">
            <w:pPr>
              <w:jc w:val="center"/>
              <w:rPr>
                <w:b/>
                <w:bCs/>
                <w:color w:val="3E3E3E"/>
              </w:rPr>
            </w:pPr>
            <w:r>
              <w:rPr>
                <w:rFonts w:cs="宋体" w:hint="eastAsia"/>
                <w:b/>
                <w:bCs/>
                <w:color w:val="3E3E3E"/>
              </w:rPr>
              <w:t>工程复杂程度影响系数</w:t>
            </w:r>
          </w:p>
        </w:tc>
      </w:tr>
      <w:tr w:rsidR="00A32067">
        <w:trPr>
          <w:trHeight w:val="665"/>
          <w:jc w:val="center"/>
        </w:trPr>
        <w:tc>
          <w:tcPr>
            <w:tcW w:w="640" w:type="dxa"/>
            <w:vMerge/>
            <w:tcBorders>
              <w:top w:val="single" w:sz="8" w:space="0" w:color="auto"/>
              <w:left w:val="single" w:sz="8" w:space="0" w:color="auto"/>
              <w:bottom w:val="single" w:sz="4" w:space="0" w:color="auto"/>
              <w:right w:val="single" w:sz="4" w:space="0" w:color="auto"/>
            </w:tcBorders>
            <w:vAlign w:val="center"/>
          </w:tcPr>
          <w:p w:rsidR="00A32067" w:rsidRDefault="00A32067">
            <w:pPr>
              <w:rPr>
                <w:b/>
                <w:bCs/>
                <w:color w:val="3E3E3E"/>
              </w:rPr>
            </w:pPr>
          </w:p>
        </w:tc>
        <w:tc>
          <w:tcPr>
            <w:tcW w:w="1680" w:type="dxa"/>
            <w:vMerge/>
            <w:tcBorders>
              <w:top w:val="single" w:sz="8" w:space="0" w:color="auto"/>
              <w:left w:val="single" w:sz="4" w:space="0" w:color="auto"/>
              <w:bottom w:val="single" w:sz="4" w:space="0" w:color="auto"/>
              <w:right w:val="single" w:sz="4" w:space="0" w:color="auto"/>
            </w:tcBorders>
            <w:vAlign w:val="center"/>
          </w:tcPr>
          <w:p w:rsidR="00A32067" w:rsidRDefault="00A32067">
            <w:pPr>
              <w:rPr>
                <w:b/>
                <w:bCs/>
                <w:color w:val="3E3E3E"/>
              </w:rPr>
            </w:pPr>
          </w:p>
        </w:tc>
        <w:tc>
          <w:tcPr>
            <w:tcW w:w="1720" w:type="dxa"/>
            <w:vMerge/>
            <w:tcBorders>
              <w:top w:val="single" w:sz="8" w:space="0" w:color="auto"/>
              <w:left w:val="single" w:sz="4" w:space="0" w:color="auto"/>
              <w:bottom w:val="single" w:sz="4" w:space="0" w:color="auto"/>
              <w:right w:val="single" w:sz="4" w:space="0" w:color="auto"/>
            </w:tcBorders>
            <w:vAlign w:val="center"/>
          </w:tcPr>
          <w:p w:rsidR="00A32067" w:rsidRDefault="00A32067">
            <w:pPr>
              <w:rPr>
                <w:b/>
                <w:bCs/>
                <w:color w:val="3E3E3E"/>
              </w:rPr>
            </w:pPr>
          </w:p>
        </w:tc>
        <w:tc>
          <w:tcPr>
            <w:tcW w:w="1220" w:type="dxa"/>
            <w:tcBorders>
              <w:top w:val="nil"/>
              <w:left w:val="nil"/>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简单工程</w:t>
            </w:r>
          </w:p>
        </w:tc>
        <w:tc>
          <w:tcPr>
            <w:tcW w:w="900" w:type="dxa"/>
            <w:tcBorders>
              <w:top w:val="nil"/>
              <w:left w:val="nil"/>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一般工程</w:t>
            </w:r>
          </w:p>
        </w:tc>
        <w:tc>
          <w:tcPr>
            <w:tcW w:w="1060" w:type="dxa"/>
            <w:tcBorders>
              <w:top w:val="nil"/>
              <w:left w:val="nil"/>
              <w:bottom w:val="single" w:sz="4" w:space="0" w:color="auto"/>
              <w:right w:val="single" w:sz="4" w:space="0" w:color="auto"/>
            </w:tcBorders>
            <w:shd w:val="clear" w:color="000000" w:fill="FFFFFF"/>
            <w:vAlign w:val="center"/>
          </w:tcPr>
          <w:p w:rsidR="00A32067" w:rsidRDefault="00A32067">
            <w:pPr>
              <w:jc w:val="center"/>
              <w:rPr>
                <w:b/>
                <w:bCs/>
                <w:color w:val="3E3E3E"/>
              </w:rPr>
            </w:pPr>
            <w:r>
              <w:rPr>
                <w:rFonts w:cs="宋体" w:hint="eastAsia"/>
                <w:b/>
                <w:bCs/>
                <w:color w:val="3E3E3E"/>
              </w:rPr>
              <w:t>复杂工程</w:t>
            </w:r>
          </w:p>
        </w:tc>
        <w:tc>
          <w:tcPr>
            <w:tcW w:w="1520" w:type="dxa"/>
            <w:tcBorders>
              <w:top w:val="nil"/>
              <w:left w:val="nil"/>
              <w:bottom w:val="single" w:sz="4" w:space="0" w:color="auto"/>
              <w:right w:val="single" w:sz="8" w:space="0" w:color="auto"/>
            </w:tcBorders>
            <w:shd w:val="clear" w:color="000000" w:fill="FFFFFF"/>
            <w:vAlign w:val="center"/>
          </w:tcPr>
          <w:p w:rsidR="00A32067" w:rsidRDefault="00A32067">
            <w:pPr>
              <w:jc w:val="center"/>
              <w:rPr>
                <w:b/>
                <w:bCs/>
                <w:color w:val="3E3E3E"/>
              </w:rPr>
            </w:pPr>
            <w:r>
              <w:rPr>
                <w:rFonts w:cs="宋体" w:hint="eastAsia"/>
                <w:b/>
                <w:bCs/>
                <w:color w:val="3E3E3E"/>
              </w:rPr>
              <w:t>特别复杂工程</w:t>
            </w: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200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10.4</w:t>
            </w:r>
          </w:p>
        </w:tc>
        <w:tc>
          <w:tcPr>
            <w:tcW w:w="1220" w:type="dxa"/>
            <w:vMerge w:val="restart"/>
            <w:tcBorders>
              <w:top w:val="nil"/>
              <w:left w:val="single" w:sz="4" w:space="0" w:color="auto"/>
              <w:bottom w:val="single" w:sz="8" w:space="0" w:color="000000"/>
              <w:right w:val="single" w:sz="4" w:space="0" w:color="auto"/>
            </w:tcBorders>
            <w:shd w:val="clear" w:color="000000" w:fill="FFFFFF"/>
            <w:vAlign w:val="center"/>
          </w:tcPr>
          <w:p w:rsidR="00A32067" w:rsidRDefault="00A32067">
            <w:pPr>
              <w:jc w:val="center"/>
              <w:rPr>
                <w:color w:val="3E3E3E"/>
              </w:rPr>
            </w:pPr>
            <w:r>
              <w:rPr>
                <w:color w:val="3E3E3E"/>
              </w:rPr>
              <w:t>0.85</w:t>
            </w:r>
          </w:p>
        </w:tc>
        <w:tc>
          <w:tcPr>
            <w:tcW w:w="900" w:type="dxa"/>
            <w:vMerge w:val="restart"/>
            <w:tcBorders>
              <w:top w:val="nil"/>
              <w:left w:val="single" w:sz="4" w:space="0" w:color="auto"/>
              <w:bottom w:val="single" w:sz="8" w:space="0" w:color="000000"/>
              <w:right w:val="single" w:sz="4" w:space="0" w:color="auto"/>
            </w:tcBorders>
            <w:shd w:val="clear" w:color="000000" w:fill="FFFFFF"/>
            <w:vAlign w:val="center"/>
          </w:tcPr>
          <w:p w:rsidR="00A32067" w:rsidRDefault="00A32067">
            <w:pPr>
              <w:jc w:val="center"/>
              <w:rPr>
                <w:color w:val="3E3E3E"/>
              </w:rPr>
            </w:pPr>
            <w:r>
              <w:rPr>
                <w:color w:val="3E3E3E"/>
              </w:rPr>
              <w:t>1</w:t>
            </w:r>
          </w:p>
        </w:tc>
        <w:tc>
          <w:tcPr>
            <w:tcW w:w="1060" w:type="dxa"/>
            <w:vMerge w:val="restart"/>
            <w:tcBorders>
              <w:top w:val="nil"/>
              <w:left w:val="single" w:sz="4" w:space="0" w:color="auto"/>
              <w:bottom w:val="single" w:sz="8" w:space="0" w:color="000000"/>
              <w:right w:val="single" w:sz="4" w:space="0" w:color="auto"/>
            </w:tcBorders>
            <w:shd w:val="clear" w:color="000000" w:fill="FFFFFF"/>
            <w:vAlign w:val="center"/>
          </w:tcPr>
          <w:p w:rsidR="00A32067" w:rsidRDefault="00A32067">
            <w:pPr>
              <w:jc w:val="center"/>
              <w:rPr>
                <w:color w:val="3E3E3E"/>
              </w:rPr>
            </w:pPr>
            <w:r>
              <w:rPr>
                <w:color w:val="3E3E3E"/>
              </w:rPr>
              <w:t>1.15</w:t>
            </w:r>
          </w:p>
        </w:tc>
        <w:tc>
          <w:tcPr>
            <w:tcW w:w="1520" w:type="dxa"/>
            <w:vMerge w:val="restart"/>
            <w:tcBorders>
              <w:top w:val="nil"/>
              <w:left w:val="single" w:sz="4" w:space="0" w:color="auto"/>
              <w:bottom w:val="single" w:sz="8" w:space="0" w:color="000000"/>
              <w:right w:val="single" w:sz="8" w:space="0" w:color="auto"/>
            </w:tcBorders>
            <w:shd w:val="clear" w:color="000000" w:fill="FFFFFF"/>
            <w:vAlign w:val="center"/>
          </w:tcPr>
          <w:p w:rsidR="00A32067" w:rsidRDefault="00A32067">
            <w:pPr>
              <w:jc w:val="center"/>
              <w:rPr>
                <w:color w:val="3E3E3E"/>
              </w:rPr>
            </w:pPr>
            <w:r>
              <w:rPr>
                <w:color w:val="3E3E3E"/>
              </w:rPr>
              <w:t>1.3</w:t>
            </w: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2</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500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24</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3</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1000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44.6</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4</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3000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119.4</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5</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5000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188.5</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6</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8000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287</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7</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10000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335.3</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8</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20000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623.5</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9</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40000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1159.4</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10</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60000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1666.7</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11</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80000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2156.1</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12</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100000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2632.7</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13</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200000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4673.3</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14</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400000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8690.5</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360"/>
          <w:jc w:val="center"/>
        </w:trPr>
        <w:tc>
          <w:tcPr>
            <w:tcW w:w="64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15</w:t>
            </w:r>
          </w:p>
        </w:tc>
        <w:tc>
          <w:tcPr>
            <w:tcW w:w="1680" w:type="dxa"/>
            <w:tcBorders>
              <w:top w:val="nil"/>
              <w:left w:val="nil"/>
              <w:bottom w:val="single" w:sz="4" w:space="0" w:color="auto"/>
              <w:right w:val="single" w:sz="4" w:space="0" w:color="auto"/>
            </w:tcBorders>
            <w:shd w:val="clear" w:color="000000" w:fill="FFFFFF"/>
            <w:vAlign w:val="center"/>
          </w:tcPr>
          <w:p w:rsidR="00A32067" w:rsidRDefault="00A32067">
            <w:pPr>
              <w:rPr>
                <w:color w:val="3E3E3E"/>
              </w:rPr>
            </w:pPr>
            <w:r>
              <w:rPr>
                <w:color w:val="3E3E3E"/>
              </w:rPr>
              <w:t>600000</w:t>
            </w:r>
          </w:p>
        </w:tc>
        <w:tc>
          <w:tcPr>
            <w:tcW w:w="1720" w:type="dxa"/>
            <w:tcBorders>
              <w:top w:val="nil"/>
              <w:left w:val="nil"/>
              <w:bottom w:val="single" w:sz="4" w:space="0" w:color="auto"/>
              <w:right w:val="single" w:sz="4" w:space="0" w:color="auto"/>
            </w:tcBorders>
            <w:shd w:val="clear" w:color="000000" w:fill="FFFFFF"/>
            <w:vAlign w:val="bottom"/>
          </w:tcPr>
          <w:p w:rsidR="00A32067" w:rsidRDefault="00A32067">
            <w:pPr>
              <w:rPr>
                <w:color w:val="3E3E3E"/>
              </w:rPr>
            </w:pPr>
            <w:r>
              <w:rPr>
                <w:color w:val="3E3E3E"/>
              </w:rPr>
              <w:t>12492.4</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r w:rsidR="00A32067">
        <w:trPr>
          <w:trHeight w:val="91"/>
          <w:jc w:val="center"/>
        </w:trPr>
        <w:tc>
          <w:tcPr>
            <w:tcW w:w="640" w:type="dxa"/>
            <w:tcBorders>
              <w:top w:val="nil"/>
              <w:left w:val="single" w:sz="8" w:space="0" w:color="auto"/>
              <w:bottom w:val="single" w:sz="8" w:space="0" w:color="auto"/>
              <w:right w:val="single" w:sz="4" w:space="0" w:color="auto"/>
            </w:tcBorders>
            <w:shd w:val="clear" w:color="000000" w:fill="FFFFFF"/>
            <w:vAlign w:val="center"/>
          </w:tcPr>
          <w:p w:rsidR="00A32067" w:rsidRDefault="00A32067">
            <w:pPr>
              <w:jc w:val="center"/>
              <w:rPr>
                <w:color w:val="3E3E3E"/>
              </w:rPr>
            </w:pPr>
            <w:r>
              <w:rPr>
                <w:color w:val="3E3E3E"/>
              </w:rPr>
              <w:t>16</w:t>
            </w:r>
          </w:p>
        </w:tc>
        <w:tc>
          <w:tcPr>
            <w:tcW w:w="1680" w:type="dxa"/>
            <w:tcBorders>
              <w:top w:val="nil"/>
              <w:left w:val="nil"/>
              <w:bottom w:val="single" w:sz="8" w:space="0" w:color="auto"/>
              <w:right w:val="single" w:sz="4" w:space="0" w:color="auto"/>
            </w:tcBorders>
            <w:shd w:val="clear" w:color="000000" w:fill="FFFFFF"/>
            <w:vAlign w:val="center"/>
          </w:tcPr>
          <w:p w:rsidR="00A32067" w:rsidRDefault="00A32067">
            <w:pPr>
              <w:rPr>
                <w:color w:val="3E3E3E"/>
              </w:rPr>
            </w:pPr>
            <w:r>
              <w:rPr>
                <w:color w:val="3E3E3E"/>
              </w:rPr>
              <w:t>800000</w:t>
            </w:r>
          </w:p>
        </w:tc>
        <w:tc>
          <w:tcPr>
            <w:tcW w:w="1720" w:type="dxa"/>
            <w:tcBorders>
              <w:top w:val="nil"/>
              <w:left w:val="nil"/>
              <w:bottom w:val="single" w:sz="8" w:space="0" w:color="auto"/>
              <w:right w:val="single" w:sz="4" w:space="0" w:color="auto"/>
            </w:tcBorders>
            <w:shd w:val="clear" w:color="000000" w:fill="FFFFFF"/>
            <w:vAlign w:val="bottom"/>
          </w:tcPr>
          <w:p w:rsidR="00A32067" w:rsidRDefault="00A32067">
            <w:pPr>
              <w:rPr>
                <w:color w:val="3E3E3E"/>
              </w:rPr>
            </w:pPr>
            <w:r>
              <w:rPr>
                <w:color w:val="3E3E3E"/>
              </w:rPr>
              <w:t>16161</w:t>
            </w:r>
          </w:p>
        </w:tc>
        <w:tc>
          <w:tcPr>
            <w:tcW w:w="122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90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060" w:type="dxa"/>
            <w:vMerge/>
            <w:tcBorders>
              <w:top w:val="nil"/>
              <w:left w:val="single" w:sz="4" w:space="0" w:color="auto"/>
              <w:bottom w:val="single" w:sz="8" w:space="0" w:color="000000"/>
              <w:right w:val="single" w:sz="4" w:space="0" w:color="auto"/>
            </w:tcBorders>
            <w:vAlign w:val="center"/>
          </w:tcPr>
          <w:p w:rsidR="00A32067" w:rsidRDefault="00A32067">
            <w:pPr>
              <w:rPr>
                <w:color w:val="3E3E3E"/>
                <w:sz w:val="24"/>
                <w:szCs w:val="24"/>
              </w:rPr>
            </w:pPr>
          </w:p>
        </w:tc>
        <w:tc>
          <w:tcPr>
            <w:tcW w:w="1520" w:type="dxa"/>
            <w:vMerge/>
            <w:tcBorders>
              <w:top w:val="nil"/>
              <w:left w:val="single" w:sz="4" w:space="0" w:color="auto"/>
              <w:bottom w:val="single" w:sz="8" w:space="0" w:color="000000"/>
              <w:right w:val="single" w:sz="8" w:space="0" w:color="auto"/>
            </w:tcBorders>
            <w:vAlign w:val="center"/>
          </w:tcPr>
          <w:p w:rsidR="00A32067" w:rsidRDefault="00A32067">
            <w:pPr>
              <w:rPr>
                <w:color w:val="3E3E3E"/>
                <w:sz w:val="24"/>
                <w:szCs w:val="24"/>
              </w:rPr>
            </w:pPr>
          </w:p>
        </w:tc>
      </w:tr>
    </w:tbl>
    <w:p w:rsidR="00A32067" w:rsidRDefault="00A32067" w:rsidP="00A3206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注：</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设计基本服务</w:t>
      </w:r>
      <w:r>
        <w:rPr>
          <w:rFonts w:ascii="Times New Roman" w:hAnsi="Times New Roman" w:cs="Times New Roman"/>
          <w:color w:val="000000"/>
          <w:sz w:val="22"/>
          <w:szCs w:val="22"/>
        </w:rPr>
        <w:t>”</w:t>
      </w:r>
      <w:r>
        <w:rPr>
          <w:rFonts w:ascii="Times New Roman" w:hAnsi="Times New Roman" w:hint="eastAsia"/>
          <w:color w:val="000000"/>
          <w:sz w:val="22"/>
          <w:szCs w:val="22"/>
        </w:rPr>
        <w:t>指设计人根据发包人的委托，按国家法律、技术规范和设计深度要求向发包人提供编制方案设计、初步设计（含初步设计概算）、施工图设计（不含编制工程量清单及施工图预算）服务，提供相应设计技术交底、解决施工中的设计技术问题、参加竣工验收等服务。</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设计基本服务成本基数</w:t>
      </w:r>
      <w:r>
        <w:rPr>
          <w:rFonts w:ascii="Times New Roman" w:hAnsi="Times New Roman" w:cs="Times New Roman"/>
          <w:color w:val="000000"/>
          <w:sz w:val="22"/>
          <w:szCs w:val="22"/>
        </w:rPr>
        <w:t>”</w:t>
      </w:r>
      <w:r>
        <w:rPr>
          <w:rFonts w:ascii="Times New Roman" w:hAnsi="Times New Roman" w:hint="eastAsia"/>
          <w:color w:val="000000"/>
          <w:sz w:val="22"/>
          <w:szCs w:val="22"/>
        </w:rPr>
        <w:t>（含税金），是设计单位实际发生的成本（含税金）的采样分析数据。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工程复杂程度影响系数</w:t>
      </w:r>
      <w:r>
        <w:rPr>
          <w:rFonts w:ascii="Times New Roman" w:hAnsi="Times New Roman" w:cs="Times New Roman"/>
          <w:color w:val="000000"/>
          <w:sz w:val="22"/>
          <w:szCs w:val="22"/>
        </w:rPr>
        <w:t>”</w:t>
      </w:r>
      <w:r>
        <w:rPr>
          <w:rFonts w:ascii="Times New Roman" w:hAnsi="Times New Roman" w:hint="eastAsia"/>
          <w:color w:val="000000"/>
          <w:sz w:val="22"/>
          <w:szCs w:val="22"/>
        </w:rPr>
        <w:t>是不同工程复杂程度对设计单位基本服务成本基数影响程度的调整系数的分析数据。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工程复杂程度</w:t>
      </w:r>
      <w:r>
        <w:rPr>
          <w:rFonts w:ascii="Times New Roman" w:hAnsi="Times New Roman" w:cs="Times New Roman"/>
          <w:color w:val="000000"/>
          <w:sz w:val="22"/>
          <w:szCs w:val="22"/>
        </w:rPr>
        <w:t>”</w:t>
      </w:r>
      <w:r>
        <w:rPr>
          <w:rFonts w:ascii="Times New Roman" w:hAnsi="Times New Roman" w:hint="eastAsia"/>
          <w:color w:val="000000"/>
          <w:sz w:val="22"/>
          <w:szCs w:val="22"/>
        </w:rPr>
        <w:t>详见《全国建筑设计劳动（工日）定额》（</w:t>
      </w:r>
      <w:r>
        <w:rPr>
          <w:rFonts w:ascii="Times New Roman" w:hAnsi="Times New Roman" w:cs="Times New Roman"/>
          <w:color w:val="000000"/>
          <w:sz w:val="22"/>
          <w:szCs w:val="22"/>
        </w:rPr>
        <w:t>2014</w:t>
      </w:r>
      <w:r>
        <w:rPr>
          <w:rFonts w:ascii="Times New Roman" w:hAnsi="Times New Roman" w:hint="eastAsia"/>
          <w:color w:val="000000"/>
          <w:sz w:val="22"/>
          <w:szCs w:val="22"/>
        </w:rPr>
        <w:t>年修编版）。</w:t>
      </w:r>
    </w:p>
    <w:p w:rsidR="00A32067" w:rsidRDefault="00A32067">
      <w:pPr>
        <w:shd w:val="clear" w:color="auto" w:fill="FFFFFF"/>
        <w:wordWrap w:val="0"/>
        <w:spacing w:after="120" w:line="375" w:lineRule="atLeast"/>
        <w:rPr>
          <w:color w:val="3E3E3E"/>
        </w:rPr>
      </w:pPr>
    </w:p>
    <w:p w:rsidR="00A32067" w:rsidRDefault="00A32067">
      <w:pPr>
        <w:shd w:val="clear" w:color="auto" w:fill="FFFFFF"/>
        <w:wordWrap w:val="0"/>
        <w:spacing w:after="120" w:line="375" w:lineRule="atLeast"/>
        <w:rPr>
          <w:color w:val="3E3E3E"/>
        </w:rPr>
      </w:pPr>
    </w:p>
    <w:p w:rsidR="00A32067" w:rsidRDefault="00A32067">
      <w:pPr>
        <w:shd w:val="clear" w:color="auto" w:fill="FFFFFF"/>
        <w:wordWrap w:val="0"/>
        <w:spacing w:after="120" w:line="375" w:lineRule="atLeast"/>
        <w:rPr>
          <w:color w:val="3E3E3E"/>
        </w:rPr>
      </w:pPr>
    </w:p>
    <w:p w:rsidR="00A32067" w:rsidRDefault="00A32067">
      <w:pPr>
        <w:shd w:val="clear" w:color="auto" w:fill="FFFFFF"/>
        <w:wordWrap w:val="0"/>
        <w:spacing w:after="120" w:line="375" w:lineRule="atLeast"/>
        <w:rPr>
          <w:color w:val="3E3E3E"/>
        </w:rPr>
      </w:pPr>
    </w:p>
    <w:p w:rsidR="00A32067" w:rsidRDefault="00A32067">
      <w:pPr>
        <w:shd w:val="clear" w:color="auto" w:fill="FFFFFF"/>
        <w:wordWrap w:val="0"/>
        <w:spacing w:after="120" w:line="375" w:lineRule="atLeast"/>
        <w:rPr>
          <w:color w:val="3E3E3E"/>
        </w:rPr>
      </w:pPr>
    </w:p>
    <w:p w:rsidR="00A32067" w:rsidRDefault="00A32067">
      <w:pPr>
        <w:shd w:val="clear" w:color="auto" w:fill="FFFFFF"/>
        <w:wordWrap w:val="0"/>
        <w:spacing w:after="120" w:line="375" w:lineRule="atLeast"/>
        <w:rPr>
          <w:color w:val="3E3E3E"/>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附表三</w:t>
      </w:r>
      <w:r>
        <w:rPr>
          <w:rFonts w:ascii="Times New Roman" w:hAnsi="Times New Roman" w:cs="Times New Roman"/>
          <w:b/>
          <w:bCs/>
          <w:kern w:val="2"/>
        </w:rPr>
        <w:t>   </w:t>
      </w:r>
      <w:r>
        <w:rPr>
          <w:rFonts w:ascii="Times New Roman" w:hAnsi="Times New Roman" w:hint="eastAsia"/>
          <w:b/>
          <w:bCs/>
          <w:kern w:val="2"/>
        </w:rPr>
        <w:t>建筑设计其他服务成本附加系数信息表</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tbl>
      <w:tblPr>
        <w:tblW w:w="8613" w:type="dxa"/>
        <w:jc w:val="center"/>
        <w:tblLayout w:type="fixed"/>
        <w:tblCellMar>
          <w:left w:w="0" w:type="dxa"/>
          <w:right w:w="0" w:type="dxa"/>
        </w:tblCellMar>
        <w:tblLook w:val="00A0"/>
      </w:tblPr>
      <w:tblGrid>
        <w:gridCol w:w="1101"/>
        <w:gridCol w:w="3827"/>
        <w:gridCol w:w="2551"/>
        <w:gridCol w:w="1134"/>
      </w:tblGrid>
      <w:tr w:rsidR="00A32067">
        <w:trPr>
          <w:trHeight w:val="550"/>
          <w:tblHeader/>
          <w:jc w:val="center"/>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spacing w:line="15" w:lineRule="atLeast"/>
              <w:jc w:val="center"/>
              <w:rPr>
                <w:color w:val="3E3E3E"/>
              </w:rPr>
            </w:pPr>
            <w:r>
              <w:rPr>
                <w:rFonts w:cs="宋体" w:hint="eastAsia"/>
                <w:b/>
                <w:bCs/>
                <w:color w:val="3E3E3E"/>
              </w:rPr>
              <w:t>序号</w:t>
            </w:r>
          </w:p>
        </w:tc>
        <w:tc>
          <w:tcPr>
            <w:tcW w:w="3827" w:type="dxa"/>
            <w:tcBorders>
              <w:top w:val="single" w:sz="8" w:space="0" w:color="auto"/>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spacing w:line="15" w:lineRule="atLeast"/>
              <w:ind w:firstLine="480"/>
              <w:jc w:val="center"/>
              <w:rPr>
                <w:color w:val="3E3E3E"/>
              </w:rPr>
            </w:pPr>
            <w:r>
              <w:rPr>
                <w:rFonts w:cs="宋体" w:hint="eastAsia"/>
                <w:b/>
                <w:bCs/>
                <w:color w:val="3E3E3E"/>
              </w:rPr>
              <w:t>服务内容</w:t>
            </w:r>
          </w:p>
        </w:tc>
        <w:tc>
          <w:tcPr>
            <w:tcW w:w="2551" w:type="dxa"/>
            <w:tcBorders>
              <w:top w:val="single" w:sz="8" w:space="0" w:color="auto"/>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spacing w:line="15" w:lineRule="atLeast"/>
              <w:jc w:val="center"/>
              <w:rPr>
                <w:color w:val="3E3E3E"/>
              </w:rPr>
            </w:pPr>
            <w:r>
              <w:rPr>
                <w:rFonts w:cs="宋体" w:hint="eastAsia"/>
                <w:b/>
                <w:bCs/>
                <w:color w:val="3E3E3E"/>
              </w:rPr>
              <w:t>服务成本附加系数</w:t>
            </w:r>
          </w:p>
        </w:tc>
        <w:tc>
          <w:tcPr>
            <w:tcW w:w="1134" w:type="dxa"/>
            <w:tcBorders>
              <w:top w:val="single" w:sz="8" w:space="0" w:color="auto"/>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spacing w:line="15" w:lineRule="atLeast"/>
              <w:jc w:val="center"/>
              <w:rPr>
                <w:color w:val="3E3E3E"/>
              </w:rPr>
            </w:pPr>
            <w:r>
              <w:rPr>
                <w:rFonts w:cs="宋体" w:hint="eastAsia"/>
                <w:b/>
                <w:bCs/>
                <w:color w:val="3E3E3E"/>
              </w:rPr>
              <w:t>备注</w:t>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1</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总体设计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ind w:firstLine="480"/>
              <w:jc w:val="center"/>
              <w:rPr>
                <w:color w:val="3E3E3E"/>
              </w:rPr>
            </w:pPr>
            <w:r>
              <w:rPr>
                <w:color w:val="3E3E3E"/>
              </w:rPr>
              <w:t>0.1</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2</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设计总包服务、主体设计协调</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0.1-0.2</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974"/>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3</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绿色建筑设计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rFonts w:cs="宋体" w:hint="eastAsia"/>
                <w:color w:val="3E3E3E"/>
              </w:rPr>
              <w:t>一星：</w:t>
            </w:r>
            <w:r>
              <w:rPr>
                <w:color w:val="3E3E3E"/>
              </w:rPr>
              <w:t>0.05</w:t>
            </w:r>
          </w:p>
          <w:p w:rsidR="00A32067" w:rsidRDefault="00A32067">
            <w:pPr>
              <w:wordWrap w:val="0"/>
              <w:ind w:firstLine="480"/>
              <w:jc w:val="center"/>
              <w:rPr>
                <w:color w:val="3E3E3E"/>
              </w:rPr>
            </w:pPr>
            <w:r>
              <w:rPr>
                <w:rFonts w:cs="宋体" w:hint="eastAsia"/>
                <w:color w:val="3E3E3E"/>
              </w:rPr>
              <w:t>二星：</w:t>
            </w:r>
            <w:r>
              <w:rPr>
                <w:color w:val="3E3E3E"/>
              </w:rPr>
              <w:t>0.15</w:t>
            </w:r>
          </w:p>
          <w:p w:rsidR="00A32067" w:rsidRDefault="00A32067">
            <w:pPr>
              <w:wordWrap w:val="0"/>
              <w:ind w:firstLine="480"/>
              <w:jc w:val="center"/>
              <w:rPr>
                <w:color w:val="3E3E3E"/>
              </w:rPr>
            </w:pPr>
            <w:r>
              <w:rPr>
                <w:rFonts w:cs="宋体" w:hint="eastAsia"/>
                <w:color w:val="3E3E3E"/>
              </w:rPr>
              <w:t>三星：</w:t>
            </w:r>
            <w:r>
              <w:rPr>
                <w:color w:val="3E3E3E"/>
              </w:rPr>
              <w:t>0.30</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4</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BIM</w:t>
            </w:r>
            <w:r>
              <w:rPr>
                <w:rFonts w:cs="宋体" w:hint="eastAsia"/>
                <w:color w:val="3E3E3E"/>
              </w:rPr>
              <w:t>技术设计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0.2-0.5</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5</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被动式节能设计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0.1-0.3</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6</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预制装配式设计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0.1-0.3</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7</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建筑智能化设计</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0.1-0.35</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8</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编制施工招标技术文件</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9</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编制工程量清单</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0.06-0.1</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10</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编制施工图预算</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8"/>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11</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建设过程第三方设计咨询</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0.1-0.3</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r w:rsidR="00A32067">
        <w:trPr>
          <w:trHeight w:hRule="exact" w:val="619"/>
          <w:jc w:val="center"/>
        </w:trPr>
        <w:tc>
          <w:tcPr>
            <w:tcW w:w="1101" w:type="dxa"/>
            <w:tcBorders>
              <w:top w:val="single" w:sz="6" w:space="0" w:color="D4D0C8"/>
              <w:left w:val="single" w:sz="8" w:space="0" w:color="auto"/>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color w:val="3E3E3E"/>
              </w:rPr>
              <w:t>12</w:t>
            </w:r>
          </w:p>
        </w:tc>
        <w:tc>
          <w:tcPr>
            <w:tcW w:w="3827"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rPr>
                <w:color w:val="3E3E3E"/>
              </w:rPr>
            </w:pPr>
            <w:r>
              <w:rPr>
                <w:rFonts w:cs="宋体" w:hint="eastAsia"/>
                <w:color w:val="3E3E3E"/>
              </w:rPr>
              <w:t>编制竣工图</w:t>
            </w:r>
          </w:p>
        </w:tc>
        <w:tc>
          <w:tcPr>
            <w:tcW w:w="2551"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ind w:firstLine="480"/>
              <w:jc w:val="center"/>
              <w:rPr>
                <w:color w:val="3E3E3E"/>
              </w:rPr>
            </w:pPr>
            <w:r>
              <w:rPr>
                <w:color w:val="3E3E3E"/>
              </w:rPr>
              <w:t>0.1</w:t>
            </w:r>
          </w:p>
        </w:tc>
        <w:tc>
          <w:tcPr>
            <w:tcW w:w="1134" w:type="dxa"/>
            <w:tcBorders>
              <w:top w:val="single" w:sz="6" w:space="0" w:color="D4D0C8"/>
              <w:left w:val="single" w:sz="6" w:space="0" w:color="D4D0C8"/>
              <w:bottom w:val="single" w:sz="8" w:space="0" w:color="auto"/>
              <w:right w:val="single" w:sz="8" w:space="0" w:color="auto"/>
            </w:tcBorders>
            <w:tcMar>
              <w:top w:w="0" w:type="dxa"/>
              <w:left w:w="108" w:type="dxa"/>
              <w:bottom w:w="0" w:type="dxa"/>
              <w:right w:w="108" w:type="dxa"/>
            </w:tcMar>
            <w:vAlign w:val="center"/>
          </w:tcPr>
          <w:p w:rsidR="00A32067" w:rsidRDefault="00A32067">
            <w:pPr>
              <w:wordWrap w:val="0"/>
              <w:rPr>
                <w:color w:val="3E3E3E"/>
              </w:rPr>
            </w:pPr>
            <w:r>
              <w:rPr>
                <w:color w:val="3E3E3E"/>
              </w:rPr>
              <w:br/>
            </w:r>
          </w:p>
        </w:tc>
      </w:tr>
    </w:tbl>
    <w:p w:rsidR="00A32067" w:rsidRDefault="00A32067" w:rsidP="00A3206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注：</w:t>
      </w:r>
      <w:r>
        <w:rPr>
          <w:rFonts w:ascii="Times New Roman" w:hAnsi="Times New Roman" w:cs="Times New Roman"/>
          <w:color w:val="000000"/>
          <w:sz w:val="22"/>
          <w:szCs w:val="22"/>
        </w:rPr>
        <w:t>1</w:t>
      </w:r>
      <w:r>
        <w:rPr>
          <w:rFonts w:ascii="Times New Roman" w:hAnsi="Times New Roman" w:hint="eastAsia"/>
          <w:color w:val="000000"/>
          <w:sz w:val="22"/>
          <w:szCs w:val="22"/>
        </w:rPr>
        <w:t>．发包人要求设计人提供附表三中所列的服务时，设计服务成本相应增加，</w:t>
      </w:r>
      <w:r>
        <w:rPr>
          <w:rFonts w:ascii="Times New Roman" w:hAnsi="Times New Roman" w:cs="Times New Roman"/>
          <w:color w:val="000000"/>
          <w:sz w:val="22"/>
          <w:szCs w:val="22"/>
        </w:rPr>
        <w:t>“</w:t>
      </w:r>
      <w:r>
        <w:rPr>
          <w:rFonts w:ascii="Times New Roman" w:hAnsi="Times New Roman" w:hint="eastAsia"/>
          <w:color w:val="000000"/>
          <w:sz w:val="22"/>
          <w:szCs w:val="22"/>
        </w:rPr>
        <w:t>服务成本附加系数</w:t>
      </w:r>
      <w:r>
        <w:rPr>
          <w:rFonts w:ascii="Times New Roman" w:hAnsi="Times New Roman" w:cs="Times New Roman"/>
          <w:color w:val="000000"/>
          <w:sz w:val="22"/>
          <w:szCs w:val="22"/>
        </w:rPr>
        <w:t>”</w:t>
      </w:r>
      <w:r>
        <w:rPr>
          <w:rFonts w:ascii="Times New Roman" w:hAnsi="Times New Roman" w:hint="eastAsia"/>
          <w:color w:val="000000"/>
          <w:sz w:val="22"/>
          <w:szCs w:val="22"/>
        </w:rPr>
        <w:t>反映了所增加成本与设计基本服务成本基数的比例关系，有区间值的系对不同服务内容、不同深度与复杂程度采集、分析的结果。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总体设计</w:t>
      </w:r>
      <w:r>
        <w:rPr>
          <w:rFonts w:ascii="Times New Roman" w:hAnsi="Times New Roman" w:cs="Times New Roman"/>
          <w:color w:val="000000"/>
          <w:sz w:val="22"/>
          <w:szCs w:val="22"/>
        </w:rPr>
        <w:t>”</w:t>
      </w:r>
      <w:r>
        <w:rPr>
          <w:rFonts w:ascii="Times New Roman" w:hAnsi="Times New Roman" w:hint="eastAsia"/>
          <w:color w:val="000000"/>
          <w:sz w:val="22"/>
          <w:szCs w:val="22"/>
        </w:rPr>
        <w:t>指初步设计之前，一些项目需要分步建设，发包人要求编制的总体设计（总体规划设计）。一般建设项目的总平面布置或总图设计不属于总体设计范畴。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设计总包服务</w:t>
      </w:r>
      <w:r>
        <w:rPr>
          <w:rFonts w:ascii="Times New Roman" w:hAnsi="Times New Roman" w:cs="Times New Roman"/>
          <w:color w:val="000000"/>
          <w:sz w:val="22"/>
          <w:szCs w:val="22"/>
        </w:rPr>
        <w:t>”</w:t>
      </w:r>
      <w:r>
        <w:rPr>
          <w:rFonts w:ascii="Times New Roman" w:hAnsi="Times New Roman" w:hint="eastAsia"/>
          <w:color w:val="000000"/>
          <w:sz w:val="22"/>
          <w:szCs w:val="22"/>
        </w:rPr>
        <w:t>指设计人承担全部（含分包）设计管理责任，</w:t>
      </w:r>
      <w:r>
        <w:rPr>
          <w:rFonts w:ascii="Times New Roman" w:hAnsi="Times New Roman" w:cs="Times New Roman"/>
          <w:color w:val="000000"/>
          <w:sz w:val="22"/>
          <w:szCs w:val="22"/>
        </w:rPr>
        <w:t>“</w:t>
      </w:r>
      <w:r>
        <w:rPr>
          <w:rFonts w:ascii="Times New Roman" w:hAnsi="Times New Roman" w:hint="eastAsia"/>
          <w:color w:val="000000"/>
          <w:sz w:val="22"/>
          <w:szCs w:val="22"/>
        </w:rPr>
        <w:t>主体设计协调</w:t>
      </w:r>
      <w:r>
        <w:rPr>
          <w:rFonts w:ascii="Times New Roman" w:hAnsi="Times New Roman" w:cs="Times New Roman"/>
          <w:color w:val="000000"/>
          <w:sz w:val="22"/>
          <w:szCs w:val="22"/>
        </w:rPr>
        <w:t>”</w:t>
      </w:r>
      <w:r>
        <w:rPr>
          <w:rFonts w:ascii="Times New Roman" w:hAnsi="Times New Roman" w:hint="eastAsia"/>
          <w:color w:val="000000"/>
          <w:sz w:val="22"/>
          <w:szCs w:val="22"/>
        </w:rPr>
        <w:t>指建设项目由两个或者两个以上设计人承担时，发包人确定其中一个设计人承担主体设计协调服务，对设计的合理性和整体性负责。</w:t>
      </w:r>
    </w:p>
    <w:p w:rsidR="00A32067" w:rsidRDefault="00A32067"/>
    <w:p w:rsidR="00A32067" w:rsidRDefault="00A32067"/>
    <w:p w:rsidR="00A32067" w:rsidRDefault="00A32067"/>
    <w:p w:rsidR="00A32067" w:rsidRDefault="00A32067"/>
    <w:p w:rsidR="00A32067" w:rsidRDefault="00A32067"/>
    <w:p w:rsidR="00A32067" w:rsidRDefault="00A32067">
      <w:pPr>
        <w:spacing w:line="360" w:lineRule="auto"/>
        <w:jc w:val="center"/>
        <w:outlineLvl w:val="2"/>
        <w:rPr>
          <w:b/>
          <w:bCs/>
          <w:color w:val="333333"/>
          <w:spacing w:val="10"/>
          <w:kern w:val="0"/>
          <w:sz w:val="44"/>
          <w:szCs w:val="44"/>
        </w:rPr>
      </w:pPr>
      <w:bookmarkStart w:id="69" w:name="_Toc519872298"/>
      <w:r>
        <w:rPr>
          <w:rFonts w:cs="宋体" w:hint="eastAsia"/>
          <w:b/>
          <w:bCs/>
          <w:color w:val="333333"/>
          <w:spacing w:val="10"/>
          <w:kern w:val="0"/>
          <w:sz w:val="44"/>
          <w:szCs w:val="44"/>
        </w:rPr>
        <w:t>国家发展改革委关于降低部分建设项目</w:t>
      </w:r>
      <w:r>
        <w:rPr>
          <w:b/>
          <w:bCs/>
          <w:color w:val="333333"/>
          <w:spacing w:val="10"/>
          <w:kern w:val="0"/>
          <w:sz w:val="44"/>
          <w:szCs w:val="44"/>
        </w:rPr>
        <w:br/>
      </w:r>
      <w:r>
        <w:rPr>
          <w:rFonts w:cs="宋体" w:hint="eastAsia"/>
          <w:b/>
          <w:bCs/>
          <w:color w:val="333333"/>
          <w:spacing w:val="10"/>
          <w:kern w:val="0"/>
          <w:sz w:val="44"/>
          <w:szCs w:val="44"/>
        </w:rPr>
        <w:t>收费标准规范收费行为等有关问题的通知</w:t>
      </w:r>
      <w:r>
        <w:rPr>
          <w:b/>
          <w:bCs/>
          <w:color w:val="333333"/>
          <w:spacing w:val="10"/>
          <w:kern w:val="0"/>
          <w:sz w:val="44"/>
          <w:szCs w:val="44"/>
        </w:rPr>
        <w:br/>
      </w:r>
      <w:r>
        <w:rPr>
          <w:rFonts w:cs="宋体" w:hint="eastAsia"/>
          <w:color w:val="000000"/>
          <w:sz w:val="22"/>
          <w:szCs w:val="22"/>
        </w:rPr>
        <w:t>发改价格</w:t>
      </w:r>
      <w:r>
        <w:rPr>
          <w:color w:val="000000"/>
          <w:sz w:val="22"/>
          <w:szCs w:val="22"/>
        </w:rPr>
        <w:t>[2011]534</w:t>
      </w:r>
      <w:r>
        <w:rPr>
          <w:rFonts w:cs="宋体" w:hint="eastAsia"/>
          <w:color w:val="000000"/>
          <w:sz w:val="22"/>
          <w:szCs w:val="22"/>
        </w:rPr>
        <w:t>号</w:t>
      </w:r>
      <w:bookmarkEnd w:id="69"/>
    </w:p>
    <w:p w:rsidR="00A32067" w:rsidRDefault="00A32067"/>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住房城乡建设部、环境保护部，各省、自治区、直辖市发展改革委、物价局：</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为贯彻落实国务院领导重要批示和全国纠风工作会议精神，进一步优化企业发展环境，减轻企业和群众负担，决定适当降低部分建设项目收费标准，规范收费行为。现将有关事项通知如下：</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降低保障性住房转让手续费，减免保障性住房租赁手续费。经批准设立的各房屋交易登记机构在办理房屋交易手续时，限价商品住房、棚户区改造安置住房等保障性住房转让手续费应在原国家计委、建设部《关于规范住房交易手续费有关问题的通知》（计价格</w:t>
      </w:r>
      <w:r>
        <w:rPr>
          <w:rFonts w:ascii="Times New Roman" w:hAnsi="Times New Roman" w:cs="Times New Roman"/>
          <w:color w:val="000000"/>
          <w:sz w:val="22"/>
          <w:szCs w:val="22"/>
        </w:rPr>
        <w:t>[2002]121</w:t>
      </w:r>
      <w:r>
        <w:rPr>
          <w:rFonts w:ascii="Times New Roman" w:hAnsi="Times New Roman" w:hint="eastAsia"/>
          <w:color w:val="000000"/>
          <w:sz w:val="22"/>
          <w:szCs w:val="22"/>
        </w:rPr>
        <w:t>号）规定收费标准的基础上减半收取，即执行与经济适用住房相同的收费标准；因继承、遗赠、婚姻关系共有发生的住房转让免收住房转让手续费；依法进行的廉租住房、公共租赁住房等保障性住房租赁行为免收租赁手续费；住房抵押不得收取抵押手续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二、规范并降低施工图设计文件审查费。各地应加强施工图设计审查收费管理，经认定设立的施工图审查机构，承接房屋建筑、市政基础设施工程施工图审查业务收取施工图设计文件审查费，以工程勘察设计收费为基准计费的，其收费标准应不高于工程勘察设计收费标准的</w:t>
      </w:r>
      <w:r>
        <w:rPr>
          <w:rFonts w:ascii="Times New Roman" w:hAnsi="Times New Roman" w:cs="Times New Roman"/>
          <w:color w:val="000000"/>
          <w:sz w:val="22"/>
          <w:szCs w:val="22"/>
        </w:rPr>
        <w:t>6.5%</w:t>
      </w:r>
      <w:r>
        <w:rPr>
          <w:rFonts w:ascii="Times New Roman" w:hAnsi="Times New Roman" w:hint="eastAsia"/>
          <w:color w:val="000000"/>
          <w:sz w:val="22"/>
          <w:szCs w:val="22"/>
        </w:rPr>
        <w:t>；以工程概（预）算投资额比率计费的，其收费标准应不高于工程概（预）算投资额的</w:t>
      </w:r>
      <w:r>
        <w:rPr>
          <w:rFonts w:ascii="Times New Roman" w:hAnsi="Times New Roman" w:cs="Times New Roman"/>
          <w:color w:val="000000"/>
          <w:sz w:val="22"/>
          <w:szCs w:val="22"/>
        </w:rPr>
        <w:t>2‰</w:t>
      </w:r>
      <w:r>
        <w:rPr>
          <w:rFonts w:ascii="Times New Roman" w:hAnsi="Times New Roman" w:hint="eastAsia"/>
          <w:color w:val="000000"/>
          <w:sz w:val="22"/>
          <w:szCs w:val="22"/>
        </w:rPr>
        <w:t>；按照建筑面积计费的，其收费标准应不高于</w:t>
      </w:r>
      <w:r>
        <w:rPr>
          <w:rFonts w:ascii="Times New Roman" w:hAnsi="Times New Roman" w:cs="Times New Roman"/>
          <w:color w:val="000000"/>
          <w:sz w:val="22"/>
          <w:szCs w:val="22"/>
        </w:rPr>
        <w:t>2</w:t>
      </w:r>
      <w:r>
        <w:rPr>
          <w:rFonts w:ascii="Times New Roman" w:hAnsi="Times New Roman" w:hint="eastAsia"/>
          <w:color w:val="000000"/>
          <w:sz w:val="22"/>
          <w:szCs w:val="22"/>
        </w:rPr>
        <w:t>元</w:t>
      </w:r>
      <w:r>
        <w:rPr>
          <w:rFonts w:ascii="Times New Roman" w:hAnsi="Times New Roman" w:cs="Times New Roman"/>
          <w:color w:val="000000"/>
          <w:sz w:val="22"/>
          <w:szCs w:val="22"/>
        </w:rPr>
        <w:t>/</w:t>
      </w:r>
      <w:r>
        <w:rPr>
          <w:rFonts w:ascii="Times New Roman" w:hAnsi="Times New Roman" w:hint="eastAsia"/>
          <w:color w:val="000000"/>
          <w:sz w:val="22"/>
          <w:szCs w:val="22"/>
        </w:rPr>
        <w:t>平方米。具体收费标准由各省、自治区、直辖市价格主管部门结合当地实际情况，在不高于上述上限的范围内确定。各地现行收费标准低于收费上限的，一律不得提高标准。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三、降低部分行业建设项目环境影响咨询收费标准。各环境影响评价机构对估算投资额</w:t>
      </w:r>
      <w:r>
        <w:rPr>
          <w:rFonts w:ascii="Times New Roman" w:hAnsi="Times New Roman" w:cs="Times New Roman"/>
          <w:color w:val="000000"/>
          <w:sz w:val="22"/>
          <w:szCs w:val="22"/>
        </w:rPr>
        <w:t>100</w:t>
      </w:r>
      <w:r>
        <w:rPr>
          <w:rFonts w:ascii="Times New Roman" w:hAnsi="Times New Roman" w:hint="eastAsia"/>
          <w:color w:val="000000"/>
          <w:sz w:val="22"/>
          <w:szCs w:val="22"/>
        </w:rPr>
        <w:t>亿元以下的农业、林业、渔业、水利、建材、市政（不含垃圾及危险废物集中处置）、房地产、仓储（涉及有毒、有害及危险品的除外）、烟草、邮电、广播电视、电子配件组装、社会事业与服务建设项目的环境影响评价（编制环境影响报告书、报告表）收费，应在原国家计委、国家环保总局《关于规范环境影响咨询收费有关问题的通知》（计价格</w:t>
      </w:r>
      <w:r>
        <w:rPr>
          <w:rFonts w:ascii="Times New Roman" w:hAnsi="Times New Roman" w:cs="Times New Roman"/>
          <w:color w:val="000000"/>
          <w:sz w:val="22"/>
          <w:szCs w:val="22"/>
        </w:rPr>
        <w:t xml:space="preserve"> [2002</w:t>
      </w:r>
      <w:r>
        <w:rPr>
          <w:rFonts w:ascii="Times New Roman" w:hAnsi="Times New Roman" w:hint="eastAsia"/>
          <w:color w:val="000000"/>
          <w:sz w:val="22"/>
          <w:szCs w:val="22"/>
        </w:rPr>
        <w:t>）</w:t>
      </w:r>
      <w:r>
        <w:rPr>
          <w:rFonts w:ascii="Times New Roman" w:hAnsi="Times New Roman" w:cs="Times New Roman"/>
          <w:color w:val="000000"/>
          <w:sz w:val="22"/>
          <w:szCs w:val="22"/>
        </w:rPr>
        <w:t>125</w:t>
      </w:r>
      <w:r>
        <w:rPr>
          <w:rFonts w:ascii="Times New Roman" w:hAnsi="Times New Roman" w:hint="eastAsia"/>
          <w:color w:val="000000"/>
          <w:sz w:val="22"/>
          <w:szCs w:val="22"/>
        </w:rPr>
        <w:t>号）规定的收费标准基础上下调</w:t>
      </w:r>
      <w:r>
        <w:rPr>
          <w:rFonts w:ascii="Times New Roman" w:hAnsi="Times New Roman" w:cs="Times New Roman"/>
          <w:color w:val="000000"/>
          <w:sz w:val="22"/>
          <w:szCs w:val="22"/>
        </w:rPr>
        <w:t>20</w:t>
      </w:r>
      <w:r>
        <w:rPr>
          <w:rFonts w:ascii="Times New Roman" w:hAnsi="Times New Roman" w:hint="eastAsia"/>
          <w:color w:val="000000"/>
          <w:sz w:val="22"/>
          <w:szCs w:val="22"/>
        </w:rPr>
        <w:t>％收取；上述行业以外的化工、冶金、有色等其他建设项目的环境影响评价收费维持现行标准不变。环境影响评价收费标准中不包括获取相关经济、社会、水文、气象、环境现状等基础数据的费用。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四、降低中标金额在</w:t>
      </w:r>
      <w:r>
        <w:rPr>
          <w:rFonts w:ascii="Times New Roman" w:hAnsi="Times New Roman" w:cs="Times New Roman"/>
          <w:color w:val="000000"/>
          <w:sz w:val="22"/>
          <w:szCs w:val="22"/>
        </w:rPr>
        <w:t>5</w:t>
      </w:r>
      <w:r>
        <w:rPr>
          <w:rFonts w:ascii="Times New Roman" w:hAnsi="Times New Roman" w:hint="eastAsia"/>
          <w:color w:val="000000"/>
          <w:sz w:val="22"/>
          <w:szCs w:val="22"/>
        </w:rPr>
        <w:t>亿元以上招标代理服务收费标准，并设置收费上限。货物、服务、工程招标代理服务收费差额费率：中标金额在</w:t>
      </w:r>
      <w:r>
        <w:rPr>
          <w:rFonts w:ascii="Times New Roman" w:hAnsi="Times New Roman" w:cs="Times New Roman"/>
          <w:color w:val="000000"/>
          <w:sz w:val="22"/>
          <w:szCs w:val="22"/>
        </w:rPr>
        <w:t>5—10</w:t>
      </w:r>
      <w:r>
        <w:rPr>
          <w:rFonts w:ascii="Times New Roman" w:hAnsi="Times New Roman" w:hint="eastAsia"/>
          <w:color w:val="000000"/>
          <w:sz w:val="22"/>
          <w:szCs w:val="22"/>
        </w:rPr>
        <w:t>亿元的为</w:t>
      </w:r>
      <w:r>
        <w:rPr>
          <w:rFonts w:ascii="Times New Roman" w:hAnsi="Times New Roman" w:cs="Times New Roman"/>
          <w:color w:val="000000"/>
          <w:sz w:val="22"/>
          <w:szCs w:val="22"/>
        </w:rPr>
        <w:t>0.035%</w:t>
      </w:r>
      <w:r>
        <w:rPr>
          <w:rFonts w:ascii="Times New Roman" w:hAnsi="Times New Roman" w:hint="eastAsia"/>
          <w:color w:val="000000"/>
          <w:sz w:val="22"/>
          <w:szCs w:val="22"/>
        </w:rPr>
        <w:t>；</w:t>
      </w:r>
      <w:r>
        <w:rPr>
          <w:rFonts w:ascii="Times New Roman" w:hAnsi="Times New Roman" w:cs="Times New Roman"/>
          <w:color w:val="000000"/>
          <w:sz w:val="22"/>
          <w:szCs w:val="22"/>
        </w:rPr>
        <w:t>10—50</w:t>
      </w:r>
      <w:r>
        <w:rPr>
          <w:rFonts w:ascii="Times New Roman" w:hAnsi="Times New Roman" w:hint="eastAsia"/>
          <w:color w:val="000000"/>
          <w:sz w:val="22"/>
          <w:szCs w:val="22"/>
        </w:rPr>
        <w:t>亿元的为</w:t>
      </w:r>
      <w:r>
        <w:rPr>
          <w:rFonts w:ascii="Times New Roman" w:hAnsi="Times New Roman" w:cs="Times New Roman"/>
          <w:color w:val="000000"/>
          <w:sz w:val="22"/>
          <w:szCs w:val="22"/>
        </w:rPr>
        <w:t>0.008%</w:t>
      </w:r>
      <w:r>
        <w:rPr>
          <w:rFonts w:ascii="Times New Roman" w:hAnsi="Times New Roman" w:hint="eastAsia"/>
          <w:color w:val="000000"/>
          <w:sz w:val="22"/>
          <w:szCs w:val="22"/>
        </w:rPr>
        <w:t>；</w:t>
      </w:r>
      <w:r>
        <w:rPr>
          <w:rFonts w:ascii="Times New Roman" w:hAnsi="Times New Roman" w:cs="Times New Roman"/>
          <w:color w:val="000000"/>
          <w:sz w:val="22"/>
          <w:szCs w:val="22"/>
        </w:rPr>
        <w:t>50—100</w:t>
      </w:r>
      <w:r>
        <w:rPr>
          <w:rFonts w:ascii="Times New Roman" w:hAnsi="Times New Roman" w:hint="eastAsia"/>
          <w:color w:val="000000"/>
          <w:sz w:val="22"/>
          <w:szCs w:val="22"/>
        </w:rPr>
        <w:t>亿元为</w:t>
      </w:r>
      <w:r>
        <w:rPr>
          <w:rFonts w:ascii="Times New Roman" w:hAnsi="Times New Roman" w:cs="Times New Roman"/>
          <w:color w:val="000000"/>
          <w:sz w:val="22"/>
          <w:szCs w:val="22"/>
        </w:rPr>
        <w:t>0.006%</w:t>
      </w:r>
      <w:r>
        <w:rPr>
          <w:rFonts w:ascii="Times New Roman" w:hAnsi="Times New Roman" w:hint="eastAsia"/>
          <w:color w:val="000000"/>
          <w:sz w:val="22"/>
          <w:szCs w:val="22"/>
        </w:rPr>
        <w:t>；</w:t>
      </w:r>
      <w:r>
        <w:rPr>
          <w:rFonts w:ascii="Times New Roman" w:hAnsi="Times New Roman" w:cs="Times New Roman"/>
          <w:color w:val="000000"/>
          <w:sz w:val="22"/>
          <w:szCs w:val="22"/>
        </w:rPr>
        <w:t>100</w:t>
      </w:r>
      <w:r>
        <w:rPr>
          <w:rFonts w:ascii="Times New Roman" w:hAnsi="Times New Roman" w:hint="eastAsia"/>
          <w:color w:val="000000"/>
          <w:sz w:val="22"/>
          <w:szCs w:val="22"/>
        </w:rPr>
        <w:t>亿元以上为</w:t>
      </w:r>
      <w:r>
        <w:rPr>
          <w:rFonts w:ascii="Times New Roman" w:hAnsi="Times New Roman" w:cs="Times New Roman"/>
          <w:color w:val="000000"/>
          <w:sz w:val="22"/>
          <w:szCs w:val="22"/>
        </w:rPr>
        <w:t>0.004%</w:t>
      </w:r>
      <w:r>
        <w:rPr>
          <w:rFonts w:ascii="Times New Roman" w:hAnsi="Times New Roman" w:hint="eastAsia"/>
          <w:color w:val="000000"/>
          <w:sz w:val="22"/>
          <w:szCs w:val="22"/>
        </w:rPr>
        <w:t>。货物、服务、工程一次招标（完成一次招标投标全流程）代理服务费最高限额分别为</w:t>
      </w:r>
      <w:r>
        <w:rPr>
          <w:rFonts w:ascii="Times New Roman" w:hAnsi="Times New Roman" w:cs="Times New Roman"/>
          <w:color w:val="000000"/>
          <w:sz w:val="22"/>
          <w:szCs w:val="22"/>
        </w:rPr>
        <w:t>350</w:t>
      </w:r>
      <w:r>
        <w:rPr>
          <w:rFonts w:ascii="Times New Roman" w:hAnsi="Times New Roman" w:hint="eastAsia"/>
          <w:color w:val="000000"/>
          <w:sz w:val="22"/>
          <w:szCs w:val="22"/>
        </w:rPr>
        <w:t>万元、</w:t>
      </w:r>
      <w:r>
        <w:rPr>
          <w:rFonts w:ascii="Times New Roman" w:hAnsi="Times New Roman" w:cs="Times New Roman"/>
          <w:color w:val="000000"/>
          <w:sz w:val="22"/>
          <w:szCs w:val="22"/>
        </w:rPr>
        <w:t>300</w:t>
      </w:r>
      <w:r>
        <w:rPr>
          <w:rFonts w:ascii="Times New Roman" w:hAnsi="Times New Roman" w:hint="eastAsia"/>
          <w:color w:val="000000"/>
          <w:sz w:val="22"/>
          <w:szCs w:val="22"/>
        </w:rPr>
        <w:t>万元和</w:t>
      </w:r>
      <w:r>
        <w:rPr>
          <w:rFonts w:ascii="Times New Roman" w:hAnsi="Times New Roman" w:cs="Times New Roman"/>
          <w:color w:val="000000"/>
          <w:sz w:val="22"/>
          <w:szCs w:val="22"/>
        </w:rPr>
        <w:t>450</w:t>
      </w:r>
      <w:r>
        <w:rPr>
          <w:rFonts w:ascii="Times New Roman" w:hAnsi="Times New Roman" w:hint="eastAsia"/>
          <w:color w:val="000000"/>
          <w:sz w:val="22"/>
          <w:szCs w:val="22"/>
        </w:rPr>
        <w:t>万元，并按各标段中标金额比例计算各标段招标代理服务费。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中标金额在</w:t>
      </w:r>
      <w:r>
        <w:rPr>
          <w:rFonts w:ascii="Times New Roman" w:hAnsi="Times New Roman" w:cs="Times New Roman"/>
          <w:color w:val="000000"/>
          <w:sz w:val="22"/>
          <w:szCs w:val="22"/>
        </w:rPr>
        <w:t>5</w:t>
      </w:r>
      <w:r>
        <w:rPr>
          <w:rFonts w:ascii="Times New Roman" w:hAnsi="Times New Roman" w:hint="eastAsia"/>
          <w:color w:val="000000"/>
          <w:sz w:val="22"/>
          <w:szCs w:val="22"/>
        </w:rPr>
        <w:t>亿元以下的招标代理服务收费基准价仍按原国家计委《招标代理服务收费管理暂行办法》（</w:t>
      </w:r>
      <w:r>
        <w:rPr>
          <w:rFonts w:ascii="Times New Roman" w:hAnsi="Times New Roman" w:cs="Times New Roman"/>
          <w:color w:val="000000"/>
          <w:sz w:val="22"/>
          <w:szCs w:val="22"/>
        </w:rPr>
        <w:t>[2002]1980</w:t>
      </w:r>
      <w:r>
        <w:rPr>
          <w:rFonts w:ascii="Times New Roman" w:hAnsi="Times New Roman" w:hint="eastAsia"/>
          <w:color w:val="000000"/>
          <w:sz w:val="22"/>
          <w:szCs w:val="22"/>
        </w:rPr>
        <w:t>号，以下简称《办法》）附件规定执行。按《办法》附件规定计算的收费额为招标代理服务全过程的收费基准价格，但不含工程量清单、工程标底或工程招标控制价的编制费用。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五、适当扩大工程勘察设计和工程监理收费的市场调节价范围。工程勘察和工程设计收费，总投资估算额在</w:t>
      </w:r>
      <w:r>
        <w:rPr>
          <w:rFonts w:ascii="Times New Roman" w:hAnsi="Times New Roman" w:cs="Times New Roman"/>
          <w:color w:val="000000"/>
          <w:sz w:val="22"/>
          <w:szCs w:val="22"/>
        </w:rPr>
        <w:t>1000</w:t>
      </w:r>
      <w:r>
        <w:rPr>
          <w:rFonts w:ascii="Times New Roman" w:hAnsi="Times New Roman" w:hint="eastAsia"/>
          <w:color w:val="000000"/>
          <w:sz w:val="22"/>
          <w:szCs w:val="22"/>
        </w:rPr>
        <w:t>万元以下的建设项目实行市场调节价；</w:t>
      </w:r>
      <w:r>
        <w:rPr>
          <w:rFonts w:ascii="Times New Roman" w:hAnsi="Times New Roman" w:cs="Times New Roman"/>
          <w:color w:val="000000"/>
          <w:sz w:val="22"/>
          <w:szCs w:val="22"/>
        </w:rPr>
        <w:t>1000</w:t>
      </w:r>
      <w:r>
        <w:rPr>
          <w:rFonts w:ascii="Times New Roman" w:hAnsi="Times New Roman" w:hint="eastAsia"/>
          <w:color w:val="000000"/>
          <w:sz w:val="22"/>
          <w:szCs w:val="22"/>
        </w:rPr>
        <w:t>万元及以上的建设项目实行政府指导价，收费标准仍按原国家计委、建设部《关于发布〈工程勘察设计收费管理规定〉的通知》（计价格</w:t>
      </w:r>
      <w:r>
        <w:rPr>
          <w:rFonts w:ascii="Times New Roman" w:hAnsi="Times New Roman" w:cs="Times New Roman"/>
          <w:color w:val="000000"/>
          <w:sz w:val="22"/>
          <w:szCs w:val="22"/>
        </w:rPr>
        <w:t>[2002]10</w:t>
      </w:r>
      <w:r>
        <w:rPr>
          <w:rFonts w:ascii="Times New Roman" w:hAnsi="Times New Roman" w:hint="eastAsia"/>
          <w:color w:val="000000"/>
          <w:sz w:val="22"/>
          <w:szCs w:val="22"/>
        </w:rPr>
        <w:t>号）规定执行。</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工程监理收费，对依法必须实行监理的计费额在</w:t>
      </w:r>
      <w:r>
        <w:rPr>
          <w:rFonts w:ascii="Times New Roman" w:hAnsi="Times New Roman" w:cs="Times New Roman"/>
          <w:color w:val="000000"/>
          <w:sz w:val="22"/>
          <w:szCs w:val="22"/>
        </w:rPr>
        <w:t>1000</w:t>
      </w:r>
      <w:r>
        <w:rPr>
          <w:rFonts w:ascii="Times New Roman" w:hAnsi="Times New Roman" w:hint="eastAsia"/>
          <w:color w:val="000000"/>
          <w:sz w:val="22"/>
          <w:szCs w:val="22"/>
        </w:rPr>
        <w:t>万元及以上的建设工程施工阶段的收费实行政府指导价，收费标准按国家发展改革委、建设部《关于印发〈建设工程监理与相关服务收费管理规定〉的通知》（发改价格</w:t>
      </w:r>
      <w:r>
        <w:rPr>
          <w:rFonts w:ascii="Times New Roman" w:hAnsi="Times New Roman" w:cs="Times New Roman"/>
          <w:color w:val="000000"/>
          <w:sz w:val="22"/>
          <w:szCs w:val="22"/>
        </w:rPr>
        <w:t>[2007]670</w:t>
      </w:r>
      <w:r>
        <w:rPr>
          <w:rFonts w:ascii="Times New Roman" w:hAnsi="Times New Roman" w:hint="eastAsia"/>
          <w:color w:val="000000"/>
          <w:sz w:val="22"/>
          <w:szCs w:val="22"/>
        </w:rPr>
        <w:t>号）规定执行；其他工程施工阶段的监理收费和其他阶段的监理与相关服务收费实行市场调节价。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六、各地应进一步加大对建设项目及各类涉房收费项目的清理规范力度。要严禁行政机关在履行行政职责过程中，擅自或变相收取相关审查费、服务费，对自愿或依法必须进行的技术服务，应由项目开发经营单位自主选择服务机构，相关机构不得利用行政权力强制或变相强制项目开发经营单位接受指定服务并强制收取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本通知自</w:t>
      </w:r>
      <w:r>
        <w:rPr>
          <w:rFonts w:ascii="Times New Roman" w:hAnsi="Times New Roman" w:cs="Times New Roman"/>
          <w:color w:val="000000"/>
          <w:sz w:val="22"/>
          <w:szCs w:val="22"/>
        </w:rPr>
        <w:t>2011</w:t>
      </w:r>
      <w:r>
        <w:rPr>
          <w:rFonts w:ascii="Times New Roman" w:hAnsi="Times New Roman" w:hint="eastAsia"/>
          <w:color w:val="000000"/>
          <w:sz w:val="22"/>
          <w:szCs w:val="22"/>
        </w:rPr>
        <w:t>年</w:t>
      </w:r>
      <w:r>
        <w:rPr>
          <w:rFonts w:ascii="Times New Roman" w:hAnsi="Times New Roman" w:cs="Times New Roman"/>
          <w:color w:val="000000"/>
          <w:sz w:val="22"/>
          <w:szCs w:val="22"/>
        </w:rPr>
        <w:t>5</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日起执行。现行有关规定与本通知不符的，按本通知规定执行。</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ind w:right="440"/>
        <w:jc w:val="right"/>
        <w:rPr>
          <w:rFonts w:ascii="Times New Roman" w:hAnsi="Times New Roman" w:cs="Times New Roman"/>
          <w:color w:val="000000"/>
        </w:rPr>
      </w:pPr>
      <w:r>
        <w:rPr>
          <w:rFonts w:ascii="Times New Roman" w:hAnsi="Times New Roman" w:hint="eastAsia"/>
          <w:color w:val="000000"/>
        </w:rPr>
        <w:t>国家发展改革委</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rPr>
      </w:pPr>
      <w:r>
        <w:rPr>
          <w:rFonts w:ascii="Times New Roman" w:hAnsi="Times New Roman" w:hint="eastAsia"/>
          <w:color w:val="000000"/>
        </w:rPr>
        <w:t>二〇一一年三月十六日</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rPr>
      </w:pPr>
      <w:r>
        <w:rPr>
          <w:rFonts w:ascii="Times New Roman" w:hAnsi="Times New Roman" w:cs="Times New Roman"/>
          <w:color w:val="000000"/>
        </w:rPr>
        <w:br w:type="page"/>
      </w:r>
    </w:p>
    <w:p w:rsidR="00A32067" w:rsidRDefault="00A32067" w:rsidP="0002085C">
      <w:pPr>
        <w:spacing w:afterLines="50" w:line="360" w:lineRule="auto"/>
        <w:jc w:val="center"/>
        <w:outlineLvl w:val="2"/>
        <w:rPr>
          <w:b/>
          <w:bCs/>
          <w:color w:val="333333"/>
          <w:spacing w:val="10"/>
          <w:kern w:val="0"/>
          <w:sz w:val="44"/>
          <w:szCs w:val="44"/>
        </w:rPr>
      </w:pPr>
      <w:bookmarkStart w:id="70" w:name="_Toc519872299"/>
      <w:r>
        <w:rPr>
          <w:rFonts w:cs="宋体" w:hint="eastAsia"/>
          <w:b/>
          <w:bCs/>
          <w:color w:val="333333"/>
          <w:spacing w:val="10"/>
          <w:kern w:val="0"/>
          <w:sz w:val="44"/>
          <w:szCs w:val="44"/>
        </w:rPr>
        <w:t>河北省建设厅关于改变建设工程材料检测</w:t>
      </w:r>
      <w:r>
        <w:rPr>
          <w:b/>
          <w:bCs/>
          <w:color w:val="333333"/>
          <w:spacing w:val="10"/>
          <w:kern w:val="0"/>
          <w:sz w:val="44"/>
          <w:szCs w:val="44"/>
        </w:rPr>
        <w:br/>
      </w:r>
      <w:r>
        <w:rPr>
          <w:rFonts w:cs="宋体" w:hint="eastAsia"/>
          <w:b/>
          <w:bCs/>
          <w:color w:val="333333"/>
          <w:spacing w:val="10"/>
          <w:kern w:val="0"/>
          <w:sz w:val="44"/>
          <w:szCs w:val="44"/>
        </w:rPr>
        <w:t>委托方有关事项的通知</w:t>
      </w:r>
      <w:r>
        <w:rPr>
          <w:b/>
          <w:bCs/>
          <w:color w:val="333333"/>
          <w:spacing w:val="10"/>
          <w:kern w:val="0"/>
          <w:sz w:val="44"/>
          <w:szCs w:val="44"/>
        </w:rPr>
        <w:br/>
      </w:r>
      <w:r>
        <w:rPr>
          <w:rFonts w:cs="宋体" w:hint="eastAsia"/>
          <w:color w:val="000000"/>
          <w:sz w:val="22"/>
          <w:szCs w:val="22"/>
        </w:rPr>
        <w:t>冀建质</w:t>
      </w:r>
      <w:r>
        <w:rPr>
          <w:color w:val="000000"/>
          <w:sz w:val="22"/>
          <w:szCs w:val="22"/>
        </w:rPr>
        <w:t>[2005]273</w:t>
      </w:r>
      <w:r>
        <w:rPr>
          <w:rFonts w:cs="宋体" w:hint="eastAsia"/>
          <w:color w:val="000000"/>
          <w:sz w:val="22"/>
          <w:szCs w:val="22"/>
        </w:rPr>
        <w:t>号</w:t>
      </w:r>
      <w:bookmarkEnd w:id="70"/>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各市建设局、扩权县（市）建设局、华北石油管理局：</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为进一步规范建设工程质量检测活动，充分体现各方责任主体在建筑活动中的法律地位，制止和打击工程质量检测工作中的不良行为，确保工程检测结果的真实性、科学性、公正性，全面提高建设工程质量水平，依据《建设工程质量管理条例》和《河北省建筑条例》，现就改变我省建设工程材料检测委托方的有关事项通知如下：</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一、从</w:t>
      </w:r>
      <w:r>
        <w:rPr>
          <w:rFonts w:ascii="Times New Roman" w:hAnsi="Times New Roman" w:cs="Times New Roman"/>
          <w:color w:val="000000"/>
          <w:sz w:val="22"/>
          <w:szCs w:val="22"/>
        </w:rPr>
        <w:t>2005</w:t>
      </w:r>
      <w:r>
        <w:rPr>
          <w:rFonts w:ascii="Times New Roman" w:hAnsi="Times New Roman" w:hint="eastAsia"/>
          <w:color w:val="000000"/>
          <w:sz w:val="22"/>
          <w:szCs w:val="22"/>
        </w:rPr>
        <w:t>年</w:t>
      </w:r>
      <w:r>
        <w:rPr>
          <w:rFonts w:ascii="Times New Roman" w:hAnsi="Times New Roman" w:cs="Times New Roman"/>
          <w:color w:val="000000"/>
          <w:sz w:val="22"/>
          <w:szCs w:val="22"/>
        </w:rPr>
        <w:t>7</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日起，我省新开工的房屋建筑、市政基础设施工程材料检测，一律由建设单位直接委托工程质量检测机构进行。</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二、建设单位委托工程质量检测机构进行工程材料检测应遵循以下原则：</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（一）所委托的检测机构应具有省级以上建设行政主管部门颁发的《建设工程质量检测单位资质证书》和省级以上质量技术监督部门颁发的计量认证。</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（二）单位工程材料检测只能委托一家检测机构并在其核准的资质范围内进行检测。</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（三）委托的检测机构不得与委托方、工程承包方、监理单位有任何隶属、经济利益关系。</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（四）签订书面的工程检测委托合同。</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（五）委托省外检测机构应严格执行《河北省建设厅关于省外检测单位进冀备案工作有关问题的通知》（冀建质</w:t>
      </w:r>
      <w:r>
        <w:rPr>
          <w:rFonts w:ascii="Times New Roman" w:hAnsi="Times New Roman" w:cs="Times New Roman"/>
          <w:color w:val="000000"/>
          <w:sz w:val="22"/>
          <w:szCs w:val="22"/>
        </w:rPr>
        <w:t>[2005]200</w:t>
      </w:r>
      <w:r>
        <w:rPr>
          <w:rFonts w:ascii="Times New Roman" w:hAnsi="Times New Roman" w:hint="eastAsia"/>
          <w:color w:val="000000"/>
          <w:sz w:val="22"/>
          <w:szCs w:val="22"/>
        </w:rPr>
        <w:t>号）文件规定。</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三、工程材料检测取样、送检及检测报告</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工程材料检测见证取样应严格执行《河北省建筑条例》的有关规定。</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工程材料检测取样由施工单位负责。施工单位应按规定配备取样员。</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hint="eastAsia"/>
          <w:color w:val="000000"/>
          <w:sz w:val="22"/>
          <w:szCs w:val="22"/>
        </w:rPr>
        <w:t>三</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工程材料检测试样抽取的数量、部位等应按国家有关规范、标准实施。施工单位负责按工程进度和施工组织设计或施工方案提出取样方案，监理（建设）单位负责审核批准。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（四）监理（建设）单位负责取样、送检的现场见证工作。监理（建设）单位应按规定配备工程质量检测见证人员。</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（五）工程质量检测机构应按检测委托合同约定，向建设单位或其授权的监理单位提交检测报告。建设单位或其授权的监理单位应及时将检测报告原件提供给施工单位存档。</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color w:val="000000"/>
          <w:sz w:val="22"/>
          <w:szCs w:val="22"/>
        </w:rPr>
        <w:t>四、工程材料检测的费用</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（一）工程材料检测费用由建设单位直接支付给检测机构。施工单位在工程投标报价时，不再包含工程材料检测相应费用。</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（二）工程质量检测机构应严格执行《河北省建设厅关于转发省物价局调整</w:t>
      </w:r>
      <w:r>
        <w:rPr>
          <w:rFonts w:ascii="Times New Roman" w:hAnsi="Times New Roman" w:cs="Times New Roman"/>
          <w:color w:val="000000"/>
          <w:sz w:val="22"/>
          <w:szCs w:val="22"/>
        </w:rPr>
        <w:t>&lt;</w:t>
      </w:r>
      <w:r>
        <w:rPr>
          <w:rFonts w:ascii="Times New Roman" w:hAnsi="Times New Roman" w:hint="eastAsia"/>
          <w:color w:val="000000"/>
          <w:sz w:val="22"/>
          <w:szCs w:val="22"/>
        </w:rPr>
        <w:t>河北省工程质量材料检验收费标准</w:t>
      </w:r>
      <w:r>
        <w:rPr>
          <w:rFonts w:ascii="Times New Roman" w:hAnsi="Times New Roman" w:cs="Times New Roman"/>
          <w:color w:val="000000"/>
          <w:sz w:val="22"/>
          <w:szCs w:val="22"/>
        </w:rPr>
        <w:t>&gt;</w:t>
      </w:r>
      <w:r>
        <w:rPr>
          <w:rFonts w:ascii="Times New Roman" w:hAnsi="Times New Roman" w:hint="eastAsia"/>
          <w:color w:val="000000"/>
          <w:sz w:val="22"/>
          <w:szCs w:val="22"/>
        </w:rPr>
        <w:t>的通知》（冀建建</w:t>
      </w:r>
      <w:r>
        <w:rPr>
          <w:rFonts w:ascii="Times New Roman" w:hAnsi="Times New Roman" w:cs="Times New Roman"/>
          <w:color w:val="000000"/>
          <w:sz w:val="22"/>
          <w:szCs w:val="22"/>
        </w:rPr>
        <w:t>[2002]106</w:t>
      </w:r>
      <w:r>
        <w:rPr>
          <w:rFonts w:ascii="Times New Roman" w:hAnsi="Times New Roman" w:hint="eastAsia"/>
          <w:color w:val="000000"/>
          <w:sz w:val="22"/>
          <w:szCs w:val="22"/>
        </w:rPr>
        <w:t>号）文件和河北省物价局《关于调整工程质量、材料检验收费标准的通知》（冀价经费字</w:t>
      </w:r>
      <w:r>
        <w:rPr>
          <w:rFonts w:ascii="Times New Roman" w:hAnsi="Times New Roman" w:cs="Times New Roman"/>
          <w:color w:val="000000"/>
          <w:sz w:val="22"/>
          <w:szCs w:val="22"/>
        </w:rPr>
        <w:t>[2002]</w:t>
      </w:r>
      <w:r>
        <w:rPr>
          <w:rFonts w:ascii="Times New Roman" w:hAnsi="Times New Roman" w:hint="eastAsia"/>
          <w:color w:val="000000"/>
          <w:sz w:val="22"/>
          <w:szCs w:val="22"/>
        </w:rPr>
        <w:t>第</w:t>
      </w:r>
      <w:r>
        <w:rPr>
          <w:rFonts w:ascii="Times New Roman" w:hAnsi="Times New Roman" w:cs="Times New Roman"/>
          <w:color w:val="000000"/>
          <w:sz w:val="22"/>
          <w:szCs w:val="22"/>
        </w:rPr>
        <w:t>6</w:t>
      </w:r>
      <w:r>
        <w:rPr>
          <w:rFonts w:ascii="Times New Roman" w:hAnsi="Times New Roman" w:hint="eastAsia"/>
          <w:color w:val="000000"/>
          <w:sz w:val="22"/>
          <w:szCs w:val="22"/>
        </w:rPr>
        <w:t>号）标准。</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（三）无现行检测收费标准的检测项目可由双方协商议定。</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各级建设行政主管部门应加强对工程质量检测工作的监督管理，严厉打击假试验、假报告、假数据和恶性竞争行为，积极引导检测机构走诚信检测、优质检测之路，营造工程质量检测公平竞争的社会氛围。</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rPr>
      </w:pPr>
      <w:r>
        <w:rPr>
          <w:rFonts w:ascii="Times New Roman" w:hAnsi="Times New Roman" w:hint="eastAsia"/>
          <w:color w:val="000000"/>
        </w:rPr>
        <w:t>二〇〇五年六月二日</w:t>
      </w:r>
      <w:r>
        <w:rPr>
          <w:rFonts w:ascii="Times New Roman" w:hAnsi="Times New Roman" w:cs="Times New Roman"/>
          <w:color w:val="000000"/>
        </w:rPr>
        <w:t> </w:t>
      </w:r>
    </w:p>
    <w:p w:rsidR="00A32067" w:rsidRDefault="00A32067">
      <w:pPr>
        <w:jc w:val="right"/>
        <w:rPr>
          <w:sz w:val="24"/>
          <w:szCs w:val="24"/>
        </w:rPr>
      </w:pPr>
    </w:p>
    <w:p w:rsidR="00A32067" w:rsidRDefault="00A32067">
      <w:pPr>
        <w:pStyle w:val="NormalWeb"/>
        <w:shd w:val="clear" w:color="auto" w:fill="FFFFFF"/>
        <w:spacing w:before="0" w:beforeAutospacing="0" w:after="0" w:afterAutospacing="0"/>
        <w:jc w:val="center"/>
        <w:outlineLvl w:val="0"/>
        <w:rPr>
          <w:rFonts w:ascii="Times New Roman" w:eastAsia="微软雅黑" w:hAnsi="Times New Roman" w:cs="Times New Roman"/>
          <w:b/>
          <w:bCs/>
          <w:color w:val="333333"/>
          <w:sz w:val="36"/>
          <w:szCs w:val="36"/>
        </w:rPr>
      </w:pPr>
    </w:p>
    <w:p w:rsidR="00A32067" w:rsidRDefault="00A32067">
      <w:pPr>
        <w:pStyle w:val="NormalWeb"/>
        <w:shd w:val="clear" w:color="auto" w:fill="FFFFFF"/>
        <w:spacing w:before="0" w:beforeAutospacing="0" w:after="0" w:afterAutospacing="0"/>
        <w:jc w:val="center"/>
        <w:outlineLvl w:val="0"/>
        <w:rPr>
          <w:rFonts w:ascii="Times New Roman" w:eastAsia="微软雅黑" w:hAnsi="Times New Roman" w:cs="Times New Roman"/>
          <w:b/>
          <w:bCs/>
          <w:color w:val="333333"/>
          <w:sz w:val="36"/>
          <w:szCs w:val="36"/>
        </w:rPr>
      </w:pPr>
    </w:p>
    <w:p w:rsidR="00A32067" w:rsidRDefault="00A32067" w:rsidP="0002085C">
      <w:pPr>
        <w:spacing w:afterLines="50" w:line="360" w:lineRule="auto"/>
        <w:jc w:val="center"/>
        <w:outlineLvl w:val="2"/>
        <w:rPr>
          <w:b/>
          <w:bCs/>
          <w:color w:val="333333"/>
          <w:spacing w:val="10"/>
          <w:kern w:val="0"/>
          <w:sz w:val="44"/>
          <w:szCs w:val="44"/>
        </w:rPr>
        <w:sectPr w:rsidR="00A32067">
          <w:pgSz w:w="11907" w:h="16840"/>
          <w:pgMar w:top="1134" w:right="1077" w:bottom="1134" w:left="1077" w:header="794" w:footer="567" w:gutter="284"/>
          <w:cols w:space="720"/>
          <w:docGrid w:linePitch="312"/>
        </w:sectPr>
      </w:pPr>
      <w:bookmarkStart w:id="71" w:name="_Toc519872300"/>
    </w:p>
    <w:p w:rsidR="00A32067" w:rsidRDefault="00A32067" w:rsidP="0002085C">
      <w:pPr>
        <w:spacing w:afterLines="50" w:line="360" w:lineRule="auto"/>
        <w:jc w:val="center"/>
        <w:outlineLvl w:val="2"/>
        <w:rPr>
          <w:b/>
          <w:bCs/>
          <w:color w:val="333333"/>
          <w:spacing w:val="10"/>
          <w:kern w:val="0"/>
          <w:sz w:val="44"/>
          <w:szCs w:val="44"/>
        </w:rPr>
      </w:pPr>
      <w:r>
        <w:rPr>
          <w:rFonts w:cs="宋体" w:hint="eastAsia"/>
          <w:b/>
          <w:bCs/>
          <w:color w:val="333333"/>
          <w:spacing w:val="10"/>
          <w:kern w:val="0"/>
          <w:sz w:val="44"/>
          <w:szCs w:val="44"/>
        </w:rPr>
        <w:t>关于转发省物价局调整《河北省</w:t>
      </w:r>
      <w:r>
        <w:rPr>
          <w:b/>
          <w:bCs/>
          <w:color w:val="333333"/>
          <w:spacing w:val="10"/>
          <w:kern w:val="0"/>
          <w:sz w:val="44"/>
          <w:szCs w:val="44"/>
        </w:rPr>
        <w:br/>
      </w:r>
      <w:r>
        <w:rPr>
          <w:rFonts w:cs="宋体" w:hint="eastAsia"/>
          <w:b/>
          <w:bCs/>
          <w:color w:val="333333"/>
          <w:spacing w:val="10"/>
          <w:kern w:val="0"/>
          <w:sz w:val="44"/>
          <w:szCs w:val="44"/>
        </w:rPr>
        <w:t>工程质量材料检验收费标准》的通知</w:t>
      </w:r>
      <w:r>
        <w:rPr>
          <w:b/>
          <w:bCs/>
          <w:color w:val="333333"/>
          <w:spacing w:val="10"/>
          <w:kern w:val="0"/>
          <w:sz w:val="44"/>
          <w:szCs w:val="44"/>
        </w:rPr>
        <w:br/>
      </w:r>
      <w:r>
        <w:rPr>
          <w:rFonts w:cs="宋体" w:hint="eastAsia"/>
          <w:color w:val="000000"/>
          <w:sz w:val="22"/>
          <w:szCs w:val="22"/>
        </w:rPr>
        <w:t>冀建建</w:t>
      </w:r>
      <w:r>
        <w:rPr>
          <w:color w:val="000000"/>
          <w:sz w:val="22"/>
          <w:szCs w:val="22"/>
        </w:rPr>
        <w:t>[2002]106</w:t>
      </w:r>
      <w:r>
        <w:rPr>
          <w:rFonts w:cs="宋体" w:hint="eastAsia"/>
          <w:color w:val="000000"/>
          <w:sz w:val="22"/>
          <w:szCs w:val="22"/>
        </w:rPr>
        <w:t>号</w:t>
      </w:r>
      <w:bookmarkEnd w:id="71"/>
    </w:p>
    <w:p w:rsidR="00A32067" w:rsidRDefault="00A32067">
      <w:pPr>
        <w:pStyle w:val="NormalWeb"/>
        <w:shd w:val="clear" w:color="auto" w:fill="FFFFFF"/>
        <w:spacing w:before="0" w:beforeAutospacing="0" w:after="0" w:afterAutospacing="0" w:line="48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各市建设局、华北石油管理局、有关单位：</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为进一步规范全省建筑市场，加强工程建设质量检测和材料试验收费管理，结合我省工程质量材料检验收费实际，经省物价局研究同意，对原《河北省工程建设质量、材料检验收费标准》（</w:t>
      </w:r>
      <w:r>
        <w:rPr>
          <w:rFonts w:ascii="Times New Roman" w:hAnsi="Times New Roman" w:cs="Times New Roman"/>
          <w:color w:val="000000"/>
          <w:sz w:val="22"/>
          <w:szCs w:val="22"/>
        </w:rPr>
        <w:t>1993</w:t>
      </w:r>
      <w:r>
        <w:rPr>
          <w:rFonts w:ascii="Times New Roman" w:hAnsi="Times New Roman" w:hint="eastAsia"/>
          <w:color w:val="000000"/>
          <w:sz w:val="22"/>
          <w:szCs w:val="22"/>
        </w:rPr>
        <w:t>）进行了调整，现将调整后的收费标准通知如下，请认真贯彻执行。</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一、凡对社会开展委托检验的建设工程质量、材料检验的检测机构，应按有关规定办理收费许可证，并严格按本标准亮证收费。</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二、省建设行政主管部门委托省工程建设质量监督检测管理总站对各检测机构定期进行考核。各检测机构应自觉遵守国家、省有关法律、法规、规章，规范检测行为，向社会提供科学、公正的检测、试（检）验依据，不得以降低工作质量为代价相互进行恶性竞争。对变相提价、恶意降价以及出具假报告、假数据的有关单位或个人，建设行政主管部门将按有关规定进行处罚。</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三、检测业务不得超出资质规定的范围。严格按照规范标准规定的检测、试（检）验方法、程序、设备仪器进行检测。对不按规定要求进行检测或超出资质规定业务范围的，一经查实，立即吊销其检测资质，并报请省质量技术监督局吊销其计量认证合格证。</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四、各级建设行政主管部门要加强检验收费标准的统一管理，对新开展的检测、试（检）验项目要不断积累经验，搞好测算，待物价部门批准后，方可按规定收取费用。</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五、本标准没有列入的收费项目，可参照其它相关的收费标准。</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附件：</w:t>
      </w:r>
      <w:r>
        <w:rPr>
          <w:rFonts w:ascii="Times New Roman" w:hAnsi="Times New Roman" w:cs="Times New Roman"/>
          <w:color w:val="000000"/>
          <w:sz w:val="22"/>
          <w:szCs w:val="22"/>
        </w:rPr>
        <w:t>1</w:t>
      </w:r>
      <w:r>
        <w:rPr>
          <w:rFonts w:ascii="Times New Roman" w:hAnsi="Times New Roman" w:hint="eastAsia"/>
          <w:color w:val="000000"/>
          <w:sz w:val="22"/>
          <w:szCs w:val="22"/>
        </w:rPr>
        <w:t>、河北省物价局冀价经费字</w:t>
      </w:r>
      <w:r>
        <w:rPr>
          <w:rFonts w:ascii="Times New Roman" w:hAnsi="Times New Roman" w:cs="Times New Roman"/>
          <w:color w:val="000000"/>
          <w:sz w:val="22"/>
          <w:szCs w:val="22"/>
        </w:rPr>
        <w:t>[2002]</w:t>
      </w:r>
      <w:r>
        <w:rPr>
          <w:rFonts w:ascii="Times New Roman" w:hAnsi="Times New Roman" w:hint="eastAsia"/>
          <w:color w:val="000000"/>
          <w:sz w:val="22"/>
          <w:szCs w:val="22"/>
        </w:rPr>
        <w:t>第</w:t>
      </w:r>
      <w:r>
        <w:rPr>
          <w:rFonts w:ascii="Times New Roman" w:hAnsi="Times New Roman" w:cs="Times New Roman"/>
          <w:color w:val="000000"/>
          <w:sz w:val="22"/>
          <w:szCs w:val="22"/>
        </w:rPr>
        <w:t>6</w:t>
      </w:r>
      <w:r>
        <w:rPr>
          <w:rFonts w:ascii="Times New Roman" w:hAnsi="Times New Roman" w:hint="eastAsia"/>
          <w:color w:val="000000"/>
          <w:sz w:val="22"/>
          <w:szCs w:val="22"/>
        </w:rPr>
        <w:t>号文件</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2</w:t>
      </w:r>
      <w:r>
        <w:rPr>
          <w:rFonts w:ascii="Times New Roman" w:hAnsi="Times New Roman" w:hint="eastAsia"/>
          <w:color w:val="000000"/>
          <w:sz w:val="22"/>
          <w:szCs w:val="22"/>
        </w:rPr>
        <w:t>、《河北省工程质量、材料检验收费标准》</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right="330" w:firstLineChars="200" w:firstLine="31680"/>
        <w:jc w:val="right"/>
        <w:rPr>
          <w:rFonts w:ascii="Times New Roman" w:hAnsi="Times New Roman" w:cs="Times New Roman"/>
          <w:color w:val="000000"/>
          <w:sz w:val="22"/>
          <w:szCs w:val="22"/>
        </w:rPr>
      </w:pPr>
      <w:r>
        <w:rPr>
          <w:rFonts w:ascii="Times New Roman" w:hAnsi="Times New Roman" w:hint="eastAsia"/>
          <w:color w:val="000000"/>
          <w:sz w:val="22"/>
          <w:szCs w:val="22"/>
        </w:rPr>
        <w:t>河北省建设厅</w:t>
      </w: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rPr>
      </w:pPr>
      <w:r>
        <w:rPr>
          <w:rFonts w:ascii="Times New Roman" w:hAnsi="Times New Roman" w:hint="eastAsia"/>
          <w:color w:val="000000"/>
        </w:rPr>
        <w:t>二〇〇二年四月二日</w:t>
      </w: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rPr>
      </w:pPr>
    </w:p>
    <w:p w:rsidR="00A32067" w:rsidRDefault="00A32067">
      <w:pPr>
        <w:spacing w:line="360" w:lineRule="auto"/>
        <w:jc w:val="center"/>
        <w:outlineLvl w:val="2"/>
        <w:rPr>
          <w:b/>
          <w:bCs/>
          <w:color w:val="333333"/>
          <w:spacing w:val="10"/>
          <w:kern w:val="0"/>
          <w:sz w:val="44"/>
          <w:szCs w:val="44"/>
        </w:rPr>
      </w:pPr>
      <w:bookmarkStart w:id="72" w:name="_Toc519872301"/>
      <w:r>
        <w:rPr>
          <w:rFonts w:cs="宋体" w:hint="eastAsia"/>
          <w:sz w:val="44"/>
          <w:szCs w:val="44"/>
        </w:rPr>
        <w:t>省</w:t>
      </w:r>
      <w:r>
        <w:rPr>
          <w:rFonts w:cs="宋体" w:hint="eastAsia"/>
          <w:b/>
          <w:bCs/>
          <w:color w:val="333333"/>
          <w:spacing w:val="10"/>
          <w:kern w:val="0"/>
          <w:sz w:val="44"/>
          <w:szCs w:val="44"/>
        </w:rPr>
        <w:t>物价局关于调整工程质量、材料</w:t>
      </w:r>
      <w:r>
        <w:rPr>
          <w:b/>
          <w:bCs/>
          <w:color w:val="333333"/>
          <w:spacing w:val="10"/>
          <w:kern w:val="0"/>
          <w:sz w:val="44"/>
          <w:szCs w:val="44"/>
        </w:rPr>
        <w:br/>
      </w:r>
      <w:r>
        <w:rPr>
          <w:rFonts w:cs="宋体" w:hint="eastAsia"/>
          <w:b/>
          <w:bCs/>
          <w:color w:val="333333"/>
          <w:spacing w:val="10"/>
          <w:kern w:val="0"/>
          <w:sz w:val="44"/>
          <w:szCs w:val="44"/>
        </w:rPr>
        <w:t>检验收费标准的通知</w:t>
      </w:r>
      <w:r>
        <w:rPr>
          <w:b/>
          <w:bCs/>
          <w:color w:val="333333"/>
          <w:spacing w:val="10"/>
          <w:kern w:val="0"/>
          <w:sz w:val="44"/>
          <w:szCs w:val="44"/>
        </w:rPr>
        <w:br/>
      </w:r>
      <w:r>
        <w:rPr>
          <w:rFonts w:cs="宋体" w:hint="eastAsia"/>
          <w:color w:val="000000"/>
          <w:sz w:val="22"/>
          <w:szCs w:val="22"/>
        </w:rPr>
        <w:t>冀价经费字</w:t>
      </w:r>
      <w:r>
        <w:rPr>
          <w:color w:val="000000"/>
          <w:sz w:val="22"/>
          <w:szCs w:val="22"/>
        </w:rPr>
        <w:t>[2002]6</w:t>
      </w:r>
      <w:r>
        <w:rPr>
          <w:rFonts w:cs="宋体" w:hint="eastAsia"/>
          <w:color w:val="000000"/>
          <w:sz w:val="22"/>
          <w:szCs w:val="22"/>
        </w:rPr>
        <w:t>号</w:t>
      </w:r>
      <w:bookmarkEnd w:id="72"/>
    </w:p>
    <w:p w:rsidR="00A32067" w:rsidRDefault="00A32067"/>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省建设厅：</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你厅《关于调整工程质量、材料检验收费标准的报告》收悉。结合我省实际和工作需要，经研究，现批复如下：</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一、凡经省质量技术监督局认定具有建筑工程质量检测和建材产品质量检测职能的质量检验机构，可以接受委托对建筑工程质量检测和建材产品质量进行检测，并按附表所列的</w:t>
      </w:r>
      <w:r>
        <w:rPr>
          <w:rFonts w:ascii="Times New Roman" w:hAnsi="Times New Roman" w:cs="Times New Roman"/>
          <w:color w:val="000000"/>
          <w:sz w:val="22"/>
          <w:szCs w:val="22"/>
        </w:rPr>
        <w:t>177</w:t>
      </w:r>
      <w:r>
        <w:rPr>
          <w:rFonts w:ascii="Times New Roman" w:hAnsi="Times New Roman" w:hint="eastAsia"/>
          <w:color w:val="000000"/>
          <w:sz w:val="22"/>
          <w:szCs w:val="22"/>
        </w:rPr>
        <w:t>项收费标准向委托单位收取检测费。</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二、各级建筑工程质量检测单位要严格按照新调整后的收费标准进行收费，不得擅自扩大收费范围，提高或降低收费标准。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三、各收费单位应及时到物价部门变更《收费许可证》，亮证收费。</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 xml:space="preserve">　　四、新调整后的收费标准从</w:t>
      </w:r>
      <w:r>
        <w:rPr>
          <w:rFonts w:ascii="Times New Roman" w:hAnsi="Times New Roman" w:cs="Times New Roman"/>
          <w:color w:val="000000"/>
          <w:sz w:val="22"/>
          <w:szCs w:val="22"/>
        </w:rPr>
        <w:t>2002</w:t>
      </w:r>
      <w:r>
        <w:rPr>
          <w:rFonts w:ascii="Times New Roman" w:hAnsi="Times New Roman" w:hint="eastAsia"/>
          <w:color w:val="000000"/>
          <w:sz w:val="22"/>
          <w:szCs w:val="22"/>
        </w:rPr>
        <w:t>年</w:t>
      </w:r>
      <w:r>
        <w:rPr>
          <w:rFonts w:ascii="Times New Roman" w:hAnsi="Times New Roman" w:cs="Times New Roman"/>
          <w:color w:val="000000"/>
          <w:sz w:val="22"/>
          <w:szCs w:val="22"/>
        </w:rPr>
        <w:t>4</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日起执行。今后国家下达新的标准，按国家规定的标准执行。</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rPr>
      </w:pPr>
      <w:r>
        <w:rPr>
          <w:rFonts w:ascii="Times New Roman" w:hAnsi="Times New Roman" w:hint="eastAsia"/>
          <w:color w:val="000000"/>
          <w:sz w:val="22"/>
          <w:szCs w:val="22"/>
        </w:rPr>
        <w:t>附件：河北省工程质量、材料检验收费标准</w:t>
      </w:r>
      <w:r>
        <w:rPr>
          <w:rFonts w:ascii="Times New Roman" w:hAnsi="Times New Roman" w:cs="Times New Roman"/>
          <w:color w:val="000000"/>
          <w:sz w:val="22"/>
          <w:szCs w:val="22"/>
        </w:rPr>
        <w:t>19</w:t>
      </w:r>
      <w:r>
        <w:rPr>
          <w:rFonts w:ascii="Times New Roman" w:hAnsi="Times New Roman" w:hint="eastAsia"/>
          <w:color w:val="000000"/>
          <w:sz w:val="22"/>
          <w:szCs w:val="22"/>
        </w:rPr>
        <w:t>类、</w:t>
      </w:r>
      <w:r>
        <w:rPr>
          <w:rFonts w:ascii="Times New Roman" w:hAnsi="Times New Roman" w:cs="Times New Roman"/>
          <w:color w:val="000000"/>
          <w:sz w:val="22"/>
          <w:szCs w:val="22"/>
        </w:rPr>
        <w:t>177</w:t>
      </w:r>
      <w:r>
        <w:rPr>
          <w:rFonts w:ascii="Times New Roman" w:hAnsi="Times New Roman" w:hint="eastAsia"/>
          <w:color w:val="000000"/>
          <w:sz w:val="22"/>
          <w:szCs w:val="22"/>
        </w:rPr>
        <w:t>项。</w:t>
      </w:r>
    </w:p>
    <w:p w:rsidR="00A32067" w:rsidRDefault="00A32067">
      <w:pPr>
        <w:spacing w:line="360" w:lineRule="auto"/>
      </w:pPr>
    </w:p>
    <w:p w:rsidR="00A32067" w:rsidRDefault="00A32067"/>
    <w:p w:rsidR="00A32067" w:rsidRDefault="00A32067">
      <w:pPr>
        <w:jc w:val="center"/>
        <w:rPr>
          <w:sz w:val="44"/>
          <w:szCs w:val="44"/>
        </w:rPr>
        <w:sectPr w:rsidR="00A32067">
          <w:pgSz w:w="11907" w:h="16840"/>
          <w:pgMar w:top="1134" w:right="1077" w:bottom="1134" w:left="1077" w:header="794" w:footer="567" w:gutter="284"/>
          <w:cols w:space="720"/>
          <w:docGrid w:linePitch="312"/>
        </w:sectPr>
      </w:pPr>
    </w:p>
    <w:p w:rsidR="00A32067" w:rsidRDefault="00A32067">
      <w:pPr>
        <w:jc w:val="center"/>
        <w:rPr>
          <w:sz w:val="44"/>
          <w:szCs w:val="44"/>
        </w:rPr>
      </w:pPr>
      <w:r>
        <w:rPr>
          <w:rFonts w:cs="宋体" w:hint="eastAsia"/>
          <w:sz w:val="44"/>
          <w:szCs w:val="44"/>
        </w:rPr>
        <w:t>河北省工程质量、材料检验收费标准</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材料</w:t>
      </w:r>
      <w:r>
        <w:rPr>
          <w:rFonts w:ascii="Times New Roman" w:hAnsi="Times New Roman" w:cs="Times New Roman"/>
          <w:b/>
          <w:bCs/>
          <w:color w:val="333333"/>
        </w:rPr>
        <w:t>(</w:t>
      </w:r>
      <w:r>
        <w:rPr>
          <w:rFonts w:ascii="Times New Roman" w:hAnsi="Times New Roman" w:hint="eastAsia"/>
          <w:b/>
          <w:bCs/>
          <w:color w:val="333333"/>
        </w:rPr>
        <w:t>试件</w:t>
      </w:r>
      <w:r>
        <w:rPr>
          <w:rFonts w:ascii="Times New Roman" w:hAnsi="Times New Roman" w:cs="Times New Roman"/>
          <w:b/>
          <w:bCs/>
          <w:color w:val="333333"/>
        </w:rPr>
        <w:t>)</w:t>
      </w:r>
      <w:r>
        <w:rPr>
          <w:rFonts w:ascii="Times New Roman" w:hAnsi="Times New Roman" w:hint="eastAsia"/>
          <w:b/>
          <w:bCs/>
          <w:color w:val="333333"/>
        </w:rPr>
        <w:t>试验通则</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w:t>
      </w:r>
      <w:r>
        <w:rPr>
          <w:rFonts w:ascii="Times New Roman" w:hAnsi="Times New Roman" w:hint="eastAsia"/>
          <w:color w:val="000000"/>
          <w:sz w:val="22"/>
          <w:szCs w:val="22"/>
        </w:rPr>
        <w:t>、本标准所列建筑材料试验、新产品鉴定检验及产品型式检验取费，系由委托方按相应国家规范、规程、标准的检验批量和检验取样办法，取样送到实验室进行试验的取费标准。实验室接样员经核验委托内容与试样数量、质量后接受委托。施工现场材料检验应按有关要求实行见证取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委托方可委托实验室去现场取样，需附加抽样费，其试验结果对该批进场材料质量负责。</w:t>
      </w:r>
      <w:r>
        <w:rPr>
          <w:rFonts w:ascii="Times New Roman" w:hAnsi="Times New Roman" w:cs="Times New Roman"/>
          <w:color w:val="000000"/>
          <w:sz w:val="22"/>
          <w:szCs w:val="22"/>
        </w:rPr>
        <w:t xml:space="preserve">  2</w:t>
      </w:r>
      <w:r>
        <w:rPr>
          <w:rFonts w:ascii="Times New Roman" w:hAnsi="Times New Roman" w:hint="eastAsia"/>
          <w:color w:val="000000"/>
          <w:sz w:val="22"/>
          <w:szCs w:val="22"/>
        </w:rPr>
        <w:t>、实验室接受委托后根据其试验能力、工作量以及是否汇集批检的有关规定向委托方交待完成日期并按期完成试验任务。执行双、三班倒的试验以及正常试验连续夜班的项目都不属于加班，不得核收加班费。确属委托加急的试验应安排在确保完成正常工作量之后，且不得超出检测能力</w:t>
      </w:r>
      <w:r>
        <w:rPr>
          <w:rFonts w:ascii="Times New Roman" w:hAnsi="Times New Roman" w:cs="Times New Roman"/>
          <w:color w:val="000000"/>
          <w:sz w:val="22"/>
          <w:szCs w:val="22"/>
        </w:rPr>
        <w:t>25</w:t>
      </w:r>
      <w:r>
        <w:rPr>
          <w:rFonts w:ascii="Times New Roman" w:hAnsi="Times New Roman" w:hint="eastAsia"/>
          <w:color w:val="000000"/>
          <w:sz w:val="22"/>
          <w:szCs w:val="22"/>
        </w:rPr>
        <w:t>％的工作量，并按该项试验费的</w:t>
      </w:r>
      <w:r>
        <w:rPr>
          <w:rFonts w:ascii="Times New Roman" w:hAnsi="Times New Roman" w:cs="Times New Roman"/>
          <w:color w:val="000000"/>
          <w:sz w:val="22"/>
          <w:szCs w:val="22"/>
        </w:rPr>
        <w:t>200</w:t>
      </w:r>
      <w:r>
        <w:rPr>
          <w:rFonts w:ascii="Times New Roman" w:hAnsi="Times New Roman" w:hint="eastAsia"/>
          <w:color w:val="000000"/>
          <w:sz w:val="22"/>
          <w:szCs w:val="22"/>
        </w:rPr>
        <w:t>％核收加急费</w:t>
      </w:r>
      <w:r>
        <w:rPr>
          <w:rFonts w:ascii="Times New Roman" w:hAnsi="Times New Roman" w:cs="Times New Roman"/>
          <w:color w:val="000000"/>
          <w:sz w:val="22"/>
          <w:szCs w:val="22"/>
        </w:rPr>
        <w:t>(</w:t>
      </w:r>
      <w:r>
        <w:rPr>
          <w:rFonts w:ascii="Times New Roman" w:hAnsi="Times New Roman" w:hint="eastAsia"/>
          <w:color w:val="000000"/>
          <w:sz w:val="22"/>
          <w:szCs w:val="22"/>
        </w:rPr>
        <w:t>总额为三倍试验费</w:t>
      </w:r>
      <w:r>
        <w:rPr>
          <w:rFonts w:ascii="Times New Roman" w:hAnsi="Times New Roman" w:cs="Times New Roman"/>
          <w:color w:val="000000"/>
          <w:sz w:val="22"/>
          <w:szCs w:val="22"/>
        </w:rPr>
        <w:t>)</w:t>
      </w:r>
      <w:r>
        <w:rPr>
          <w:rFonts w:ascii="Times New Roman" w:hAnsi="Times New Roman" w:hint="eastAsia"/>
          <w:color w:val="000000"/>
          <w:sz w:val="22"/>
          <w:szCs w:val="22"/>
        </w:rPr>
        <w:t>，并在收据上注明试验基价。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、材料试验结果有可能为</w:t>
      </w:r>
      <w:r>
        <w:rPr>
          <w:rFonts w:ascii="Times New Roman" w:hAnsi="Times New Roman" w:cs="Times New Roman"/>
          <w:color w:val="000000"/>
          <w:sz w:val="22"/>
          <w:szCs w:val="22"/>
        </w:rPr>
        <w:t>“</w:t>
      </w:r>
      <w:r>
        <w:rPr>
          <w:rFonts w:ascii="Times New Roman" w:hAnsi="Times New Roman" w:hint="eastAsia"/>
          <w:color w:val="000000"/>
          <w:sz w:val="22"/>
          <w:szCs w:val="22"/>
        </w:rPr>
        <w:t>无效</w:t>
      </w:r>
      <w:r>
        <w:rPr>
          <w:rFonts w:ascii="Times New Roman" w:hAnsi="Times New Roman" w:cs="Times New Roman"/>
          <w:color w:val="000000"/>
          <w:sz w:val="22"/>
          <w:szCs w:val="22"/>
        </w:rPr>
        <w:t>”</w:t>
      </w:r>
      <w:r>
        <w:rPr>
          <w:rFonts w:ascii="Times New Roman" w:hAnsi="Times New Roman" w:hint="eastAsia"/>
          <w:color w:val="000000"/>
          <w:sz w:val="22"/>
          <w:szCs w:val="22"/>
        </w:rPr>
        <w:t>，实验室应及时通知委托方补送试样。因试验失误造成补做的试验工作量，不得核收任何费用，并应及时检查原因予以纠正，连续二次的无效试验，应退还首次试验费的</w:t>
      </w:r>
      <w:r>
        <w:rPr>
          <w:rFonts w:ascii="Times New Roman" w:hAnsi="Times New Roman" w:cs="Times New Roman"/>
          <w:color w:val="000000"/>
          <w:sz w:val="22"/>
          <w:szCs w:val="22"/>
        </w:rPr>
        <w:t>30</w:t>
      </w:r>
      <w:r>
        <w:rPr>
          <w:rFonts w:ascii="Times New Roman" w:hAnsi="Times New Roman" w:hint="eastAsia"/>
          <w:color w:val="000000"/>
          <w:sz w:val="22"/>
          <w:szCs w:val="22"/>
        </w:rPr>
        <w:t>％，请委托方转送其它检验机构，并出具</w:t>
      </w:r>
      <w:r>
        <w:rPr>
          <w:rFonts w:ascii="Times New Roman" w:hAnsi="Times New Roman" w:cs="Times New Roman"/>
          <w:color w:val="000000"/>
          <w:sz w:val="22"/>
          <w:szCs w:val="22"/>
        </w:rPr>
        <w:t>“</w:t>
      </w:r>
      <w:r>
        <w:rPr>
          <w:rFonts w:ascii="Times New Roman" w:hAnsi="Times New Roman" w:hint="eastAsia"/>
          <w:color w:val="000000"/>
          <w:sz w:val="22"/>
          <w:szCs w:val="22"/>
        </w:rPr>
        <w:t>试验无效</w:t>
      </w:r>
      <w:r>
        <w:rPr>
          <w:rFonts w:ascii="Times New Roman" w:hAnsi="Times New Roman" w:cs="Times New Roman"/>
          <w:color w:val="000000"/>
          <w:sz w:val="22"/>
          <w:szCs w:val="22"/>
        </w:rPr>
        <w:t>”</w:t>
      </w:r>
      <w:r>
        <w:rPr>
          <w:rFonts w:ascii="Times New Roman" w:hAnsi="Times New Roman" w:hint="eastAsia"/>
          <w:color w:val="000000"/>
          <w:sz w:val="22"/>
          <w:szCs w:val="22"/>
        </w:rPr>
        <w:t>的报告一式三份。</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hint="eastAsia"/>
          <w:color w:val="000000"/>
          <w:sz w:val="22"/>
          <w:szCs w:val="22"/>
        </w:rPr>
        <w:t>、仲裁试验以及委托须留试样存样的材料试验，核收存样费。委托方对检验结果有异议时，可将存样送交上一级质检机构复验，其结果与本实验室结果不符时，以上级实验室结果为准。原实验室应退赔所收取的试验费、存样费以及送上级质检机构复验的试验费、人工费、差旅费等，其它经济损失以及相应责任按有关法律裁决。</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5</w:t>
      </w:r>
      <w:r>
        <w:rPr>
          <w:rFonts w:ascii="Times New Roman" w:hAnsi="Times New Roman" w:hint="eastAsia"/>
          <w:color w:val="000000"/>
          <w:sz w:val="22"/>
          <w:szCs w:val="22"/>
        </w:rPr>
        <w:t>、委托试验的试件必须符合试验标准、规程规定的允许偏差，正常缺陷应做补修，不另收费。特殊情况的补修</w:t>
      </w:r>
      <w:r>
        <w:rPr>
          <w:rFonts w:ascii="Times New Roman" w:hAnsi="Times New Roman" w:cs="Times New Roman"/>
          <w:color w:val="000000"/>
          <w:sz w:val="22"/>
          <w:szCs w:val="22"/>
        </w:rPr>
        <w:t>(</w:t>
      </w:r>
      <w:r>
        <w:rPr>
          <w:rFonts w:ascii="Times New Roman" w:hAnsi="Times New Roman" w:hint="eastAsia"/>
          <w:color w:val="000000"/>
          <w:sz w:val="22"/>
          <w:szCs w:val="22"/>
        </w:rPr>
        <w:t>报告应注明补修的状况</w:t>
      </w:r>
      <w:r>
        <w:rPr>
          <w:rFonts w:ascii="Times New Roman" w:hAnsi="Times New Roman" w:cs="Times New Roman"/>
          <w:color w:val="000000"/>
          <w:sz w:val="22"/>
          <w:szCs w:val="22"/>
        </w:rPr>
        <w:t>)</w:t>
      </w:r>
      <w:r>
        <w:rPr>
          <w:rFonts w:ascii="Times New Roman" w:hAnsi="Times New Roman" w:hint="eastAsia"/>
          <w:color w:val="000000"/>
          <w:sz w:val="22"/>
          <w:szCs w:val="22"/>
        </w:rPr>
        <w:t>、需要养护的试件及试件的加工，应另外核收补修、养护、加工费。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6</w:t>
      </w:r>
      <w:r>
        <w:rPr>
          <w:rFonts w:ascii="Times New Roman" w:hAnsi="Times New Roman" w:hint="eastAsia"/>
          <w:color w:val="000000"/>
          <w:sz w:val="22"/>
          <w:szCs w:val="22"/>
        </w:rPr>
        <w:t>、混凝土配比设计应按三点斜率调整法进行试配，并应给出推定强度值。各种强度快速试验结果，不能代替部颁</w:t>
      </w:r>
      <w:r>
        <w:rPr>
          <w:rFonts w:ascii="Times New Roman" w:hAnsi="Times New Roman" w:cs="Times New Roman"/>
          <w:color w:val="000000"/>
          <w:sz w:val="22"/>
          <w:szCs w:val="22"/>
        </w:rPr>
        <w:t>JGJ55</w:t>
      </w:r>
      <w:r>
        <w:rPr>
          <w:rFonts w:ascii="Times New Roman" w:hAnsi="Times New Roman" w:hint="eastAsia"/>
          <w:color w:val="000000"/>
          <w:sz w:val="22"/>
          <w:szCs w:val="22"/>
        </w:rPr>
        <w:t>一</w:t>
      </w:r>
      <w:r>
        <w:rPr>
          <w:rFonts w:ascii="Times New Roman" w:hAnsi="Times New Roman" w:cs="Times New Roman"/>
          <w:color w:val="000000"/>
          <w:sz w:val="22"/>
          <w:szCs w:val="22"/>
        </w:rPr>
        <w:t>81</w:t>
      </w:r>
      <w:r>
        <w:rPr>
          <w:rFonts w:ascii="Times New Roman" w:hAnsi="Times New Roman" w:hint="eastAsia"/>
          <w:color w:val="000000"/>
          <w:sz w:val="22"/>
          <w:szCs w:val="22"/>
        </w:rPr>
        <w:t>所规定的常规基本试件，但可以作为出具参考配合比报告的依据，并可仅制做基本配合比</w:t>
      </w:r>
      <w:r>
        <w:rPr>
          <w:rFonts w:ascii="Times New Roman" w:hAnsi="Times New Roman" w:cs="Times New Roman"/>
          <w:color w:val="000000"/>
          <w:sz w:val="22"/>
          <w:szCs w:val="22"/>
        </w:rPr>
        <w:t>28d</w:t>
      </w:r>
      <w:r>
        <w:rPr>
          <w:rFonts w:ascii="Times New Roman" w:hAnsi="Times New Roman" w:hint="eastAsia"/>
          <w:color w:val="000000"/>
          <w:sz w:val="22"/>
          <w:szCs w:val="22"/>
        </w:rPr>
        <w:t>试件一组，以其快测的参数及曲线，结合给出最终配合比调整值和推定强度值。</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具有各种配合比设计历史资料的实验室，其试验调整曲线应每年修订一次，备案于管理手册，常规试配可只做单水灰比、</w:t>
      </w:r>
      <w:r>
        <w:rPr>
          <w:rFonts w:ascii="Times New Roman" w:hAnsi="Times New Roman" w:cs="Times New Roman"/>
          <w:color w:val="000000"/>
          <w:sz w:val="22"/>
          <w:szCs w:val="22"/>
        </w:rPr>
        <w:t>7d</w:t>
      </w:r>
      <w:r>
        <w:rPr>
          <w:rFonts w:ascii="Times New Roman" w:hAnsi="Times New Roman" w:hint="eastAsia"/>
          <w:color w:val="000000"/>
          <w:sz w:val="22"/>
          <w:szCs w:val="22"/>
        </w:rPr>
        <w:t>、</w:t>
      </w:r>
      <w:r>
        <w:rPr>
          <w:rFonts w:ascii="Times New Roman" w:hAnsi="Times New Roman" w:cs="Times New Roman"/>
          <w:color w:val="000000"/>
          <w:sz w:val="22"/>
          <w:szCs w:val="22"/>
        </w:rPr>
        <w:t>28d</w:t>
      </w:r>
      <w:r>
        <w:rPr>
          <w:rFonts w:ascii="Times New Roman" w:hAnsi="Times New Roman" w:hint="eastAsia"/>
          <w:color w:val="000000"/>
          <w:sz w:val="22"/>
          <w:szCs w:val="22"/>
        </w:rPr>
        <w:t>标养试件，提供早期参考配合比和最终调整配合比及其强度推定值，此时应按本标准的</w:t>
      </w:r>
      <w:r>
        <w:rPr>
          <w:rFonts w:ascii="Times New Roman" w:hAnsi="Times New Roman" w:cs="Times New Roman"/>
          <w:color w:val="000000"/>
          <w:sz w:val="22"/>
          <w:szCs w:val="22"/>
        </w:rPr>
        <w:t>70</w:t>
      </w:r>
      <w:r>
        <w:rPr>
          <w:rFonts w:ascii="Times New Roman" w:hAnsi="Times New Roman" w:hint="eastAsia"/>
          <w:color w:val="000000"/>
          <w:sz w:val="22"/>
          <w:szCs w:val="22"/>
        </w:rPr>
        <w:t>％收费。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7</w:t>
      </w:r>
      <w:r>
        <w:rPr>
          <w:rFonts w:ascii="Times New Roman" w:hAnsi="Times New Roman" w:hint="eastAsia"/>
          <w:color w:val="000000"/>
          <w:sz w:val="22"/>
          <w:szCs w:val="22"/>
        </w:rPr>
        <w:t>、鉴定性的产品质量检验系指建筑构配件、装修材料及涂料、各类外加剂、工艺机具等新产品的鉴定性试验，其检验取费应按产品的国家、行业、地方或企业标准、技术转让性能与质量检验参数技术文件所规定项目进行全项检验评定，本实验室不能检验的项目，应由服务方进行转托单项检验，合并出具报告，其取费按单项试验项次及数量的费用累计总合的</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2</w:t>
      </w:r>
      <w:r>
        <w:rPr>
          <w:rFonts w:ascii="Times New Roman" w:hAnsi="Times New Roman" w:hint="eastAsia"/>
          <w:color w:val="000000"/>
          <w:sz w:val="22"/>
          <w:szCs w:val="22"/>
        </w:rPr>
        <w:t>倍计算</w:t>
      </w:r>
      <w:r>
        <w:rPr>
          <w:rFonts w:ascii="Times New Roman" w:hAnsi="Times New Roman" w:cs="Times New Roman"/>
          <w:color w:val="000000"/>
          <w:sz w:val="22"/>
          <w:szCs w:val="22"/>
        </w:rPr>
        <w:t>(</w:t>
      </w:r>
      <w:r>
        <w:rPr>
          <w:rFonts w:ascii="Times New Roman" w:hAnsi="Times New Roman" w:hint="eastAsia"/>
          <w:color w:val="000000"/>
          <w:sz w:val="22"/>
          <w:szCs w:val="22"/>
        </w:rPr>
        <w:t>产品已属常规批量检验时取</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0</w:t>
      </w:r>
      <w:r>
        <w:rPr>
          <w:rFonts w:ascii="Times New Roman" w:hAnsi="Times New Roman" w:hint="eastAsia"/>
          <w:color w:val="000000"/>
          <w:sz w:val="22"/>
          <w:szCs w:val="22"/>
        </w:rPr>
        <w:t>倍</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8</w:t>
      </w:r>
      <w:r>
        <w:rPr>
          <w:rFonts w:ascii="Times New Roman" w:hAnsi="Times New Roman" w:hint="eastAsia"/>
          <w:color w:val="000000"/>
          <w:sz w:val="22"/>
          <w:szCs w:val="22"/>
        </w:rPr>
        <w:t>、新产品性能及质量参数检验中属非常规检验的项次，服务方可就其检验方法及专用机具</w:t>
      </w:r>
      <w:r>
        <w:rPr>
          <w:rFonts w:ascii="Times New Roman" w:hAnsi="Times New Roman" w:cs="Times New Roman"/>
          <w:color w:val="000000"/>
          <w:sz w:val="22"/>
          <w:szCs w:val="22"/>
        </w:rPr>
        <w:t>(</w:t>
      </w:r>
      <w:r>
        <w:rPr>
          <w:rFonts w:ascii="Times New Roman" w:hAnsi="Times New Roman" w:hint="eastAsia"/>
          <w:color w:val="000000"/>
          <w:sz w:val="22"/>
          <w:szCs w:val="22"/>
        </w:rPr>
        <w:t>指不能套用已有检验方法、标准的特殊检测要求</w:t>
      </w:r>
      <w:r>
        <w:rPr>
          <w:rFonts w:ascii="Times New Roman" w:hAnsi="Times New Roman" w:cs="Times New Roman"/>
          <w:color w:val="000000"/>
          <w:sz w:val="22"/>
          <w:szCs w:val="22"/>
        </w:rPr>
        <w:t>)</w:t>
      </w:r>
      <w:r>
        <w:rPr>
          <w:rFonts w:ascii="Times New Roman" w:hAnsi="Times New Roman" w:hint="eastAsia"/>
          <w:color w:val="000000"/>
          <w:sz w:val="22"/>
          <w:szCs w:val="22"/>
        </w:rPr>
        <w:t>提出设计加工预算，由委承双方根据合同协议属一次性或长年委托例检而摊销费用。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eastAsia="微软雅黑" w:hAnsi="Times New Roman" w:cs="Times New Roman"/>
        </w:rPr>
      </w:pPr>
      <w:r>
        <w:rPr>
          <w:rFonts w:ascii="Times New Roman" w:hAnsi="Times New Roman" w:cs="Times New Roman"/>
          <w:color w:val="000000"/>
          <w:sz w:val="22"/>
          <w:szCs w:val="22"/>
        </w:rPr>
        <w:t>9</w:t>
      </w:r>
      <w:r>
        <w:rPr>
          <w:rFonts w:ascii="Times New Roman" w:hAnsi="Times New Roman" w:hint="eastAsia"/>
          <w:color w:val="000000"/>
          <w:sz w:val="22"/>
          <w:szCs w:val="22"/>
        </w:rPr>
        <w:t>、产品检验须现场测试的项目，由委托方提供测试条件及交通、差旅费，需抽样的一并核收抽样费，检验方使用委托方有关试验设备时，应减收所用设备折旧费用。</w:t>
      </w:r>
    </w:p>
    <w:p w:rsidR="00A32067" w:rsidRDefault="00A32067" w:rsidP="0002085C">
      <w:pPr>
        <w:pStyle w:val="NormalWeb"/>
        <w:shd w:val="clear" w:color="auto" w:fill="FFFFFF"/>
        <w:spacing w:beforeLines="100" w:beforeAutospacing="0" w:afterLines="50" w:afterAutospacing="0" w:line="720" w:lineRule="auto"/>
        <w:jc w:val="center"/>
        <w:rPr>
          <w:rFonts w:ascii="Times New Roman" w:hAnsi="Times New Roman" w:cs="Times New Roman"/>
          <w:b/>
          <w:bCs/>
          <w:color w:val="333333"/>
        </w:rPr>
      </w:pPr>
      <w:r>
        <w:rPr>
          <w:rFonts w:ascii="Times New Roman" w:hAnsi="Times New Roman" w:hint="eastAsia"/>
          <w:b/>
          <w:bCs/>
          <w:color w:val="333333"/>
        </w:rPr>
        <w:t>材料</w:t>
      </w:r>
      <w:r>
        <w:rPr>
          <w:rFonts w:ascii="Times New Roman" w:hAnsi="Times New Roman" w:cs="Times New Roman"/>
          <w:b/>
          <w:bCs/>
          <w:color w:val="333333"/>
        </w:rPr>
        <w:t>(</w:t>
      </w:r>
      <w:r>
        <w:rPr>
          <w:rFonts w:ascii="Times New Roman" w:hAnsi="Times New Roman" w:hint="eastAsia"/>
          <w:b/>
          <w:bCs/>
          <w:color w:val="333333"/>
        </w:rPr>
        <w:t>试件</w:t>
      </w:r>
      <w:r>
        <w:rPr>
          <w:rFonts w:ascii="Times New Roman" w:hAnsi="Times New Roman" w:cs="Times New Roman"/>
          <w:b/>
          <w:bCs/>
          <w:color w:val="333333"/>
        </w:rPr>
        <w:t>)</w:t>
      </w:r>
      <w:r>
        <w:rPr>
          <w:rFonts w:ascii="Times New Roman" w:hAnsi="Times New Roman" w:hint="eastAsia"/>
          <w:b/>
          <w:bCs/>
          <w:color w:val="333333"/>
        </w:rPr>
        <w:t>试验委托须知</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w:t>
      </w:r>
      <w:r>
        <w:rPr>
          <w:rFonts w:ascii="Times New Roman" w:hAnsi="Times New Roman" w:hint="eastAsia"/>
          <w:color w:val="000000"/>
          <w:sz w:val="22"/>
          <w:szCs w:val="22"/>
        </w:rPr>
        <w:t>、凡委托各级质检机构进行材料</w:t>
      </w:r>
      <w:r>
        <w:rPr>
          <w:rFonts w:ascii="Times New Roman" w:hAnsi="Times New Roman" w:cs="Times New Roman"/>
          <w:color w:val="000000"/>
          <w:sz w:val="22"/>
          <w:szCs w:val="22"/>
        </w:rPr>
        <w:t>(</w:t>
      </w:r>
      <w:r>
        <w:rPr>
          <w:rFonts w:ascii="Times New Roman" w:hAnsi="Times New Roman" w:hint="eastAsia"/>
          <w:color w:val="000000"/>
          <w:sz w:val="22"/>
          <w:szCs w:val="22"/>
        </w:rPr>
        <w:t>试件</w:t>
      </w:r>
      <w:r>
        <w:rPr>
          <w:rFonts w:ascii="Times New Roman" w:hAnsi="Times New Roman" w:cs="Times New Roman"/>
          <w:color w:val="000000"/>
          <w:sz w:val="22"/>
          <w:szCs w:val="22"/>
        </w:rPr>
        <w:t>)</w:t>
      </w:r>
      <w:r>
        <w:rPr>
          <w:rFonts w:ascii="Times New Roman" w:hAnsi="Times New Roman" w:hint="eastAsia"/>
          <w:color w:val="000000"/>
          <w:sz w:val="22"/>
          <w:szCs w:val="22"/>
        </w:rPr>
        <w:t>试验的必须填写委托单。委托单按工程部位、项目及试验的类别每件</w:t>
      </w:r>
      <w:r>
        <w:rPr>
          <w:rFonts w:ascii="Times New Roman" w:hAnsi="Times New Roman" w:cs="Times New Roman"/>
          <w:color w:val="000000"/>
          <w:sz w:val="22"/>
          <w:szCs w:val="22"/>
        </w:rPr>
        <w:t>(</w:t>
      </w:r>
      <w:r>
        <w:rPr>
          <w:rFonts w:ascii="Times New Roman" w:hAnsi="Times New Roman" w:hint="eastAsia"/>
          <w:color w:val="000000"/>
          <w:sz w:val="22"/>
          <w:szCs w:val="22"/>
        </w:rPr>
        <w:t>组</w:t>
      </w:r>
      <w:r>
        <w:rPr>
          <w:rFonts w:ascii="Times New Roman" w:hAnsi="Times New Roman" w:cs="Times New Roman"/>
          <w:color w:val="000000"/>
          <w:sz w:val="22"/>
          <w:szCs w:val="22"/>
        </w:rPr>
        <w:t>)</w:t>
      </w:r>
      <w:r>
        <w:rPr>
          <w:rFonts w:ascii="Times New Roman" w:hAnsi="Times New Roman" w:hint="eastAsia"/>
          <w:color w:val="000000"/>
          <w:sz w:val="22"/>
          <w:szCs w:val="22"/>
        </w:rPr>
        <w:t>填写一份并做为试验依据，其中所有项目均需填写详实、齐全、字迹清楚。委托单可以预先购买，由工地技舞负责人填写，质检机构不得代填。填写项目不全或不能满足试验结果判定的依据时，质检机构可以拒绝受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、委托试验项目的材料</w:t>
      </w:r>
      <w:r>
        <w:rPr>
          <w:rFonts w:ascii="Times New Roman" w:hAnsi="Times New Roman" w:cs="Times New Roman"/>
          <w:color w:val="000000"/>
          <w:sz w:val="22"/>
          <w:szCs w:val="22"/>
        </w:rPr>
        <w:t>(</w:t>
      </w:r>
      <w:r>
        <w:rPr>
          <w:rFonts w:ascii="Times New Roman" w:hAnsi="Times New Roman" w:hint="eastAsia"/>
          <w:color w:val="000000"/>
          <w:sz w:val="22"/>
          <w:szCs w:val="22"/>
        </w:rPr>
        <w:t>试件</w:t>
      </w:r>
      <w:r>
        <w:rPr>
          <w:rFonts w:ascii="Times New Roman" w:hAnsi="Times New Roman" w:cs="Times New Roman"/>
          <w:color w:val="000000"/>
          <w:sz w:val="22"/>
          <w:szCs w:val="22"/>
        </w:rPr>
        <w:t>)</w:t>
      </w:r>
      <w:r>
        <w:rPr>
          <w:rFonts w:ascii="Times New Roman" w:hAnsi="Times New Roman" w:hint="eastAsia"/>
          <w:color w:val="000000"/>
          <w:sz w:val="22"/>
          <w:szCs w:val="22"/>
        </w:rPr>
        <w:t>必须满足有关标准规程规定的尺度、数量要求，接样员应逐一核验，经允许的补修，仍达不到标准的，原则上应拒绝受理。确属必要时，应在委托单及报告中注明质地情况。须补修、加工或养护的试件核收相应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、委托单位应对所填委托单的真实性负责。各项试验的取样要按相应的标准规程的规定进行，对特殊材料可由有关各方协商取样方案。</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hint="eastAsia"/>
          <w:color w:val="000000"/>
          <w:sz w:val="22"/>
          <w:szCs w:val="22"/>
        </w:rPr>
        <w:t>、委托单位应在委托单中注明试验的要求和目的。混凝土配合比试配，要填写本单位的强度标准差，本单位没有设计资料的，实验室一律按国家统一规定标准差值取值试配。一般试验，试验后不留试件，须存样或观察破坏试样者，应在委托单中注明。</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5</w:t>
      </w:r>
      <w:r>
        <w:rPr>
          <w:rFonts w:ascii="Times New Roman" w:hAnsi="Times New Roman" w:hint="eastAsia"/>
          <w:color w:val="000000"/>
          <w:sz w:val="22"/>
          <w:szCs w:val="22"/>
        </w:rPr>
        <w:t>、因材料质量发生争议时，检验单位只对仲裁部门委托负责，对当事双方不予接待，试验费按收费标准中仲裁检验收费。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6</w:t>
      </w:r>
      <w:r>
        <w:rPr>
          <w:rFonts w:ascii="Times New Roman" w:hAnsi="Times New Roman" w:hint="eastAsia"/>
          <w:color w:val="000000"/>
          <w:sz w:val="22"/>
          <w:szCs w:val="22"/>
        </w:rPr>
        <w:t>、试验过程有可能发生</w:t>
      </w:r>
      <w:r>
        <w:rPr>
          <w:rFonts w:ascii="Times New Roman" w:hAnsi="Times New Roman" w:cs="Times New Roman"/>
          <w:color w:val="000000"/>
          <w:sz w:val="22"/>
          <w:szCs w:val="22"/>
        </w:rPr>
        <w:t>“</w:t>
      </w:r>
      <w:r>
        <w:rPr>
          <w:rFonts w:ascii="Times New Roman" w:hAnsi="Times New Roman" w:hint="eastAsia"/>
          <w:color w:val="000000"/>
          <w:sz w:val="22"/>
          <w:szCs w:val="22"/>
        </w:rPr>
        <w:t>无效</w:t>
      </w:r>
      <w:r>
        <w:rPr>
          <w:rFonts w:ascii="Times New Roman" w:hAnsi="Times New Roman" w:cs="Times New Roman"/>
          <w:color w:val="000000"/>
          <w:sz w:val="22"/>
          <w:szCs w:val="22"/>
        </w:rPr>
        <w:t>”</w:t>
      </w:r>
      <w:r>
        <w:rPr>
          <w:rFonts w:ascii="Times New Roman" w:hAnsi="Times New Roman" w:hint="eastAsia"/>
          <w:color w:val="000000"/>
          <w:sz w:val="22"/>
          <w:szCs w:val="22"/>
        </w:rPr>
        <w:t>试验或</w:t>
      </w:r>
      <w:r>
        <w:rPr>
          <w:rFonts w:ascii="Times New Roman" w:hAnsi="Times New Roman" w:cs="Times New Roman"/>
          <w:color w:val="000000"/>
          <w:sz w:val="22"/>
          <w:szCs w:val="22"/>
        </w:rPr>
        <w:t>“</w:t>
      </w:r>
      <w:r>
        <w:rPr>
          <w:rFonts w:ascii="Times New Roman" w:hAnsi="Times New Roman" w:hint="eastAsia"/>
          <w:color w:val="000000"/>
          <w:sz w:val="22"/>
          <w:szCs w:val="22"/>
        </w:rPr>
        <w:t>临界值</w:t>
      </w:r>
      <w:r>
        <w:rPr>
          <w:rFonts w:ascii="Times New Roman" w:hAnsi="Times New Roman" w:cs="Times New Roman"/>
          <w:color w:val="000000"/>
          <w:sz w:val="22"/>
          <w:szCs w:val="22"/>
        </w:rPr>
        <w:t>”</w:t>
      </w:r>
      <w:r>
        <w:rPr>
          <w:rFonts w:ascii="Times New Roman" w:hAnsi="Times New Roman" w:hint="eastAsia"/>
          <w:color w:val="000000"/>
          <w:sz w:val="22"/>
          <w:szCs w:val="22"/>
        </w:rPr>
        <w:t>结果，均需补做该项试验，委托方应积极配合，提供试件，等待时间。</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7</w:t>
      </w:r>
      <w:r>
        <w:rPr>
          <w:rFonts w:ascii="Times New Roman" w:hAnsi="Times New Roman" w:hint="eastAsia"/>
          <w:color w:val="000000"/>
          <w:sz w:val="22"/>
          <w:szCs w:val="22"/>
        </w:rPr>
        <w:t>、委托试验先交押金或按委托试验内容予估试验费，试验结束提交报告时按实际发生情况核算并结清费用。属合同试验单位，签订合同后，试验费用按合同规定支付。</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8</w:t>
      </w:r>
      <w:r>
        <w:rPr>
          <w:rFonts w:ascii="Times New Roman" w:hAnsi="Times New Roman" w:hint="eastAsia"/>
          <w:color w:val="000000"/>
          <w:sz w:val="22"/>
          <w:szCs w:val="22"/>
        </w:rPr>
        <w:t>、出具给委托方的各类试验报告均为一式三份，如需增加报告份数</w:t>
      </w:r>
      <w:r>
        <w:rPr>
          <w:rFonts w:ascii="Times New Roman" w:hAnsi="Times New Roman" w:cs="Times New Roman"/>
          <w:color w:val="000000"/>
          <w:sz w:val="22"/>
          <w:szCs w:val="22"/>
        </w:rPr>
        <w:t>(</w:t>
      </w:r>
      <w:r>
        <w:rPr>
          <w:rFonts w:ascii="Times New Roman" w:hAnsi="Times New Roman" w:hint="eastAsia"/>
          <w:color w:val="000000"/>
          <w:sz w:val="22"/>
          <w:szCs w:val="22"/>
        </w:rPr>
        <w:t>红印章正本</w:t>
      </w:r>
      <w:r>
        <w:rPr>
          <w:rFonts w:ascii="Times New Roman" w:hAnsi="Times New Roman" w:cs="Times New Roman"/>
          <w:color w:val="000000"/>
          <w:sz w:val="22"/>
          <w:szCs w:val="22"/>
        </w:rPr>
        <w:t>)</w:t>
      </w:r>
      <w:r>
        <w:rPr>
          <w:rFonts w:ascii="Times New Roman" w:hAnsi="Times New Roman" w:hint="eastAsia"/>
          <w:color w:val="000000"/>
          <w:sz w:val="22"/>
          <w:szCs w:val="22"/>
        </w:rPr>
        <w:t>，应经检验方同意，并按</w:t>
      </w:r>
      <w:r>
        <w:rPr>
          <w:rFonts w:ascii="Times New Roman" w:hAnsi="Times New Roman" w:cs="Times New Roman"/>
          <w:color w:val="000000"/>
          <w:sz w:val="22"/>
          <w:szCs w:val="22"/>
        </w:rPr>
        <w:t>15</w:t>
      </w:r>
      <w:r>
        <w:rPr>
          <w:rFonts w:ascii="Times New Roman" w:hAnsi="Times New Roman" w:hint="eastAsia"/>
          <w:color w:val="000000"/>
          <w:sz w:val="22"/>
          <w:szCs w:val="22"/>
        </w:rPr>
        <w:t>元／份加收工本费。报告一经归档，追加或补开报告时，除交纳工本费外另核收手续费</w:t>
      </w:r>
      <w:r>
        <w:rPr>
          <w:rFonts w:ascii="Times New Roman" w:hAnsi="Times New Roman" w:cs="Times New Roman"/>
          <w:color w:val="000000"/>
          <w:sz w:val="22"/>
          <w:szCs w:val="22"/>
        </w:rPr>
        <w:t>5</w:t>
      </w:r>
      <w:r>
        <w:rPr>
          <w:rFonts w:ascii="Times New Roman" w:hAnsi="Times New Roman" w:hint="eastAsia"/>
          <w:color w:val="000000"/>
          <w:sz w:val="22"/>
          <w:szCs w:val="22"/>
        </w:rPr>
        <w:t>元／份</w:t>
      </w:r>
      <w:r>
        <w:rPr>
          <w:rFonts w:ascii="Times New Roman" w:hAnsi="Times New Roman" w:cs="Times New Roman"/>
          <w:color w:val="000000"/>
          <w:sz w:val="22"/>
          <w:szCs w:val="22"/>
        </w:rPr>
        <w:t>(</w:t>
      </w:r>
      <w:r>
        <w:rPr>
          <w:rFonts w:ascii="Times New Roman" w:hAnsi="Times New Roman" w:hint="eastAsia"/>
          <w:color w:val="000000"/>
          <w:sz w:val="22"/>
          <w:szCs w:val="22"/>
        </w:rPr>
        <w:t>三张</w:t>
      </w:r>
      <w:r>
        <w:rPr>
          <w:rFonts w:ascii="Times New Roman" w:hAnsi="Times New Roman" w:cs="Times New Roman"/>
          <w:color w:val="000000"/>
          <w:sz w:val="22"/>
          <w:szCs w:val="22"/>
        </w:rPr>
        <w:t>)</w:t>
      </w:r>
      <w:r>
        <w:rPr>
          <w:rFonts w:ascii="Times New Roman" w:hAnsi="Times New Roman" w:hint="eastAsia"/>
          <w:color w:val="000000"/>
          <w:sz w:val="22"/>
          <w:szCs w:val="22"/>
        </w:rPr>
        <w:t>。报告按委托要求已经打印，委托方要求更改、增填内容时，每份</w:t>
      </w:r>
      <w:r>
        <w:rPr>
          <w:rFonts w:ascii="Times New Roman" w:hAnsi="Times New Roman" w:cs="Times New Roman"/>
          <w:color w:val="000000"/>
          <w:sz w:val="22"/>
          <w:szCs w:val="22"/>
        </w:rPr>
        <w:t>(</w:t>
      </w:r>
      <w:r>
        <w:rPr>
          <w:rFonts w:ascii="Times New Roman" w:hAnsi="Times New Roman" w:hint="eastAsia"/>
          <w:color w:val="000000"/>
          <w:sz w:val="22"/>
          <w:szCs w:val="22"/>
        </w:rPr>
        <w:t>三张</w:t>
      </w:r>
      <w:r>
        <w:rPr>
          <w:rFonts w:ascii="Times New Roman" w:hAnsi="Times New Roman" w:cs="Times New Roman"/>
          <w:color w:val="000000"/>
          <w:sz w:val="22"/>
          <w:szCs w:val="22"/>
        </w:rPr>
        <w:t>)</w:t>
      </w:r>
      <w:r>
        <w:rPr>
          <w:rFonts w:ascii="Times New Roman" w:hAnsi="Times New Roman" w:hint="eastAsia"/>
          <w:color w:val="000000"/>
          <w:sz w:val="22"/>
          <w:szCs w:val="22"/>
        </w:rPr>
        <w:t>加收</w:t>
      </w:r>
      <w:r>
        <w:rPr>
          <w:rFonts w:ascii="Times New Roman" w:hAnsi="Times New Roman" w:cs="Times New Roman"/>
          <w:color w:val="000000"/>
          <w:sz w:val="22"/>
          <w:szCs w:val="22"/>
        </w:rPr>
        <w:t>50</w:t>
      </w:r>
      <w:r>
        <w:rPr>
          <w:rFonts w:ascii="Times New Roman" w:hAnsi="Times New Roman" w:hint="eastAsia"/>
          <w:color w:val="000000"/>
          <w:sz w:val="22"/>
          <w:szCs w:val="22"/>
        </w:rPr>
        <w:t>元。如系检验方原因，应将错误报告收回，并重新向委托方出具报告，不得收取任何费用。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9</w:t>
      </w:r>
      <w:r>
        <w:rPr>
          <w:rFonts w:ascii="Times New Roman" w:hAnsi="Times New Roman" w:hint="eastAsia"/>
          <w:color w:val="000000"/>
          <w:sz w:val="22"/>
          <w:szCs w:val="22"/>
        </w:rPr>
        <w:t>、质检机构每周工作日及季节作息时间应明确规定。委托试验时，双方根据工作量商定完成日期。其间因停电、停水等非主观原因误期时，可顺延交付日期。因质检机构工作疏漏，造成延期者，按影响程度与性质予以赔偿或减收试验费，一般延期减收</w:t>
      </w:r>
      <w:r>
        <w:rPr>
          <w:rFonts w:ascii="Times New Roman" w:hAnsi="Times New Roman" w:cs="Times New Roman"/>
          <w:color w:val="000000"/>
          <w:sz w:val="22"/>
          <w:szCs w:val="22"/>
        </w:rPr>
        <w:t>20</w:t>
      </w:r>
      <w:r>
        <w:rPr>
          <w:rFonts w:ascii="Times New Roman" w:hAnsi="Times New Roman" w:hint="eastAsia"/>
          <w:color w:val="000000"/>
          <w:sz w:val="22"/>
          <w:szCs w:val="22"/>
        </w:rPr>
        <w:t>％试验费，承诺保证期延误减收</w:t>
      </w:r>
      <w:r>
        <w:rPr>
          <w:rFonts w:ascii="Times New Roman" w:hAnsi="Times New Roman" w:cs="Times New Roman"/>
          <w:color w:val="000000"/>
          <w:sz w:val="22"/>
          <w:szCs w:val="22"/>
        </w:rPr>
        <w:t>50</w:t>
      </w:r>
      <w:r>
        <w:rPr>
          <w:rFonts w:ascii="Times New Roman" w:hAnsi="Times New Roman" w:hint="eastAsia"/>
          <w:color w:val="000000"/>
          <w:sz w:val="22"/>
          <w:szCs w:val="22"/>
        </w:rPr>
        <w:t>％试验费，玩忽职守造成损失者减收</w:t>
      </w:r>
      <w:r>
        <w:rPr>
          <w:rFonts w:ascii="Times New Roman" w:hAnsi="Times New Roman" w:cs="Times New Roman"/>
          <w:color w:val="000000"/>
          <w:sz w:val="22"/>
          <w:szCs w:val="22"/>
        </w:rPr>
        <w:t>80</w:t>
      </w:r>
      <w:r>
        <w:rPr>
          <w:rFonts w:ascii="Times New Roman" w:hAnsi="Times New Roman" w:hint="eastAsia"/>
          <w:color w:val="000000"/>
          <w:sz w:val="22"/>
          <w:szCs w:val="22"/>
        </w:rPr>
        <w:t>％</w:t>
      </w:r>
      <w:r>
        <w:rPr>
          <w:rFonts w:ascii="Times New Roman" w:hAnsi="Times New Roman" w:cs="Times New Roman"/>
          <w:color w:val="000000"/>
          <w:sz w:val="22"/>
          <w:szCs w:val="22"/>
        </w:rPr>
        <w:t>--100</w:t>
      </w:r>
      <w:r>
        <w:rPr>
          <w:rFonts w:ascii="Times New Roman" w:hAnsi="Times New Roman" w:hint="eastAsia"/>
          <w:color w:val="000000"/>
          <w:sz w:val="22"/>
          <w:szCs w:val="22"/>
        </w:rPr>
        <w:t>％试验费。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10</w:t>
      </w:r>
      <w:r>
        <w:rPr>
          <w:rFonts w:ascii="Times New Roman" w:hAnsi="Times New Roman" w:hint="eastAsia"/>
          <w:color w:val="000000"/>
          <w:sz w:val="22"/>
          <w:szCs w:val="22"/>
        </w:rPr>
        <w:t>、委托单位要求加急试验时，质检机构负责人可根据超计划工作量程度决定是否承接，加急费按试验费的</w:t>
      </w:r>
      <w:r>
        <w:rPr>
          <w:rFonts w:ascii="Times New Roman" w:hAnsi="Times New Roman" w:cs="Times New Roman"/>
          <w:color w:val="000000"/>
          <w:sz w:val="22"/>
          <w:szCs w:val="22"/>
        </w:rPr>
        <w:t>200</w:t>
      </w:r>
      <w:r>
        <w:rPr>
          <w:rFonts w:ascii="Times New Roman" w:hAnsi="Times New Roman" w:hint="eastAsia"/>
          <w:color w:val="000000"/>
          <w:sz w:val="22"/>
          <w:szCs w:val="22"/>
        </w:rPr>
        <w:t>％核收</w:t>
      </w:r>
      <w:r>
        <w:rPr>
          <w:rFonts w:ascii="Times New Roman" w:hAnsi="Times New Roman" w:cs="Times New Roman"/>
          <w:color w:val="000000"/>
          <w:sz w:val="22"/>
          <w:szCs w:val="22"/>
        </w:rPr>
        <w:t>(</w:t>
      </w:r>
      <w:r>
        <w:rPr>
          <w:rFonts w:ascii="Times New Roman" w:hAnsi="Times New Roman" w:hint="eastAsia"/>
          <w:color w:val="000000"/>
          <w:sz w:val="22"/>
          <w:szCs w:val="22"/>
        </w:rPr>
        <w:t>总额为三倍试验费</w:t>
      </w:r>
      <w:r>
        <w:rPr>
          <w:rFonts w:ascii="Times New Roman" w:hAnsi="Times New Roman" w:cs="Times New Roman"/>
          <w:color w:val="000000"/>
          <w:sz w:val="22"/>
          <w:szCs w:val="22"/>
        </w:rPr>
        <w:t>)</w:t>
      </w:r>
      <w:r>
        <w:rPr>
          <w:rFonts w:ascii="Times New Roman" w:hAnsi="Times New Roman" w:hint="eastAsia"/>
          <w:color w:val="000000"/>
          <w:sz w:val="22"/>
          <w:szCs w:val="22"/>
        </w:rPr>
        <w:t>，收费收据分别开列试验费及加急费。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11</w:t>
      </w:r>
      <w:r>
        <w:rPr>
          <w:rFonts w:ascii="Times New Roman" w:hAnsi="Times New Roman" w:hint="eastAsia"/>
          <w:color w:val="000000"/>
          <w:sz w:val="22"/>
          <w:szCs w:val="22"/>
        </w:rPr>
        <w:t>、委托试验的送样员不得进入实验室操作间，不得与检验人员面谈试验要求，一切手续均应与实验室接样员或负责人办理。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12</w:t>
      </w:r>
      <w:r>
        <w:rPr>
          <w:rFonts w:ascii="Times New Roman" w:hAnsi="Times New Roman" w:hint="eastAsia"/>
          <w:color w:val="000000"/>
          <w:sz w:val="22"/>
          <w:szCs w:val="22"/>
        </w:rPr>
        <w:t>、所有送样委托检验，应按有关要求实行见证取样制度。送样人应对试样的代表性、真实性负责。需由实验室负责进行抽样检验的，另核收现场取样费，其检验量与保证率须由检验机构确定。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13</w:t>
      </w:r>
      <w:r>
        <w:rPr>
          <w:rFonts w:ascii="Times New Roman" w:hAnsi="Times New Roman" w:hint="eastAsia"/>
          <w:color w:val="000000"/>
          <w:sz w:val="22"/>
          <w:szCs w:val="22"/>
        </w:rPr>
        <w:t>、委托检验新产品时须按有关国家、行业或企业标准</w:t>
      </w:r>
      <w:r>
        <w:rPr>
          <w:rFonts w:ascii="Times New Roman" w:hAnsi="Times New Roman" w:cs="Times New Roman"/>
          <w:color w:val="000000"/>
          <w:sz w:val="22"/>
          <w:szCs w:val="22"/>
        </w:rPr>
        <w:t>(</w:t>
      </w:r>
      <w:r>
        <w:rPr>
          <w:rFonts w:ascii="Times New Roman" w:hAnsi="Times New Roman" w:hint="eastAsia"/>
          <w:color w:val="000000"/>
          <w:sz w:val="22"/>
          <w:szCs w:val="22"/>
        </w:rPr>
        <w:t>技术资料</w:t>
      </w:r>
      <w:r>
        <w:rPr>
          <w:rFonts w:ascii="Times New Roman" w:hAnsi="Times New Roman" w:cs="Times New Roman"/>
          <w:color w:val="000000"/>
          <w:sz w:val="22"/>
          <w:szCs w:val="22"/>
        </w:rPr>
        <w:t>)</w:t>
      </w:r>
      <w:r>
        <w:rPr>
          <w:rFonts w:ascii="Times New Roman" w:hAnsi="Times New Roman" w:hint="eastAsia"/>
          <w:color w:val="000000"/>
          <w:sz w:val="22"/>
          <w:szCs w:val="22"/>
        </w:rPr>
        <w:t>规定的检验项目全项检验，本机构不能检验的项目应转委其它专业或上级质检机构，并统一收费统一报告，不能全项检验的报告，应开列检验项目的明细表，并仅对所列项目负责。</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14</w:t>
      </w:r>
      <w:r>
        <w:rPr>
          <w:rFonts w:ascii="Times New Roman" w:hAnsi="Times New Roman" w:hint="eastAsia"/>
          <w:color w:val="000000"/>
          <w:sz w:val="22"/>
          <w:szCs w:val="22"/>
        </w:rPr>
        <w:t>、委托单位对试验报告有异议时，可在</w:t>
      </w:r>
      <w:r>
        <w:rPr>
          <w:rFonts w:ascii="Times New Roman" w:hAnsi="Times New Roman" w:cs="Times New Roman"/>
          <w:color w:val="000000"/>
          <w:sz w:val="22"/>
          <w:szCs w:val="22"/>
        </w:rPr>
        <w:t>15</w:t>
      </w:r>
      <w:r>
        <w:rPr>
          <w:rFonts w:ascii="Times New Roman" w:hAnsi="Times New Roman" w:hint="eastAsia"/>
          <w:color w:val="000000"/>
          <w:sz w:val="22"/>
          <w:szCs w:val="22"/>
        </w:rPr>
        <w:t>日内按以下程序提出质疑：</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①</w:t>
      </w:r>
      <w:r>
        <w:rPr>
          <w:rFonts w:ascii="Times New Roman" w:hAnsi="Times New Roman" w:hint="eastAsia"/>
          <w:color w:val="000000"/>
          <w:sz w:val="22"/>
          <w:szCs w:val="22"/>
        </w:rPr>
        <w:t>质疑方填写质疑单，交纳复审费</w:t>
      </w:r>
      <w:r>
        <w:rPr>
          <w:rFonts w:ascii="Times New Roman" w:hAnsi="Times New Roman" w:cs="Times New Roman"/>
          <w:color w:val="000000"/>
          <w:sz w:val="22"/>
          <w:szCs w:val="22"/>
        </w:rPr>
        <w:t>(200</w:t>
      </w:r>
      <w:r>
        <w:rPr>
          <w:rFonts w:ascii="Times New Roman" w:hAnsi="Times New Roman" w:hint="eastAsia"/>
          <w:color w:val="000000"/>
          <w:sz w:val="22"/>
          <w:szCs w:val="22"/>
        </w:rPr>
        <w:t>％检验费</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②</w:t>
      </w:r>
      <w:r>
        <w:rPr>
          <w:rFonts w:ascii="Times New Roman" w:hAnsi="Times New Roman" w:hint="eastAsia"/>
          <w:color w:val="000000"/>
          <w:sz w:val="22"/>
          <w:szCs w:val="22"/>
        </w:rPr>
        <w:t>质检机构质量负责人受理；</w:t>
      </w:r>
      <w:r>
        <w:rPr>
          <w:rFonts w:hint="eastAsia"/>
          <w:color w:val="000000"/>
          <w:sz w:val="22"/>
          <w:szCs w:val="22"/>
        </w:rPr>
        <w:t>③</w:t>
      </w:r>
      <w:r>
        <w:rPr>
          <w:rFonts w:ascii="Times New Roman" w:hAnsi="Times New Roman" w:hint="eastAsia"/>
          <w:color w:val="000000"/>
          <w:sz w:val="22"/>
          <w:szCs w:val="22"/>
        </w:rPr>
        <w:t>出具复审结果。</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如原检验报告结论正确或基本正确时，接收复审费和两次试验费；如原检验结论错误时，应退还全部试验费和复审费，并按第</w:t>
      </w:r>
      <w:r>
        <w:rPr>
          <w:rFonts w:ascii="Times New Roman" w:hAnsi="Times New Roman" w:cs="Times New Roman"/>
          <w:color w:val="000000"/>
          <w:sz w:val="22"/>
          <w:szCs w:val="22"/>
        </w:rPr>
        <w:t>9</w:t>
      </w:r>
      <w:r>
        <w:rPr>
          <w:rFonts w:ascii="Times New Roman" w:hAnsi="Times New Roman" w:hint="eastAsia"/>
          <w:color w:val="000000"/>
          <w:sz w:val="22"/>
          <w:szCs w:val="22"/>
        </w:rPr>
        <w:t>条赔偿委托方损失以至按有关规定追究行政技术责任。</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工程质量检验通则内容与适用条件：</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质量的现场检测包括：地基与基础、桩基的施工质量与承载能力，工程主体与围护结构、构件的质量与强度；建筑构、配件质量与性能及常规和原位荷载试验；建筑物已发生的缺陷；建筑物使用功能部位的材料、尺寸与效能检测；装饰工程的材料与施工质量、道桥及隧道工程质量检测。</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建筑工程质量的现场强度检测，依据有关的技术标准规程，采取非或微破损的检测方法进行，是对建筑工程施工质量及材料变异的一种补充或验证性检测。道桥、隧道工程质量的现场检测应依据《公路路基、路面现场测试规程》</w:t>
      </w:r>
      <w:r>
        <w:rPr>
          <w:rFonts w:ascii="Times New Roman" w:hAnsi="Times New Roman" w:cs="Times New Roman"/>
          <w:color w:val="000000"/>
          <w:sz w:val="22"/>
          <w:szCs w:val="22"/>
        </w:rPr>
        <w:t>(JTJ059)</w:t>
      </w:r>
      <w:r>
        <w:rPr>
          <w:rFonts w:ascii="Times New Roman" w:hAnsi="Times New Roman" w:hint="eastAsia"/>
          <w:color w:val="000000"/>
          <w:sz w:val="22"/>
          <w:szCs w:val="22"/>
        </w:rPr>
        <w:t>。</w:t>
      </w:r>
      <w:r>
        <w:rPr>
          <w:rFonts w:ascii="Times New Roman" w:hAnsi="Times New Roman" w:cs="Times New Roman"/>
          <w:color w:val="000000"/>
          <w:sz w:val="22"/>
          <w:szCs w:val="22"/>
        </w:rPr>
        <w:t>1</w:t>
      </w:r>
      <w:r>
        <w:rPr>
          <w:rFonts w:ascii="Times New Roman" w:hAnsi="Times New Roman" w:hint="eastAsia"/>
          <w:color w:val="000000"/>
          <w:sz w:val="22"/>
          <w:szCs w:val="22"/>
        </w:rPr>
        <w:t>．工程程序：</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现场工程质量检测前，需依据委托方的委托书了解检测目的与要求</w:t>
      </w:r>
      <w:r>
        <w:rPr>
          <w:rFonts w:ascii="Times New Roman" w:hAnsi="Times New Roman" w:cs="Times New Roman"/>
          <w:color w:val="000000"/>
          <w:sz w:val="22"/>
          <w:szCs w:val="22"/>
        </w:rPr>
        <w:t>→</w:t>
      </w:r>
      <w:r>
        <w:rPr>
          <w:rFonts w:ascii="Times New Roman" w:hAnsi="Times New Roman" w:hint="eastAsia"/>
          <w:color w:val="000000"/>
          <w:sz w:val="22"/>
          <w:szCs w:val="22"/>
        </w:rPr>
        <w:t>现场踏勘实际情况</w:t>
      </w:r>
      <w:r>
        <w:rPr>
          <w:rFonts w:ascii="Times New Roman" w:hAnsi="Times New Roman" w:cs="Times New Roman"/>
          <w:color w:val="000000"/>
          <w:sz w:val="22"/>
          <w:szCs w:val="22"/>
        </w:rPr>
        <w:t>→</w:t>
      </w:r>
      <w:r>
        <w:rPr>
          <w:rFonts w:ascii="Times New Roman" w:hAnsi="Times New Roman" w:hint="eastAsia"/>
          <w:color w:val="000000"/>
          <w:sz w:val="22"/>
          <w:szCs w:val="22"/>
        </w:rPr>
        <w:t>制定检测方案</w:t>
      </w:r>
      <w:r>
        <w:rPr>
          <w:rFonts w:ascii="Times New Roman" w:hAnsi="Times New Roman" w:cs="Times New Roman"/>
          <w:color w:val="000000"/>
          <w:sz w:val="22"/>
          <w:szCs w:val="22"/>
        </w:rPr>
        <w:t>(</w:t>
      </w:r>
      <w:r>
        <w:rPr>
          <w:rFonts w:ascii="Times New Roman" w:hAnsi="Times New Roman" w:hint="eastAsia"/>
          <w:color w:val="000000"/>
          <w:sz w:val="22"/>
          <w:szCs w:val="22"/>
        </w:rPr>
        <w:t>检测项目、方法、数量、费用</w:t>
      </w:r>
      <w:r>
        <w:rPr>
          <w:rFonts w:ascii="Times New Roman" w:hAnsi="Times New Roman" w:cs="Times New Roman"/>
          <w:color w:val="000000"/>
          <w:sz w:val="22"/>
          <w:szCs w:val="22"/>
        </w:rPr>
        <w:t>)→</w:t>
      </w:r>
      <w:r>
        <w:rPr>
          <w:rFonts w:ascii="Times New Roman" w:hAnsi="Times New Roman" w:hint="eastAsia"/>
          <w:color w:val="000000"/>
          <w:sz w:val="22"/>
          <w:szCs w:val="22"/>
        </w:rPr>
        <w:t>询问委托方是否满足要求，解释检测项目的必要性</w:t>
      </w:r>
      <w:r>
        <w:rPr>
          <w:rFonts w:ascii="Times New Roman" w:hAnsi="Times New Roman" w:cs="Times New Roman"/>
          <w:color w:val="000000"/>
          <w:sz w:val="22"/>
          <w:szCs w:val="22"/>
        </w:rPr>
        <w:t>→</w:t>
      </w:r>
      <w:r>
        <w:rPr>
          <w:rFonts w:ascii="Times New Roman" w:hAnsi="Times New Roman" w:hint="eastAsia"/>
          <w:color w:val="000000"/>
          <w:sz w:val="22"/>
          <w:szCs w:val="22"/>
        </w:rPr>
        <w:t>签定合同</w:t>
      </w:r>
      <w:r>
        <w:rPr>
          <w:rFonts w:ascii="Times New Roman" w:hAnsi="Times New Roman" w:cs="Times New Roman"/>
          <w:color w:val="000000"/>
          <w:sz w:val="22"/>
          <w:szCs w:val="22"/>
        </w:rPr>
        <w:t>→</w:t>
      </w:r>
      <w:r>
        <w:rPr>
          <w:rFonts w:ascii="Times New Roman" w:hAnsi="Times New Roman" w:hint="eastAsia"/>
          <w:color w:val="000000"/>
          <w:sz w:val="22"/>
          <w:szCs w:val="22"/>
        </w:rPr>
        <w:t>履行合同。</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检测费用依据检测方案按下式计算：</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VT</w:t>
      </w:r>
      <w:r>
        <w:rPr>
          <w:rFonts w:ascii="Times New Roman" w:hAnsi="Times New Roman" w:hint="eastAsia"/>
          <w:color w:val="000000"/>
          <w:sz w:val="22"/>
          <w:szCs w:val="22"/>
        </w:rPr>
        <w:t>＝</w:t>
      </w:r>
      <w:r>
        <w:rPr>
          <w:rFonts w:ascii="Times New Roman" w:hAnsi="Times New Roman" w:cs="Times New Roman"/>
          <w:color w:val="000000"/>
          <w:sz w:val="22"/>
          <w:szCs w:val="22"/>
        </w:rPr>
        <w:t>a•(βV1</w:t>
      </w:r>
      <w:r>
        <w:rPr>
          <w:rFonts w:ascii="Times New Roman" w:hAnsi="Times New Roman" w:hint="eastAsia"/>
          <w:color w:val="000000"/>
          <w:sz w:val="22"/>
          <w:szCs w:val="22"/>
        </w:rPr>
        <w:t>＋</w:t>
      </w:r>
      <w:r>
        <w:rPr>
          <w:rFonts w:ascii="Times New Roman" w:hAnsi="Times New Roman" w:cs="Times New Roman"/>
          <w:color w:val="000000"/>
          <w:sz w:val="22"/>
          <w:szCs w:val="22"/>
        </w:rPr>
        <w:t>K)•(1</w:t>
      </w:r>
      <w:r>
        <w:rPr>
          <w:rFonts w:ascii="Times New Roman" w:hAnsi="Times New Roman" w:hint="eastAsia"/>
          <w:color w:val="000000"/>
          <w:sz w:val="22"/>
          <w:szCs w:val="22"/>
        </w:rPr>
        <w:t>＋</w:t>
      </w:r>
      <w:r>
        <w:rPr>
          <w:rFonts w:ascii="Times New Roman" w:hAnsi="Times New Roman" w:cs="Times New Roman"/>
          <w:color w:val="000000"/>
          <w:sz w:val="22"/>
          <w:szCs w:val="22"/>
        </w:rPr>
        <w:t xml:space="preserve">γ)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式中：</w:t>
      </w:r>
      <w:r>
        <w:rPr>
          <w:rFonts w:ascii="Times New Roman" w:hAnsi="Times New Roman" w:cs="Times New Roman"/>
          <w:color w:val="000000"/>
          <w:sz w:val="22"/>
          <w:szCs w:val="22"/>
        </w:rPr>
        <w:t>VT--</w:t>
      </w:r>
      <w:r>
        <w:rPr>
          <w:rFonts w:ascii="Times New Roman" w:hAnsi="Times New Roman" w:hint="eastAsia"/>
          <w:color w:val="000000"/>
          <w:sz w:val="22"/>
          <w:szCs w:val="22"/>
        </w:rPr>
        <w:t>检测鉴定费总计；</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V1--</w:t>
      </w:r>
      <w:r>
        <w:rPr>
          <w:rFonts w:ascii="Times New Roman" w:hAnsi="Times New Roman" w:hint="eastAsia"/>
          <w:color w:val="000000"/>
          <w:sz w:val="22"/>
          <w:szCs w:val="22"/>
        </w:rPr>
        <w:t>检测项目、数量的直接费小计；</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cs="Times New Roman"/>
          <w:color w:val="000000"/>
          <w:sz w:val="22"/>
          <w:szCs w:val="22"/>
        </w:rPr>
        <w:t>a--</w:t>
      </w:r>
      <w:r>
        <w:rPr>
          <w:rFonts w:ascii="Times New Roman" w:hAnsi="Times New Roman" w:hint="eastAsia"/>
          <w:color w:val="000000"/>
          <w:sz w:val="22"/>
          <w:szCs w:val="22"/>
        </w:rPr>
        <w:t>检测类别系数</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常规检测：</w:t>
      </w:r>
      <w:r>
        <w:rPr>
          <w:rFonts w:ascii="Times New Roman" w:hAnsi="Times New Roman" w:cs="Times New Roman"/>
          <w:color w:val="000000"/>
          <w:sz w:val="22"/>
          <w:szCs w:val="22"/>
        </w:rPr>
        <w:t>a</w:t>
      </w:r>
      <w:r>
        <w:rPr>
          <w:rFonts w:ascii="Times New Roman" w:hAnsi="Times New Roman" w:hint="eastAsia"/>
          <w:color w:val="000000"/>
          <w:sz w:val="22"/>
          <w:szCs w:val="22"/>
        </w:rPr>
        <w:t>＝</w:t>
      </w:r>
      <w:r>
        <w:rPr>
          <w:rFonts w:ascii="Times New Roman" w:hAnsi="Times New Roman" w:cs="Times New Roman"/>
          <w:color w:val="000000"/>
          <w:sz w:val="22"/>
          <w:szCs w:val="22"/>
        </w:rPr>
        <w:t>1</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一般仲裁检测：</w:t>
      </w:r>
      <w:r>
        <w:rPr>
          <w:rFonts w:ascii="Times New Roman" w:hAnsi="Times New Roman" w:cs="Times New Roman"/>
          <w:color w:val="000000"/>
          <w:sz w:val="22"/>
          <w:szCs w:val="22"/>
        </w:rPr>
        <w:t>a</w:t>
      </w:r>
      <w:r>
        <w:rPr>
          <w:rFonts w:ascii="Times New Roman" w:hAnsi="Times New Roman" w:hint="eastAsia"/>
          <w:color w:val="000000"/>
          <w:sz w:val="22"/>
          <w:szCs w:val="22"/>
        </w:rPr>
        <w:t>＝</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33(</w:t>
      </w:r>
      <w:r>
        <w:rPr>
          <w:rFonts w:ascii="Times New Roman" w:hAnsi="Times New Roman" w:hint="eastAsia"/>
          <w:color w:val="000000"/>
          <w:sz w:val="22"/>
          <w:szCs w:val="22"/>
        </w:rPr>
        <w:t>争议技术参量</w:t>
      </w:r>
      <w:r>
        <w:rPr>
          <w:rFonts w:ascii="Times New Roman" w:hAnsi="Times New Roman" w:cs="Times New Roman"/>
          <w:color w:val="000000"/>
          <w:sz w:val="22"/>
          <w:szCs w:val="22"/>
        </w:rPr>
        <w:t>≤3</w:t>
      </w:r>
      <w:r>
        <w:rPr>
          <w:rFonts w:ascii="Times New Roman" w:hAnsi="Times New Roman" w:hint="eastAsia"/>
          <w:color w:val="000000"/>
          <w:sz w:val="22"/>
          <w:szCs w:val="22"/>
        </w:rPr>
        <w:t>种</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复杂仲裁检测：</w:t>
      </w:r>
      <w:r>
        <w:rPr>
          <w:rFonts w:ascii="Times New Roman" w:hAnsi="Times New Roman" w:cs="Times New Roman"/>
          <w:color w:val="000000"/>
          <w:sz w:val="22"/>
          <w:szCs w:val="22"/>
        </w:rPr>
        <w:t>a</w:t>
      </w:r>
      <w:r>
        <w:rPr>
          <w:rFonts w:ascii="Times New Roman" w:hAnsi="Times New Roman" w:hint="eastAsia"/>
          <w:color w:val="000000"/>
          <w:sz w:val="22"/>
          <w:szCs w:val="22"/>
        </w:rPr>
        <w:t>＝</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66(</w:t>
      </w:r>
      <w:r>
        <w:rPr>
          <w:rFonts w:ascii="Times New Roman" w:hAnsi="Times New Roman" w:hint="eastAsia"/>
          <w:color w:val="000000"/>
          <w:sz w:val="22"/>
          <w:szCs w:val="22"/>
        </w:rPr>
        <w:t>争议技术参量</w:t>
      </w:r>
      <w:r>
        <w:rPr>
          <w:rFonts w:ascii="Times New Roman" w:hAnsi="Times New Roman" w:cs="Times New Roman"/>
          <w:color w:val="000000"/>
          <w:sz w:val="22"/>
          <w:szCs w:val="22"/>
        </w:rPr>
        <w:t>≤4</w:t>
      </w:r>
      <w:r>
        <w:rPr>
          <w:rFonts w:ascii="Times New Roman" w:hAnsi="Times New Roman" w:hint="eastAsia"/>
          <w:color w:val="000000"/>
          <w:sz w:val="22"/>
          <w:szCs w:val="22"/>
        </w:rPr>
        <w:t>种，除可检测物理量外，尚需组织专家鉴定</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合同约定定期例检：</w:t>
      </w:r>
      <w:r>
        <w:rPr>
          <w:rFonts w:ascii="Times New Roman" w:hAnsi="Times New Roman" w:cs="Times New Roman"/>
          <w:color w:val="000000"/>
          <w:sz w:val="22"/>
          <w:szCs w:val="22"/>
        </w:rPr>
        <w:t>a</w:t>
      </w:r>
      <w:r>
        <w:rPr>
          <w:rFonts w:hint="eastAsia"/>
          <w:color w:val="000000"/>
          <w:sz w:val="22"/>
          <w:szCs w:val="22"/>
        </w:rPr>
        <w:t>≮</w:t>
      </w:r>
      <w:r>
        <w:rPr>
          <w:rFonts w:ascii="Times New Roman" w:hAnsi="Times New Roman" w:cs="Times New Roman"/>
          <w:color w:val="000000"/>
          <w:sz w:val="22"/>
          <w:szCs w:val="22"/>
        </w:rPr>
        <w:t>0</w:t>
      </w:r>
      <w:r>
        <w:rPr>
          <w:rFonts w:ascii="Times New Roman" w:hAnsi="Times New Roman" w:hint="eastAsia"/>
          <w:color w:val="000000"/>
          <w:sz w:val="22"/>
          <w:szCs w:val="22"/>
        </w:rPr>
        <w:t>．</w:t>
      </w:r>
      <w:r>
        <w:rPr>
          <w:rFonts w:ascii="Times New Roman" w:hAnsi="Times New Roman" w:cs="Times New Roman"/>
          <w:color w:val="000000"/>
          <w:sz w:val="22"/>
          <w:szCs w:val="22"/>
        </w:rPr>
        <w:t>8</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β--</w:t>
      </w:r>
      <w:r>
        <w:rPr>
          <w:rFonts w:ascii="Times New Roman" w:hAnsi="Times New Roman" w:hint="eastAsia"/>
          <w:color w:val="000000"/>
          <w:sz w:val="22"/>
          <w:szCs w:val="22"/>
        </w:rPr>
        <w:t>技术处理系数，取</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20--1</w:t>
      </w:r>
      <w:r>
        <w:rPr>
          <w:rFonts w:ascii="Times New Roman" w:hAnsi="Times New Roman" w:hint="eastAsia"/>
          <w:color w:val="000000"/>
          <w:sz w:val="22"/>
          <w:szCs w:val="22"/>
        </w:rPr>
        <w:t>．</w:t>
      </w:r>
      <w:r>
        <w:rPr>
          <w:rFonts w:ascii="Times New Roman" w:hAnsi="Times New Roman" w:cs="Times New Roman"/>
          <w:color w:val="000000"/>
          <w:sz w:val="22"/>
          <w:szCs w:val="22"/>
        </w:rPr>
        <w:t>35</w:t>
      </w:r>
      <w:r>
        <w:rPr>
          <w:rFonts w:ascii="Times New Roman" w:hAnsi="Times New Roman" w:hint="eastAsia"/>
          <w:color w:val="000000"/>
          <w:sz w:val="22"/>
          <w:szCs w:val="22"/>
        </w:rPr>
        <w:t>，步阶</w:t>
      </w:r>
      <w:r>
        <w:rPr>
          <w:rFonts w:ascii="Times New Roman" w:hAnsi="Times New Roman" w:cs="Times New Roman"/>
          <w:color w:val="000000"/>
          <w:sz w:val="22"/>
          <w:szCs w:val="22"/>
        </w:rPr>
        <w:t>0</w:t>
      </w:r>
      <w:r>
        <w:rPr>
          <w:rFonts w:ascii="Times New Roman" w:hAnsi="Times New Roman" w:hint="eastAsia"/>
          <w:color w:val="000000"/>
          <w:sz w:val="22"/>
          <w:szCs w:val="22"/>
        </w:rPr>
        <w:t>．</w:t>
      </w:r>
      <w:r>
        <w:rPr>
          <w:rFonts w:ascii="Times New Roman" w:hAnsi="Times New Roman" w:cs="Times New Roman"/>
          <w:color w:val="000000"/>
          <w:sz w:val="22"/>
          <w:szCs w:val="22"/>
        </w:rPr>
        <w:t>5</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按检验项目的繁杂性、技术评、鉴定的难度及责任程度、周期等因素定</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γ--</w:t>
      </w:r>
      <w:r>
        <w:rPr>
          <w:rFonts w:ascii="Times New Roman" w:hAnsi="Times New Roman" w:hint="eastAsia"/>
          <w:color w:val="000000"/>
          <w:sz w:val="22"/>
          <w:szCs w:val="22"/>
        </w:rPr>
        <w:t>税率，按本企业应缴各种税金总和取值；</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K--</w:t>
      </w:r>
      <w:r>
        <w:rPr>
          <w:rFonts w:ascii="Times New Roman" w:hAnsi="Times New Roman" w:hint="eastAsia"/>
          <w:color w:val="000000"/>
          <w:sz w:val="22"/>
          <w:szCs w:val="22"/>
        </w:rPr>
        <w:t>配合费，委托方不能提供合同条件中规定的内容时以支付费用形式由检</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测机构协助办理。内容含：</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①</w:t>
      </w:r>
      <w:r>
        <w:rPr>
          <w:rFonts w:ascii="Times New Roman" w:hAnsi="Times New Roman" w:hint="eastAsia"/>
          <w:color w:val="000000"/>
          <w:sz w:val="22"/>
          <w:szCs w:val="22"/>
        </w:rPr>
        <w:t>辅助工费：按需要的辅助工日数，以当地雇工价支付；</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②</w:t>
      </w:r>
      <w:r>
        <w:rPr>
          <w:rFonts w:ascii="Times New Roman" w:hAnsi="Times New Roman" w:hint="eastAsia"/>
          <w:color w:val="000000"/>
          <w:sz w:val="22"/>
          <w:szCs w:val="22"/>
        </w:rPr>
        <w:t>脚手架架设费：按实际需要预估；</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③</w:t>
      </w:r>
      <w:r>
        <w:rPr>
          <w:rFonts w:ascii="Times New Roman" w:hAnsi="Times New Roman" w:hint="eastAsia"/>
          <w:color w:val="000000"/>
          <w:sz w:val="22"/>
          <w:szCs w:val="22"/>
        </w:rPr>
        <w:t>交通费：按直接费</w:t>
      </w:r>
      <w:r>
        <w:rPr>
          <w:rFonts w:ascii="Times New Roman" w:hAnsi="Times New Roman" w:cs="Times New Roman"/>
          <w:color w:val="000000"/>
          <w:sz w:val="22"/>
          <w:szCs w:val="22"/>
        </w:rPr>
        <w:t>5</w:t>
      </w:r>
      <w:r>
        <w:rPr>
          <w:rFonts w:ascii="Times New Roman" w:hAnsi="Times New Roman" w:hint="eastAsia"/>
          <w:color w:val="000000"/>
          <w:sz w:val="22"/>
          <w:szCs w:val="22"/>
        </w:rPr>
        <w:t>％</w:t>
      </w:r>
      <w:r>
        <w:rPr>
          <w:rFonts w:ascii="Times New Roman" w:hAnsi="Times New Roman" w:cs="Times New Roman"/>
          <w:color w:val="000000"/>
          <w:sz w:val="22"/>
          <w:szCs w:val="22"/>
        </w:rPr>
        <w:t>--8</w:t>
      </w:r>
      <w:r>
        <w:rPr>
          <w:rFonts w:ascii="Times New Roman" w:hAnsi="Times New Roman" w:hint="eastAsia"/>
          <w:color w:val="000000"/>
          <w:sz w:val="22"/>
          <w:szCs w:val="22"/>
        </w:rPr>
        <w:t>％计核；</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④</w:t>
      </w:r>
      <w:r>
        <w:rPr>
          <w:rFonts w:ascii="Times New Roman" w:hAnsi="Times New Roman" w:hint="eastAsia"/>
          <w:color w:val="000000"/>
          <w:sz w:val="22"/>
          <w:szCs w:val="22"/>
        </w:rPr>
        <w:t>住宿费：按直接费</w:t>
      </w:r>
      <w:r>
        <w:rPr>
          <w:rFonts w:ascii="Times New Roman" w:hAnsi="Times New Roman" w:cs="Times New Roman"/>
          <w:color w:val="000000"/>
          <w:sz w:val="22"/>
          <w:szCs w:val="22"/>
        </w:rPr>
        <w:t>7</w:t>
      </w:r>
      <w:r>
        <w:rPr>
          <w:rFonts w:ascii="Times New Roman" w:hAnsi="Times New Roman" w:hint="eastAsia"/>
          <w:color w:val="000000"/>
          <w:sz w:val="22"/>
          <w:szCs w:val="22"/>
        </w:rPr>
        <w:t>％</w:t>
      </w:r>
      <w:r>
        <w:rPr>
          <w:rFonts w:ascii="Times New Roman" w:hAnsi="Times New Roman" w:cs="Times New Roman"/>
          <w:color w:val="000000"/>
          <w:sz w:val="22"/>
          <w:szCs w:val="22"/>
        </w:rPr>
        <w:t>--10</w:t>
      </w:r>
      <w:r>
        <w:rPr>
          <w:rFonts w:ascii="Times New Roman" w:hAnsi="Times New Roman" w:hint="eastAsia"/>
          <w:color w:val="000000"/>
          <w:sz w:val="22"/>
          <w:szCs w:val="22"/>
        </w:rPr>
        <w:t>％计核；</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⑤</w:t>
      </w:r>
      <w:r>
        <w:rPr>
          <w:rFonts w:ascii="Times New Roman" w:hAnsi="Times New Roman" w:hint="eastAsia"/>
          <w:color w:val="000000"/>
          <w:sz w:val="22"/>
          <w:szCs w:val="22"/>
        </w:rPr>
        <w:t>委托方指定地点讲解报告时所发生的一切费用。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．直接费的附加费率</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本标准所确定的检测费系在规定的工作条件下，当工程实际情况不符合该条件时，则以附加费率系数调整工作效率的影响。</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．委托方合同承担的附加条件</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现场检测除应提交与工程有关的技术资料外还需提供下列附加工作条件，如委托方不能提供时，根据实际情况支付配合费用。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①</w:t>
      </w:r>
      <w:r>
        <w:rPr>
          <w:rFonts w:ascii="Times New Roman" w:hAnsi="Times New Roman" w:hint="eastAsia"/>
          <w:color w:val="000000"/>
          <w:sz w:val="22"/>
          <w:szCs w:val="22"/>
        </w:rPr>
        <w:t>提供检侧工作面的剔除装修层、挖掘探坑、搬运脚手架与辅助用工若干名，并负责恢复检测破损面、装修层及基坑填埋等工作；</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②</w:t>
      </w:r>
      <w:r>
        <w:rPr>
          <w:rFonts w:ascii="Times New Roman" w:hAnsi="Times New Roman" w:hint="eastAsia"/>
          <w:color w:val="000000"/>
          <w:sz w:val="22"/>
          <w:szCs w:val="22"/>
        </w:rPr>
        <w:t>提供现场检测用水、电及脚手架架设；</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③</w:t>
      </w:r>
      <w:r>
        <w:rPr>
          <w:rFonts w:ascii="Times New Roman" w:hAnsi="Times New Roman" w:hint="eastAsia"/>
          <w:color w:val="000000"/>
          <w:sz w:val="22"/>
          <w:szCs w:val="22"/>
        </w:rPr>
        <w:t>提供一次性人员、设备进出场交通工具及现场用车；</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④</w:t>
      </w:r>
      <w:r>
        <w:rPr>
          <w:rFonts w:ascii="Times New Roman" w:hAnsi="Times New Roman" w:hint="eastAsia"/>
          <w:color w:val="000000"/>
          <w:sz w:val="22"/>
          <w:szCs w:val="22"/>
        </w:rPr>
        <w:t>外埠检测时提供合同约定的现场检测期间人员的食宿条件并支付食宿费及外地补贴费；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⑤</w:t>
      </w:r>
      <w:r>
        <w:rPr>
          <w:rFonts w:ascii="Times New Roman" w:hAnsi="Times New Roman" w:hint="eastAsia"/>
          <w:color w:val="000000"/>
          <w:sz w:val="22"/>
          <w:szCs w:val="22"/>
        </w:rPr>
        <w:t>构件荷载试验中的荷载标准块，大型试验的平台搭设、吊运能力。</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⑥</w:t>
      </w:r>
      <w:r>
        <w:rPr>
          <w:rFonts w:ascii="Times New Roman" w:hAnsi="Times New Roman" w:hint="eastAsia"/>
          <w:color w:val="000000"/>
          <w:sz w:val="22"/>
          <w:szCs w:val="22"/>
        </w:rPr>
        <w:t>特殊情况合同中约定的条件。</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hint="eastAsia"/>
          <w:color w:val="000000"/>
          <w:sz w:val="22"/>
          <w:szCs w:val="22"/>
        </w:rPr>
        <w:t>．检测方合同承担的责任条件</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①</w:t>
      </w:r>
      <w:r>
        <w:rPr>
          <w:rFonts w:ascii="Times New Roman" w:hAnsi="Times New Roman" w:hint="eastAsia"/>
          <w:color w:val="000000"/>
          <w:sz w:val="22"/>
          <w:szCs w:val="22"/>
        </w:rPr>
        <w:t>提交检测机构、人员资质证件；明确项目责任人及检测人员组合，组合要求不得少于：工程师两名或高工、助工各一名；有证件的检测技工两名以上；</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②</w:t>
      </w:r>
      <w:r>
        <w:rPr>
          <w:rFonts w:ascii="Times New Roman" w:hAnsi="Times New Roman" w:hint="eastAsia"/>
          <w:color w:val="000000"/>
          <w:sz w:val="22"/>
          <w:szCs w:val="22"/>
        </w:rPr>
        <w:t>提供全套检测项目用的仪器、设备，现场借用非计量设备需在合同中注明；</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③</w:t>
      </w:r>
      <w:r>
        <w:rPr>
          <w:rFonts w:ascii="Times New Roman" w:hAnsi="Times New Roman" w:hint="eastAsia"/>
          <w:color w:val="000000"/>
          <w:sz w:val="22"/>
          <w:szCs w:val="22"/>
        </w:rPr>
        <w:t>提供检测工作面的修补要求及技术条件；</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hint="eastAsia"/>
          <w:color w:val="000000"/>
          <w:sz w:val="22"/>
          <w:szCs w:val="22"/>
        </w:rPr>
        <w:t>④</w:t>
      </w:r>
      <w:r>
        <w:rPr>
          <w:rFonts w:ascii="Times New Roman" w:hAnsi="Times New Roman" w:hint="eastAsia"/>
          <w:color w:val="000000"/>
          <w:sz w:val="22"/>
          <w:szCs w:val="22"/>
        </w:rPr>
        <w:t>提供检测过程中的因方案不周、失误及二次进场的费用。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5</w:t>
      </w:r>
      <w:r>
        <w:rPr>
          <w:rFonts w:ascii="Times New Roman" w:hAnsi="Times New Roman" w:hint="eastAsia"/>
          <w:color w:val="000000"/>
          <w:sz w:val="22"/>
          <w:szCs w:val="22"/>
        </w:rPr>
        <w:t>．检测评定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工程检测中的评定方法，依据有关规程中规定的条件进行，当检测结果不满足批量评定时</w:t>
      </w:r>
      <w:r>
        <w:rPr>
          <w:rFonts w:ascii="Times New Roman" w:hAnsi="Times New Roman" w:cs="Times New Roman"/>
          <w:color w:val="000000"/>
          <w:sz w:val="22"/>
          <w:szCs w:val="22"/>
        </w:rPr>
        <w:t>(</w:t>
      </w:r>
      <w:r>
        <w:rPr>
          <w:rFonts w:ascii="Times New Roman" w:hAnsi="Times New Roman" w:hint="eastAsia"/>
          <w:color w:val="000000"/>
          <w:sz w:val="22"/>
          <w:szCs w:val="22"/>
        </w:rPr>
        <w:t>离差超标</w:t>
      </w:r>
      <w:r>
        <w:rPr>
          <w:rFonts w:ascii="Times New Roman" w:hAnsi="Times New Roman" w:cs="Times New Roman"/>
          <w:color w:val="000000"/>
          <w:sz w:val="22"/>
          <w:szCs w:val="22"/>
        </w:rPr>
        <w:t>)</w:t>
      </w:r>
      <w:r>
        <w:rPr>
          <w:rFonts w:ascii="Times New Roman" w:hAnsi="Times New Roman" w:hint="eastAsia"/>
          <w:color w:val="000000"/>
          <w:sz w:val="22"/>
          <w:szCs w:val="22"/>
        </w:rPr>
        <w:t>，按被测构件单件评定。有关工程全貌的质量评定、善后或补测问题，委承双方另定合同处理。</w:t>
      </w:r>
    </w:p>
    <w:p w:rsidR="00A32067" w:rsidRDefault="00A32067">
      <w:pPr>
        <w:widowControl/>
        <w:jc w:val="left"/>
        <w:rPr>
          <w:rFonts w:eastAsia="微软雅黑"/>
          <w:kern w:val="0"/>
          <w:sz w:val="24"/>
          <w:szCs w:val="24"/>
        </w:rPr>
      </w:pPr>
      <w:r>
        <w:rPr>
          <w:rFonts w:eastAsia="微软雅黑"/>
        </w:rPr>
        <w:br w:type="page"/>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A</w:t>
      </w:r>
      <w:r>
        <w:rPr>
          <w:rFonts w:ascii="Times New Roman" w:hAnsi="Times New Roman" w:hint="eastAsia"/>
          <w:b/>
          <w:bCs/>
          <w:kern w:val="2"/>
        </w:rPr>
        <w:t>建筑钢材</w:t>
      </w:r>
      <w:r>
        <w:rPr>
          <w:rFonts w:ascii="Times New Roman" w:hAnsi="Times New Roman" w:cs="Times New Roman"/>
          <w:b/>
          <w:bCs/>
          <w:kern w:val="2"/>
        </w:rPr>
        <w:t xml:space="preserve">                                                         A01</w:t>
      </w:r>
      <w:r>
        <w:rPr>
          <w:rFonts w:ascii="Times New Roman" w:hAnsi="Times New Roman" w:hint="eastAsia"/>
          <w:b/>
          <w:bCs/>
          <w:kern w:val="2"/>
        </w:rPr>
        <w:t>～</w:t>
      </w:r>
      <w:r>
        <w:rPr>
          <w:rFonts w:ascii="Times New Roman" w:hAnsi="Times New Roman" w:cs="Times New Roman"/>
          <w:b/>
          <w:bCs/>
          <w:kern w:val="2"/>
        </w:rPr>
        <w:t>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080"/>
        <w:gridCol w:w="180"/>
        <w:gridCol w:w="900"/>
        <w:gridCol w:w="1260"/>
        <w:gridCol w:w="1296"/>
        <w:gridCol w:w="1701"/>
      </w:tblGrid>
      <w:tr w:rsidR="00A32067">
        <w:trPr>
          <w:trHeight w:val="518"/>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4"/>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hRule="exact" w:val="603"/>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建筑钢材拉伸弯曲试验</w:t>
            </w:r>
          </w:p>
        </w:tc>
        <w:tc>
          <w:tcPr>
            <w:tcW w:w="1260" w:type="dxa"/>
            <w:vMerge w:val="restart"/>
            <w:vAlign w:val="center"/>
          </w:tcPr>
          <w:p w:rsidR="00A32067" w:rsidRPr="0002085C" w:rsidRDefault="00A32067" w:rsidP="0002085C">
            <w:pPr>
              <w:jc w:val="center"/>
              <w:rPr>
                <w:rFonts w:eastAsia="微软雅黑"/>
                <w:kern w:val="0"/>
              </w:rPr>
            </w:pPr>
            <w:r w:rsidRPr="0002085C">
              <w:rPr>
                <w:rFonts w:eastAsia="微软雅黑"/>
                <w:kern w:val="0"/>
              </w:rPr>
              <w:t>01</w:t>
            </w:r>
          </w:p>
        </w:tc>
        <w:tc>
          <w:tcPr>
            <w:tcW w:w="1080" w:type="dxa"/>
            <w:vMerge w:val="restart"/>
            <w:vAlign w:val="center"/>
          </w:tcPr>
          <w:p w:rsidR="00A32067" w:rsidRPr="0002085C" w:rsidRDefault="00A32067" w:rsidP="00A32067">
            <w:pPr>
              <w:ind w:rightChars="-327" w:right="31680"/>
              <w:rPr>
                <w:kern w:val="0"/>
              </w:rPr>
            </w:pPr>
            <w:r w:rsidRPr="0002085C">
              <w:rPr>
                <w:rFonts w:cs="宋体" w:hint="eastAsia"/>
                <w:kern w:val="0"/>
              </w:rPr>
              <w:t>条件拉伸</w:t>
            </w:r>
          </w:p>
        </w:tc>
        <w:tc>
          <w:tcPr>
            <w:tcW w:w="2340" w:type="dxa"/>
            <w:gridSpan w:val="3"/>
            <w:vAlign w:val="center"/>
          </w:tcPr>
          <w:p w:rsidR="00A32067" w:rsidRPr="0002085C" w:rsidRDefault="00A32067" w:rsidP="00A32067">
            <w:pPr>
              <w:ind w:left="570" w:rightChars="-327" w:right="31680"/>
              <w:rPr>
                <w:kern w:val="0"/>
              </w:rPr>
            </w:pPr>
            <w:r w:rsidRPr="0002085C">
              <w:rPr>
                <w:rFonts w:cs="宋体" w:hint="eastAsia"/>
                <w:kern w:val="0"/>
              </w:rPr>
              <w:t>条件屈服强度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hRule="exact" w:val="581"/>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1080" w:type="dxa"/>
            <w:vMerge/>
            <w:vAlign w:val="center"/>
          </w:tcPr>
          <w:p w:rsidR="00A32067" w:rsidRPr="0002085C" w:rsidRDefault="00A32067" w:rsidP="00A32067">
            <w:pPr>
              <w:ind w:rightChars="-327" w:right="31680"/>
              <w:rPr>
                <w:kern w:val="0"/>
              </w:rPr>
            </w:pPr>
          </w:p>
        </w:tc>
        <w:tc>
          <w:tcPr>
            <w:tcW w:w="2340" w:type="dxa"/>
            <w:gridSpan w:val="3"/>
            <w:vAlign w:val="center"/>
          </w:tcPr>
          <w:p w:rsidR="00A32067" w:rsidRPr="0002085C" w:rsidRDefault="00A32067" w:rsidP="00A32067">
            <w:pPr>
              <w:ind w:left="150" w:rightChars="-327" w:right="31680"/>
              <w:rPr>
                <w:kern w:val="0"/>
              </w:rPr>
            </w:pPr>
            <w:r w:rsidRPr="0002085C">
              <w:rPr>
                <w:rFonts w:cs="宋体" w:hint="eastAsia"/>
                <w:kern w:val="0"/>
              </w:rPr>
              <w:t>规定残余伸长应力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52"/>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A32067">
            <w:pPr>
              <w:ind w:rightChars="-327" w:right="31680"/>
              <w:jc w:val="center"/>
              <w:rPr>
                <w:kern w:val="0"/>
              </w:rPr>
            </w:pPr>
            <w:r w:rsidRPr="0002085C">
              <w:rPr>
                <w:rFonts w:cs="宋体" w:hint="eastAsia"/>
                <w:kern w:val="0"/>
              </w:rPr>
              <w:t>屈服点</w:t>
            </w:r>
          </w:p>
          <w:p w:rsidR="00A32067" w:rsidRPr="0002085C" w:rsidRDefault="00A32067" w:rsidP="00A32067">
            <w:pPr>
              <w:ind w:rightChars="-327" w:right="31680"/>
              <w:jc w:val="center"/>
              <w:rPr>
                <w:kern w:val="0"/>
              </w:rPr>
            </w:pPr>
            <w:r w:rsidRPr="0002085C">
              <w:rPr>
                <w:rFonts w:cs="宋体" w:hint="eastAsia"/>
                <w:kern w:val="0"/>
              </w:rPr>
              <w:t>抗拉强度</w:t>
            </w:r>
          </w:p>
          <w:p w:rsidR="00A32067" w:rsidRPr="0002085C" w:rsidRDefault="00A32067" w:rsidP="00A32067">
            <w:pPr>
              <w:ind w:rightChars="-327" w:right="31680"/>
              <w:jc w:val="center"/>
              <w:rPr>
                <w:kern w:val="0"/>
              </w:rPr>
            </w:pPr>
            <w:r w:rsidRPr="0002085C">
              <w:rPr>
                <w:rFonts w:cs="宋体" w:hint="eastAsia"/>
                <w:kern w:val="0"/>
              </w:rPr>
              <w:t>伸长率</w:t>
            </w:r>
          </w:p>
          <w:p w:rsidR="00A32067" w:rsidRPr="0002085C" w:rsidRDefault="00A32067" w:rsidP="00A32067">
            <w:pPr>
              <w:ind w:rightChars="-327" w:right="31680"/>
              <w:jc w:val="center"/>
              <w:rPr>
                <w:kern w:val="0"/>
              </w:rPr>
            </w:pPr>
            <w:r w:rsidRPr="0002085C">
              <w:rPr>
                <w:rFonts w:cs="宋体" w:hint="eastAsia"/>
                <w:kern w:val="0"/>
              </w:rPr>
              <w:t>线材打结拉伸力</w:t>
            </w:r>
          </w:p>
          <w:p w:rsidR="00A32067" w:rsidRPr="0002085C" w:rsidRDefault="00A32067" w:rsidP="00A32067">
            <w:pPr>
              <w:ind w:rightChars="-327" w:right="31680"/>
              <w:jc w:val="center"/>
              <w:rPr>
                <w:kern w:val="0"/>
              </w:rPr>
            </w:pPr>
            <w:r w:rsidRPr="0002085C">
              <w:rPr>
                <w:rFonts w:cs="宋体" w:hint="eastAsia"/>
                <w:kern w:val="0"/>
              </w:rPr>
              <w:t>断面收缩率</w:t>
            </w:r>
          </w:p>
        </w:tc>
        <w:tc>
          <w:tcPr>
            <w:tcW w:w="1296" w:type="dxa"/>
            <w:vAlign w:val="center"/>
          </w:tcPr>
          <w:p w:rsidR="00A32067" w:rsidRPr="0002085C" w:rsidRDefault="00A32067" w:rsidP="0002085C">
            <w:pPr>
              <w:jc w:val="center"/>
              <w:rPr>
                <w:kern w:val="0"/>
              </w:rPr>
            </w:pPr>
            <w:r w:rsidRPr="0002085C">
              <w:rPr>
                <w:rFonts w:cs="宋体" w:hint="eastAsia"/>
                <w:kern w:val="0"/>
              </w:rPr>
              <w:t>向</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hRule="exact" w:val="5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A32067">
            <w:pPr>
              <w:ind w:rightChars="-327" w:right="31680" w:firstLineChars="550" w:firstLine="31680"/>
              <w:rPr>
                <w:kern w:val="0"/>
              </w:rPr>
            </w:pPr>
            <w:r w:rsidRPr="0002085C">
              <w:rPr>
                <w:rFonts w:cs="宋体" w:hint="eastAsia"/>
                <w:kern w:val="0"/>
              </w:rPr>
              <w:t>试件热处理</w:t>
            </w:r>
          </w:p>
        </w:tc>
        <w:tc>
          <w:tcPr>
            <w:tcW w:w="1296" w:type="dxa"/>
            <w:vAlign w:val="center"/>
          </w:tcPr>
          <w:p w:rsidR="00A32067" w:rsidRPr="0002085C" w:rsidRDefault="00A32067" w:rsidP="0002085C">
            <w:pPr>
              <w:jc w:val="center"/>
              <w:rPr>
                <w:kern w:val="0"/>
              </w:rPr>
            </w:pPr>
            <w:r w:rsidRPr="0002085C">
              <w:rPr>
                <w:rFonts w:cs="宋体" w:hint="eastAsia"/>
                <w:kern w:val="0"/>
              </w:rPr>
              <w:t>根</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52"/>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1260" w:type="dxa"/>
            <w:gridSpan w:val="2"/>
            <w:vMerge w:val="restart"/>
            <w:vAlign w:val="center"/>
          </w:tcPr>
          <w:p w:rsidR="00A32067" w:rsidRPr="0002085C" w:rsidRDefault="00A32067" w:rsidP="00A32067">
            <w:pPr>
              <w:ind w:rightChars="-327" w:right="31680" w:firstLineChars="150" w:firstLine="31680"/>
              <w:rPr>
                <w:kern w:val="0"/>
              </w:rPr>
            </w:pPr>
            <w:r w:rsidRPr="0002085C">
              <w:rPr>
                <w:rFonts w:cs="宋体" w:hint="eastAsia"/>
                <w:kern w:val="0"/>
              </w:rPr>
              <w:t>弯曲</w:t>
            </w:r>
          </w:p>
        </w:tc>
        <w:tc>
          <w:tcPr>
            <w:tcW w:w="2160" w:type="dxa"/>
            <w:gridSpan w:val="2"/>
            <w:vAlign w:val="center"/>
          </w:tcPr>
          <w:p w:rsidR="00A32067" w:rsidRPr="0002085C" w:rsidRDefault="00A32067" w:rsidP="00A32067">
            <w:pPr>
              <w:ind w:rightChars="-327" w:right="31680"/>
              <w:jc w:val="center"/>
              <w:rPr>
                <w:kern w:val="0"/>
              </w:rPr>
            </w:pPr>
            <w:r w:rsidRPr="0002085C">
              <w:rPr>
                <w:rFonts w:cs="宋体" w:hint="eastAsia"/>
                <w:kern w:val="0"/>
              </w:rPr>
              <w:t>虎钳式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652"/>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1260" w:type="dxa"/>
            <w:gridSpan w:val="2"/>
            <w:vMerge/>
            <w:vAlign w:val="center"/>
          </w:tcPr>
          <w:p w:rsidR="00A32067" w:rsidRPr="0002085C" w:rsidRDefault="00A32067" w:rsidP="00A32067">
            <w:pPr>
              <w:ind w:rightChars="-327" w:right="31680"/>
              <w:jc w:val="center"/>
              <w:rPr>
                <w:kern w:val="0"/>
              </w:rPr>
            </w:pPr>
          </w:p>
        </w:tc>
        <w:tc>
          <w:tcPr>
            <w:tcW w:w="2160" w:type="dxa"/>
            <w:gridSpan w:val="2"/>
            <w:vAlign w:val="center"/>
          </w:tcPr>
          <w:p w:rsidR="00A32067" w:rsidRPr="0002085C" w:rsidRDefault="00A32067" w:rsidP="00A32067">
            <w:pPr>
              <w:ind w:rightChars="-327" w:right="31680"/>
              <w:jc w:val="center"/>
              <w:rPr>
                <w:kern w:val="0"/>
              </w:rPr>
            </w:pPr>
            <w:r w:rsidRPr="0002085C">
              <w:rPr>
                <w:rFonts w:cs="宋体" w:hint="eastAsia"/>
                <w:kern w:val="0"/>
              </w:rPr>
              <w:t>支辊式、翻板式</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120</w:t>
            </w:r>
          </w:p>
        </w:tc>
      </w:tr>
      <w:tr w:rsidR="00A32067">
        <w:trPr>
          <w:trHeight w:val="491"/>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1260" w:type="dxa"/>
            <w:gridSpan w:val="2"/>
            <w:vMerge/>
            <w:vAlign w:val="center"/>
          </w:tcPr>
          <w:p w:rsidR="00A32067" w:rsidRPr="0002085C" w:rsidRDefault="00A32067" w:rsidP="00A32067">
            <w:pPr>
              <w:ind w:rightChars="-327" w:right="31680"/>
              <w:jc w:val="center"/>
              <w:rPr>
                <w:kern w:val="0"/>
              </w:rPr>
            </w:pPr>
          </w:p>
        </w:tc>
        <w:tc>
          <w:tcPr>
            <w:tcW w:w="2160" w:type="dxa"/>
            <w:gridSpan w:val="2"/>
            <w:vAlign w:val="center"/>
          </w:tcPr>
          <w:p w:rsidR="00A32067" w:rsidRPr="0002085C" w:rsidRDefault="00A32067" w:rsidP="00A32067">
            <w:pPr>
              <w:ind w:rightChars="-327" w:right="31680"/>
              <w:jc w:val="center"/>
              <w:rPr>
                <w:kern w:val="0"/>
              </w:rPr>
            </w:pPr>
            <w:r w:rsidRPr="0002085C">
              <w:rPr>
                <w:kern w:val="0"/>
              </w:rPr>
              <w:t>V</w:t>
            </w:r>
            <w:r w:rsidRPr="0002085C">
              <w:rPr>
                <w:rFonts w:cs="宋体" w:hint="eastAsia"/>
                <w:kern w:val="0"/>
              </w:rPr>
              <w:t>形模具式</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652"/>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常规试验</w:t>
            </w:r>
          </w:p>
        </w:tc>
        <w:tc>
          <w:tcPr>
            <w:tcW w:w="1260" w:type="dxa"/>
            <w:vMerge w:val="restart"/>
            <w:vAlign w:val="center"/>
          </w:tcPr>
          <w:p w:rsidR="00A32067" w:rsidRPr="0002085C" w:rsidRDefault="00A32067" w:rsidP="0002085C">
            <w:pPr>
              <w:jc w:val="center"/>
              <w:rPr>
                <w:rFonts w:eastAsia="微软雅黑"/>
                <w:kern w:val="0"/>
              </w:rPr>
            </w:pPr>
            <w:r w:rsidRPr="0002085C">
              <w:rPr>
                <w:rFonts w:eastAsia="微软雅黑"/>
                <w:kern w:val="0"/>
              </w:rPr>
              <w:t>02</w:t>
            </w:r>
          </w:p>
        </w:tc>
        <w:tc>
          <w:tcPr>
            <w:tcW w:w="3420" w:type="dxa"/>
            <w:gridSpan w:val="4"/>
            <w:vAlign w:val="center"/>
          </w:tcPr>
          <w:p w:rsidR="00A32067" w:rsidRPr="0002085C" w:rsidRDefault="00A32067" w:rsidP="0002085C">
            <w:pPr>
              <w:jc w:val="center"/>
              <w:rPr>
                <w:kern w:val="0"/>
              </w:rPr>
            </w:pPr>
            <w:r w:rsidRPr="0002085C">
              <w:rPr>
                <w:rFonts w:cs="宋体" w:hint="eastAsia"/>
                <w:kern w:val="0"/>
              </w:rPr>
              <w:t>钢丝、盘条拉伸及弯曲</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453"/>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2160" w:type="dxa"/>
            <w:gridSpan w:val="3"/>
            <w:vMerge w:val="restart"/>
            <w:vAlign w:val="center"/>
          </w:tcPr>
          <w:p w:rsidR="00A32067" w:rsidRPr="0002085C" w:rsidRDefault="00A32067" w:rsidP="0002085C">
            <w:pPr>
              <w:jc w:val="center"/>
              <w:rPr>
                <w:kern w:val="0"/>
              </w:rPr>
            </w:pPr>
            <w:r w:rsidRPr="0002085C">
              <w:rPr>
                <w:rFonts w:cs="宋体" w:hint="eastAsia"/>
                <w:kern w:val="0"/>
              </w:rPr>
              <w:t>钢筋拉伸及弯曲</w:t>
            </w:r>
          </w:p>
        </w:tc>
        <w:tc>
          <w:tcPr>
            <w:tcW w:w="1260" w:type="dxa"/>
            <w:vAlign w:val="center"/>
          </w:tcPr>
          <w:p w:rsidR="00A32067" w:rsidRPr="0002085C" w:rsidRDefault="00A32067" w:rsidP="0002085C">
            <w:pPr>
              <w:jc w:val="center"/>
              <w:rPr>
                <w:kern w:val="0"/>
              </w:rPr>
            </w:pPr>
            <w:r w:rsidRPr="0002085C">
              <w:rPr>
                <w:kern w:val="0"/>
              </w:rPr>
              <w:t>≤20mm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363"/>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rFonts w:eastAsia="微软雅黑"/>
                <w:kern w:val="0"/>
              </w:rPr>
            </w:pPr>
          </w:p>
        </w:tc>
        <w:tc>
          <w:tcPr>
            <w:tcW w:w="2160" w:type="dxa"/>
            <w:gridSpan w:val="3"/>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≥22mm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52"/>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建筑钢材连接件</w:t>
            </w:r>
          </w:p>
        </w:tc>
        <w:tc>
          <w:tcPr>
            <w:tcW w:w="1260" w:type="dxa"/>
            <w:vMerge w:val="restart"/>
            <w:vAlign w:val="center"/>
          </w:tcPr>
          <w:p w:rsidR="00A32067" w:rsidRPr="0002085C" w:rsidRDefault="00A32067" w:rsidP="0002085C">
            <w:pPr>
              <w:jc w:val="center"/>
              <w:rPr>
                <w:rFonts w:eastAsia="微软雅黑"/>
                <w:kern w:val="0"/>
              </w:rPr>
            </w:pPr>
            <w:r w:rsidRPr="0002085C">
              <w:rPr>
                <w:rFonts w:eastAsia="微软雅黑"/>
                <w:kern w:val="0"/>
              </w:rPr>
              <w:t>03</w:t>
            </w:r>
          </w:p>
        </w:tc>
        <w:tc>
          <w:tcPr>
            <w:tcW w:w="2160" w:type="dxa"/>
            <w:gridSpan w:val="3"/>
            <w:vMerge w:val="restart"/>
            <w:vAlign w:val="center"/>
          </w:tcPr>
          <w:p w:rsidR="00A32067" w:rsidRPr="0002085C" w:rsidRDefault="00A32067" w:rsidP="0002085C">
            <w:pPr>
              <w:jc w:val="center"/>
              <w:rPr>
                <w:kern w:val="0"/>
              </w:rPr>
            </w:pPr>
            <w:r w:rsidRPr="0002085C">
              <w:rPr>
                <w:rFonts w:cs="宋体" w:hint="eastAsia"/>
                <w:kern w:val="0"/>
              </w:rPr>
              <w:t>钢筋连接件拉伸</w:t>
            </w:r>
          </w:p>
        </w:tc>
        <w:tc>
          <w:tcPr>
            <w:tcW w:w="1260" w:type="dxa"/>
            <w:vAlign w:val="center"/>
          </w:tcPr>
          <w:p w:rsidR="00A32067" w:rsidRPr="0002085C" w:rsidRDefault="00A32067" w:rsidP="0002085C">
            <w:pPr>
              <w:jc w:val="center"/>
              <w:rPr>
                <w:kern w:val="0"/>
              </w:rPr>
            </w:pPr>
            <w:r w:rsidRPr="0002085C">
              <w:rPr>
                <w:kern w:val="0"/>
              </w:rPr>
              <w:t>≤20mm</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452"/>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2160" w:type="dxa"/>
            <w:gridSpan w:val="3"/>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≥22mm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hRule="exact" w:val="505"/>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钢筋焊接件弯曲</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145</w:t>
            </w:r>
          </w:p>
        </w:tc>
      </w:tr>
      <w:tr w:rsidR="00A32067">
        <w:trPr>
          <w:trHeight w:hRule="exact" w:val="483"/>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冷拔丝焊点抗剪</w:t>
            </w:r>
          </w:p>
        </w:tc>
        <w:tc>
          <w:tcPr>
            <w:tcW w:w="1296" w:type="dxa"/>
            <w:vAlign w:val="center"/>
          </w:tcPr>
          <w:p w:rsidR="00A32067" w:rsidRPr="0002085C" w:rsidRDefault="00A32067" w:rsidP="0002085C">
            <w:pPr>
              <w:jc w:val="center"/>
              <w:rPr>
                <w:kern w:val="0"/>
              </w:rPr>
            </w:pPr>
            <w:r w:rsidRPr="0002085C">
              <w:rPr>
                <w:rFonts w:cs="宋体" w:hint="eastAsia"/>
                <w:kern w:val="0"/>
              </w:rPr>
              <w:t>件</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hRule="exact" w:val="602"/>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02085C">
            <w:pPr>
              <w:jc w:val="center"/>
              <w:rPr>
                <w:kern w:val="0"/>
              </w:rPr>
            </w:pPr>
            <w:r w:rsidRPr="0002085C">
              <w:rPr>
                <w:kern w:val="0"/>
              </w:rPr>
              <w:t>T</w:t>
            </w:r>
            <w:r w:rsidRPr="0002085C">
              <w:rPr>
                <w:rFonts w:cs="宋体" w:hint="eastAsia"/>
                <w:kern w:val="0"/>
              </w:rPr>
              <w:t>形件抗拉强度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hRule="exact" w:val="552"/>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焊接球、螺栓球节点抗拉球、杆压扁</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52"/>
          <w:jc w:val="center"/>
        </w:trPr>
        <w:tc>
          <w:tcPr>
            <w:tcW w:w="828" w:type="dxa"/>
            <w:vMerge/>
            <w:vAlign w:val="center"/>
          </w:tcPr>
          <w:p w:rsidR="00A32067" w:rsidRPr="0002085C" w:rsidRDefault="00A32067" w:rsidP="0002085C">
            <w:pPr>
              <w:jc w:val="center"/>
              <w:rPr>
                <w:rFonts w:eastAsia="微软雅黑"/>
                <w:kern w:val="0"/>
              </w:rPr>
            </w:pPr>
          </w:p>
        </w:tc>
        <w:tc>
          <w:tcPr>
            <w:tcW w:w="1260" w:type="dxa"/>
            <w:vMerge/>
            <w:vAlign w:val="center"/>
          </w:tcPr>
          <w:p w:rsidR="00A32067" w:rsidRPr="0002085C" w:rsidRDefault="00A32067" w:rsidP="0002085C">
            <w:pPr>
              <w:jc w:val="center"/>
              <w:rPr>
                <w:rFonts w:eastAsia="微软雅黑"/>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试件加工</w:t>
            </w:r>
          </w:p>
        </w:tc>
        <w:tc>
          <w:tcPr>
            <w:tcW w:w="1296" w:type="dxa"/>
            <w:vAlign w:val="center"/>
          </w:tcPr>
          <w:p w:rsidR="00A32067" w:rsidRPr="0002085C" w:rsidRDefault="00A32067" w:rsidP="0002085C">
            <w:pPr>
              <w:jc w:val="center"/>
              <w:rPr>
                <w:kern w:val="0"/>
              </w:rPr>
            </w:pPr>
            <w:r w:rsidRPr="0002085C">
              <w:rPr>
                <w:rFonts w:cs="宋体" w:hint="eastAsia"/>
                <w:kern w:val="0"/>
              </w:rPr>
              <w:t>根</w:t>
            </w:r>
          </w:p>
        </w:tc>
        <w:tc>
          <w:tcPr>
            <w:tcW w:w="1701" w:type="dxa"/>
            <w:vAlign w:val="center"/>
          </w:tcPr>
          <w:p w:rsidR="00A32067" w:rsidRPr="0002085C" w:rsidRDefault="00A32067" w:rsidP="0002085C">
            <w:pPr>
              <w:jc w:val="center"/>
              <w:rPr>
                <w:kern w:val="0"/>
              </w:rPr>
            </w:pPr>
            <w:r w:rsidRPr="0002085C">
              <w:rPr>
                <w:kern w:val="0"/>
              </w:rPr>
              <w:t>30</w:t>
            </w:r>
          </w:p>
        </w:tc>
      </w:tr>
    </w:tbl>
    <w:p w:rsidR="00A32067" w:rsidRDefault="00A32067">
      <w:pPr>
        <w:widowControl/>
        <w:tabs>
          <w:tab w:val="left" w:pos="6720"/>
        </w:tabs>
        <w:adjustRightInd w:val="0"/>
        <w:snapToGrid w:val="0"/>
        <w:spacing w:after="200"/>
        <w:jc w:val="left"/>
        <w:rPr>
          <w:rFonts w:eastAsia="微软雅黑"/>
          <w:kern w:val="0"/>
          <w:sz w:val="22"/>
          <w:szCs w:val="22"/>
        </w:rPr>
      </w:pPr>
      <w:r>
        <w:rPr>
          <w:rFonts w:eastAsia="微软雅黑"/>
          <w:kern w:val="0"/>
          <w:sz w:val="22"/>
          <w:szCs w:val="22"/>
        </w:rPr>
        <w:tab/>
      </w:r>
    </w:p>
    <w:p w:rsidR="00A32067" w:rsidRDefault="00A32067">
      <w:pPr>
        <w:widowControl/>
        <w:tabs>
          <w:tab w:val="left" w:pos="6720"/>
        </w:tabs>
        <w:adjustRightInd w:val="0"/>
        <w:snapToGrid w:val="0"/>
        <w:spacing w:after="200"/>
        <w:jc w:val="left"/>
        <w:rPr>
          <w:rFonts w:eastAsia="微软雅黑"/>
          <w:kern w:val="0"/>
          <w:sz w:val="22"/>
          <w:szCs w:val="22"/>
        </w:rPr>
      </w:pPr>
    </w:p>
    <w:p w:rsidR="00A32067" w:rsidRDefault="00A32067">
      <w:pPr>
        <w:widowControl/>
        <w:tabs>
          <w:tab w:val="left" w:pos="6720"/>
        </w:tabs>
        <w:adjustRightInd w:val="0"/>
        <w:snapToGrid w:val="0"/>
        <w:spacing w:after="200"/>
        <w:jc w:val="left"/>
        <w:rPr>
          <w:rFonts w:eastAsia="微软雅黑"/>
          <w:kern w:val="0"/>
          <w:sz w:val="22"/>
          <w:szCs w:val="22"/>
        </w:rPr>
      </w:pPr>
    </w:p>
    <w:p w:rsidR="00A32067" w:rsidRDefault="00A32067">
      <w:pPr>
        <w:widowControl/>
        <w:tabs>
          <w:tab w:val="left" w:pos="6720"/>
        </w:tabs>
        <w:adjustRightInd w:val="0"/>
        <w:snapToGrid w:val="0"/>
        <w:spacing w:after="200"/>
        <w:jc w:val="left"/>
        <w:rPr>
          <w:rFonts w:eastAsia="微软雅黑"/>
          <w:kern w:val="0"/>
          <w:sz w:val="22"/>
          <w:szCs w:val="22"/>
        </w:rPr>
      </w:pPr>
    </w:p>
    <w:p w:rsidR="00A32067" w:rsidRDefault="00A32067">
      <w:pPr>
        <w:widowControl/>
        <w:tabs>
          <w:tab w:val="left" w:pos="6720"/>
        </w:tabs>
        <w:adjustRightInd w:val="0"/>
        <w:snapToGrid w:val="0"/>
        <w:spacing w:after="200"/>
        <w:jc w:val="left"/>
        <w:rPr>
          <w:rFonts w:eastAsia="微软雅黑"/>
          <w:kern w:val="0"/>
          <w:sz w:val="22"/>
          <w:szCs w:val="22"/>
        </w:rPr>
      </w:pPr>
    </w:p>
    <w:p w:rsidR="00A32067" w:rsidRDefault="00A32067">
      <w:pPr>
        <w:widowControl/>
        <w:tabs>
          <w:tab w:val="left" w:pos="6720"/>
        </w:tabs>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A</w:t>
      </w:r>
      <w:r>
        <w:rPr>
          <w:rFonts w:ascii="Times New Roman" w:hAnsi="Times New Roman" w:hint="eastAsia"/>
          <w:b/>
          <w:bCs/>
          <w:kern w:val="2"/>
        </w:rPr>
        <w:t>建筑钢材</w:t>
      </w:r>
      <w:r>
        <w:rPr>
          <w:rFonts w:ascii="Times New Roman" w:hAnsi="Times New Roman" w:cs="Times New Roman"/>
          <w:b/>
          <w:bCs/>
          <w:kern w:val="2"/>
        </w:rPr>
        <w:t xml:space="preserve">                                                          A04</w:t>
      </w:r>
      <w:r>
        <w:rPr>
          <w:rFonts w:ascii="Times New Roman" w:hAnsi="Times New Roman" w:hint="eastAsia"/>
          <w:b/>
          <w:bCs/>
          <w:kern w:val="2"/>
        </w:rPr>
        <w:t>～</w:t>
      </w:r>
      <w:r>
        <w:rPr>
          <w:rFonts w:ascii="Times New Roman" w:hAnsi="Times New Roman" w:cs="Times New Roman"/>
          <w:b/>
          <w:bCs/>
          <w:kern w:val="2"/>
        </w:rPr>
        <w:t>10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800"/>
        <w:gridCol w:w="162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建筑钢丝绳及钢绞线</w:t>
            </w:r>
          </w:p>
        </w:tc>
        <w:tc>
          <w:tcPr>
            <w:tcW w:w="1080" w:type="dxa"/>
            <w:vMerge w:val="restart"/>
            <w:vAlign w:val="center"/>
          </w:tcPr>
          <w:p w:rsidR="00A32067" w:rsidRPr="0002085C" w:rsidRDefault="00A32067" w:rsidP="0002085C">
            <w:pPr>
              <w:jc w:val="center"/>
              <w:rPr>
                <w:kern w:val="0"/>
              </w:rPr>
            </w:pPr>
            <w:r w:rsidRPr="0002085C">
              <w:rPr>
                <w:kern w:val="0"/>
              </w:rPr>
              <w:t>04</w:t>
            </w:r>
          </w:p>
        </w:tc>
        <w:tc>
          <w:tcPr>
            <w:tcW w:w="3420" w:type="dxa"/>
            <w:gridSpan w:val="2"/>
            <w:vAlign w:val="center"/>
          </w:tcPr>
          <w:p w:rsidR="00A32067" w:rsidRPr="0002085C" w:rsidRDefault="00A32067" w:rsidP="00A32067">
            <w:pPr>
              <w:ind w:leftChars="271" w:left="31680" w:rightChars="-327" w:right="31680" w:firstLineChars="200" w:firstLine="31680"/>
              <w:rPr>
                <w:kern w:val="0"/>
              </w:rPr>
            </w:pPr>
            <w:r w:rsidRPr="0002085C">
              <w:rPr>
                <w:rFonts w:cs="宋体" w:hint="eastAsia"/>
                <w:kern w:val="0"/>
              </w:rPr>
              <w:t>钢丝拉伸</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restart"/>
            <w:vAlign w:val="center"/>
          </w:tcPr>
          <w:p w:rsidR="00A32067" w:rsidRPr="0002085C" w:rsidRDefault="00A32067" w:rsidP="00A32067">
            <w:pPr>
              <w:ind w:left="150" w:rightChars="-327" w:right="31680"/>
              <w:rPr>
                <w:kern w:val="0"/>
              </w:rPr>
            </w:pPr>
            <w:r w:rsidRPr="0002085C">
              <w:rPr>
                <w:rFonts w:cs="宋体" w:hint="eastAsia"/>
                <w:kern w:val="0"/>
              </w:rPr>
              <w:t>松弛试验</w:t>
            </w:r>
          </w:p>
        </w:tc>
        <w:tc>
          <w:tcPr>
            <w:tcW w:w="1620" w:type="dxa"/>
            <w:vAlign w:val="center"/>
          </w:tcPr>
          <w:p w:rsidR="00A32067" w:rsidRPr="0002085C" w:rsidRDefault="00A32067" w:rsidP="00A32067">
            <w:pPr>
              <w:ind w:leftChars="71" w:left="31680" w:rightChars="-327" w:right="31680" w:firstLineChars="200" w:firstLine="31680"/>
              <w:rPr>
                <w:kern w:val="0"/>
              </w:rPr>
            </w:pPr>
            <w:r w:rsidRPr="0002085C">
              <w:rPr>
                <w:kern w:val="0"/>
              </w:rPr>
              <w:t>10h</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根</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ign w:val="center"/>
          </w:tcPr>
          <w:p w:rsidR="00A32067" w:rsidRPr="0002085C" w:rsidRDefault="00A32067" w:rsidP="00A32067">
            <w:pPr>
              <w:ind w:rightChars="-327" w:right="31680"/>
              <w:jc w:val="center"/>
              <w:rPr>
                <w:kern w:val="0"/>
              </w:rPr>
            </w:pPr>
          </w:p>
        </w:tc>
        <w:tc>
          <w:tcPr>
            <w:tcW w:w="1620" w:type="dxa"/>
            <w:vAlign w:val="center"/>
          </w:tcPr>
          <w:p w:rsidR="00A32067" w:rsidRPr="0002085C" w:rsidRDefault="00A32067" w:rsidP="00A32067">
            <w:pPr>
              <w:ind w:rightChars="-327" w:right="31680" w:firstLineChars="250" w:firstLine="31680"/>
              <w:rPr>
                <w:kern w:val="0"/>
              </w:rPr>
            </w:pPr>
            <w:r w:rsidRPr="0002085C">
              <w:rPr>
                <w:kern w:val="0"/>
              </w:rPr>
              <w:t>100h</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ign w:val="center"/>
          </w:tcPr>
          <w:p w:rsidR="00A32067" w:rsidRPr="0002085C" w:rsidRDefault="00A32067" w:rsidP="00A32067">
            <w:pPr>
              <w:ind w:rightChars="-327" w:right="31680" w:firstLineChars="450" w:firstLine="31680"/>
              <w:rPr>
                <w:kern w:val="0"/>
              </w:rPr>
            </w:pPr>
          </w:p>
        </w:tc>
        <w:tc>
          <w:tcPr>
            <w:tcW w:w="1620" w:type="dxa"/>
            <w:vAlign w:val="center"/>
          </w:tcPr>
          <w:p w:rsidR="00A32067" w:rsidRPr="0002085C" w:rsidRDefault="00A32067" w:rsidP="00A32067">
            <w:pPr>
              <w:ind w:rightChars="-327" w:right="31680" w:firstLineChars="250" w:firstLine="31680"/>
              <w:rPr>
                <w:kern w:val="0"/>
              </w:rPr>
            </w:pPr>
            <w:r w:rsidRPr="0002085C">
              <w:rPr>
                <w:kern w:val="0"/>
              </w:rPr>
              <w:t>1000h</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firstLineChars="350" w:firstLine="31680"/>
              <w:jc w:val="left"/>
              <w:rPr>
                <w:kern w:val="0"/>
              </w:rPr>
            </w:pPr>
            <w:r w:rsidRPr="0002085C">
              <w:rPr>
                <w:rFonts w:cs="宋体" w:hint="eastAsia"/>
                <w:kern w:val="0"/>
              </w:rPr>
              <w:t>钢丝绳、钢绞线拉伸</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钢管</w:t>
            </w:r>
          </w:p>
        </w:tc>
        <w:tc>
          <w:tcPr>
            <w:tcW w:w="1080" w:type="dxa"/>
            <w:vMerge w:val="restart"/>
            <w:vAlign w:val="center"/>
          </w:tcPr>
          <w:p w:rsidR="00A32067" w:rsidRPr="0002085C" w:rsidRDefault="00A32067" w:rsidP="0002085C">
            <w:pPr>
              <w:jc w:val="center"/>
              <w:rPr>
                <w:kern w:val="0"/>
              </w:rPr>
            </w:pPr>
            <w:r w:rsidRPr="0002085C">
              <w:rPr>
                <w:kern w:val="0"/>
              </w:rPr>
              <w:t>05</w:t>
            </w:r>
          </w:p>
        </w:tc>
        <w:tc>
          <w:tcPr>
            <w:tcW w:w="3420" w:type="dxa"/>
            <w:gridSpan w:val="2"/>
            <w:vAlign w:val="center"/>
          </w:tcPr>
          <w:p w:rsidR="00A32067" w:rsidRPr="0002085C" w:rsidRDefault="00A32067" w:rsidP="00A32067">
            <w:pPr>
              <w:ind w:rightChars="-327" w:right="31680" w:firstLineChars="550" w:firstLine="31680"/>
              <w:rPr>
                <w:kern w:val="0"/>
              </w:rPr>
            </w:pPr>
            <w:r w:rsidRPr="0002085C">
              <w:rPr>
                <w:rFonts w:cs="宋体" w:hint="eastAsia"/>
                <w:kern w:val="0"/>
              </w:rPr>
              <w:t>金属管拉伸</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根</w:t>
            </w: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firstLineChars="500" w:firstLine="31680"/>
              <w:rPr>
                <w:kern w:val="0"/>
              </w:rPr>
            </w:pPr>
            <w:r w:rsidRPr="0002085C">
              <w:rPr>
                <w:rFonts w:cs="宋体" w:hint="eastAsia"/>
                <w:kern w:val="0"/>
              </w:rPr>
              <w:t>压扁（弯曲）</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钢绞线锚具</w:t>
            </w:r>
          </w:p>
        </w:tc>
        <w:tc>
          <w:tcPr>
            <w:tcW w:w="1080" w:type="dxa"/>
            <w:vAlign w:val="center"/>
          </w:tcPr>
          <w:p w:rsidR="00A32067" w:rsidRPr="0002085C" w:rsidRDefault="00A32067" w:rsidP="0002085C">
            <w:pPr>
              <w:jc w:val="center"/>
              <w:rPr>
                <w:kern w:val="0"/>
              </w:rPr>
            </w:pPr>
            <w:r w:rsidRPr="0002085C">
              <w:rPr>
                <w:kern w:val="0"/>
              </w:rPr>
              <w:t>06</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钢绞线锚具性能</w:t>
            </w:r>
          </w:p>
        </w:tc>
        <w:tc>
          <w:tcPr>
            <w:tcW w:w="1296" w:type="dxa"/>
            <w:vAlign w:val="center"/>
          </w:tcPr>
          <w:p w:rsidR="00A32067" w:rsidRPr="0002085C" w:rsidRDefault="00A32067" w:rsidP="0002085C">
            <w:pPr>
              <w:jc w:val="center"/>
              <w:rPr>
                <w:kern w:val="0"/>
              </w:rPr>
            </w:pPr>
            <w:r w:rsidRPr="0002085C">
              <w:rPr>
                <w:rFonts w:cs="宋体" w:hint="eastAsia"/>
                <w:kern w:val="0"/>
              </w:rPr>
              <w:t>支</w:t>
            </w: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钢丝墩头</w:t>
            </w:r>
          </w:p>
        </w:tc>
        <w:tc>
          <w:tcPr>
            <w:tcW w:w="1080" w:type="dxa"/>
            <w:vAlign w:val="center"/>
          </w:tcPr>
          <w:p w:rsidR="00A32067" w:rsidRPr="0002085C" w:rsidRDefault="00A32067" w:rsidP="0002085C">
            <w:pPr>
              <w:jc w:val="center"/>
              <w:rPr>
                <w:kern w:val="0"/>
              </w:rPr>
            </w:pPr>
            <w:r w:rsidRPr="0002085C">
              <w:rPr>
                <w:kern w:val="0"/>
              </w:rPr>
              <w:t>07</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钢丝墩头拉力试验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镀锌层</w:t>
            </w:r>
          </w:p>
        </w:tc>
        <w:tc>
          <w:tcPr>
            <w:tcW w:w="1080" w:type="dxa"/>
            <w:vMerge w:val="restart"/>
            <w:vAlign w:val="center"/>
          </w:tcPr>
          <w:p w:rsidR="00A32067" w:rsidRPr="0002085C" w:rsidRDefault="00A32067" w:rsidP="0002085C">
            <w:pPr>
              <w:jc w:val="center"/>
              <w:rPr>
                <w:kern w:val="0"/>
              </w:rPr>
            </w:pPr>
            <w:r w:rsidRPr="0002085C">
              <w:rPr>
                <w:kern w:val="0"/>
              </w:rPr>
              <w:t>08</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镀锌层重量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镀锌层均匀性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290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钢材其它性能</w:t>
            </w:r>
          </w:p>
        </w:tc>
        <w:tc>
          <w:tcPr>
            <w:tcW w:w="1080" w:type="dxa"/>
            <w:vMerge w:val="restart"/>
            <w:vAlign w:val="center"/>
          </w:tcPr>
          <w:p w:rsidR="00A32067" w:rsidRPr="0002085C" w:rsidRDefault="00A32067" w:rsidP="0002085C">
            <w:pPr>
              <w:jc w:val="center"/>
              <w:rPr>
                <w:kern w:val="0"/>
              </w:rPr>
            </w:pPr>
            <w:r w:rsidRPr="0002085C">
              <w:rPr>
                <w:kern w:val="0"/>
              </w:rPr>
              <w:t>09</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弹性模量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225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硬度（</w:t>
            </w:r>
            <w:r w:rsidRPr="0002085C">
              <w:rPr>
                <w:kern w:val="0"/>
              </w:rPr>
              <w:t>HR</w:t>
            </w:r>
            <w:r w:rsidRPr="0002085C">
              <w:rPr>
                <w:rFonts w:cs="宋体" w:hint="eastAsia"/>
                <w:kern w:val="0"/>
              </w:rPr>
              <w:t>、</w:t>
            </w:r>
            <w:r w:rsidRPr="0002085C">
              <w:rPr>
                <w:kern w:val="0"/>
              </w:rPr>
              <w:t>HB</w:t>
            </w:r>
            <w:r w:rsidRPr="0002085C">
              <w:rPr>
                <w:rFonts w:cs="宋体" w:hint="eastAsia"/>
                <w:kern w:val="0"/>
              </w:rPr>
              <w:t>、</w:t>
            </w:r>
            <w:r w:rsidRPr="0002085C">
              <w:rPr>
                <w:kern w:val="0"/>
              </w:rPr>
              <w:t>HV</w:t>
            </w:r>
            <w:r w:rsidRPr="0002085C">
              <w:rPr>
                <w:rFonts w:cs="宋体" w:hint="eastAsia"/>
                <w:kern w:val="0"/>
              </w:rPr>
              <w:t>）</w:t>
            </w:r>
          </w:p>
        </w:tc>
        <w:tc>
          <w:tcPr>
            <w:tcW w:w="1296" w:type="dxa"/>
            <w:vAlign w:val="center"/>
          </w:tcPr>
          <w:p w:rsidR="00A32067" w:rsidRPr="0002085C" w:rsidRDefault="00A32067" w:rsidP="0002085C">
            <w:pPr>
              <w:jc w:val="center"/>
              <w:rPr>
                <w:kern w:val="0"/>
              </w:rPr>
            </w:pPr>
            <w:r w:rsidRPr="0002085C">
              <w:rPr>
                <w:rFonts w:cs="宋体" w:hint="eastAsia"/>
                <w:kern w:val="0"/>
              </w:rPr>
              <w:t>件</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冲击常温</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断口检验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145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化学元素分析</w:t>
            </w:r>
          </w:p>
        </w:tc>
        <w:tc>
          <w:tcPr>
            <w:tcW w:w="1296" w:type="dxa"/>
            <w:vAlign w:val="center"/>
          </w:tcPr>
          <w:p w:rsidR="00A32067" w:rsidRPr="0002085C" w:rsidRDefault="00A32067" w:rsidP="00A32067">
            <w:pPr>
              <w:ind w:firstLineChars="150" w:firstLine="31680"/>
              <w:rPr>
                <w:kern w:val="0"/>
              </w:rPr>
            </w:pPr>
            <w:r w:rsidRPr="0002085C">
              <w:rPr>
                <w:rFonts w:cs="宋体" w:hint="eastAsia"/>
                <w:kern w:val="0"/>
              </w:rPr>
              <w:t>元素</w:t>
            </w:r>
          </w:p>
        </w:tc>
        <w:tc>
          <w:tcPr>
            <w:tcW w:w="1701" w:type="dxa"/>
            <w:vAlign w:val="center"/>
          </w:tcPr>
          <w:p w:rsidR="00A32067" w:rsidRPr="0002085C" w:rsidRDefault="00A32067" w:rsidP="0002085C">
            <w:pPr>
              <w:jc w:val="center"/>
              <w:rPr>
                <w:kern w:val="0"/>
              </w:rPr>
            </w:pPr>
            <w:r w:rsidRPr="0002085C">
              <w:rPr>
                <w:kern w:val="0"/>
              </w:rPr>
              <w:t>190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高强螺母螺栓</w:t>
            </w:r>
          </w:p>
        </w:tc>
        <w:tc>
          <w:tcPr>
            <w:tcW w:w="1080" w:type="dxa"/>
            <w:vMerge w:val="restart"/>
            <w:vAlign w:val="center"/>
          </w:tcPr>
          <w:p w:rsidR="00A32067" w:rsidRPr="0002085C" w:rsidRDefault="00A32067" w:rsidP="0002085C">
            <w:pPr>
              <w:jc w:val="center"/>
              <w:rPr>
                <w:kern w:val="0"/>
              </w:rPr>
            </w:pPr>
            <w:r w:rsidRPr="0002085C">
              <w:rPr>
                <w:kern w:val="0"/>
              </w:rPr>
              <w:t>10</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螺栓拉力保载试验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扭矩试验</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70</w:t>
            </w:r>
          </w:p>
        </w:tc>
      </w:tr>
    </w:tbl>
    <w:p w:rsidR="00A32067" w:rsidRDefault="00A32067">
      <w:pPr>
        <w:widowControl/>
        <w:adjustRightInd w:val="0"/>
        <w:snapToGrid w:val="0"/>
        <w:spacing w:after="200"/>
        <w:ind w:right="440"/>
        <w:jc w:val="left"/>
        <w:rPr>
          <w:rFonts w:eastAsia="微软雅黑"/>
          <w:kern w:val="0"/>
          <w:sz w:val="24"/>
          <w:szCs w:val="24"/>
        </w:rPr>
      </w:pPr>
    </w:p>
    <w:p w:rsidR="00A32067" w:rsidRDefault="00A32067">
      <w:pPr>
        <w:widowControl/>
        <w:adjustRightInd w:val="0"/>
        <w:snapToGrid w:val="0"/>
        <w:spacing w:after="200"/>
        <w:ind w:right="44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B</w:t>
      </w:r>
      <w:r>
        <w:rPr>
          <w:rFonts w:ascii="Times New Roman" w:hAnsi="Times New Roman" w:hint="eastAsia"/>
          <w:b/>
          <w:bCs/>
          <w:kern w:val="2"/>
        </w:rPr>
        <w:t>胶结材料</w:t>
      </w:r>
      <w:r>
        <w:rPr>
          <w:rFonts w:ascii="Times New Roman" w:hAnsi="Times New Roman" w:cs="Times New Roman"/>
          <w:b/>
          <w:bCs/>
          <w:kern w:val="2"/>
        </w:rPr>
        <w:t xml:space="preserve">                                                      B01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3420"/>
        <w:gridCol w:w="1296"/>
        <w:gridCol w:w="1701"/>
      </w:tblGrid>
      <w:tr w:rsidR="00A32067">
        <w:trPr>
          <w:trHeight w:val="680"/>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80"/>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水泥</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420" w:type="dxa"/>
            <w:vAlign w:val="center"/>
          </w:tcPr>
          <w:p w:rsidR="00A32067" w:rsidRPr="0002085C" w:rsidRDefault="00A32067" w:rsidP="00A32067">
            <w:pPr>
              <w:ind w:rightChars="-327" w:right="31680" w:firstLineChars="450" w:firstLine="31680"/>
              <w:rPr>
                <w:kern w:val="0"/>
              </w:rPr>
            </w:pPr>
            <w:r w:rsidRPr="0002085C">
              <w:rPr>
                <w:rFonts w:cs="宋体" w:hint="eastAsia"/>
                <w:kern w:val="0"/>
              </w:rPr>
              <w:t>标准稠度用水量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550" w:firstLine="31680"/>
              <w:rPr>
                <w:kern w:val="0"/>
              </w:rPr>
            </w:pPr>
            <w:r w:rsidRPr="0002085C">
              <w:rPr>
                <w:rFonts w:cs="宋体" w:hint="eastAsia"/>
                <w:kern w:val="0"/>
              </w:rPr>
              <w:t>凝结时间</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600" w:firstLine="31680"/>
              <w:rPr>
                <w:kern w:val="0"/>
              </w:rPr>
            </w:pPr>
            <w:r w:rsidRPr="0002085C">
              <w:rPr>
                <w:rFonts w:cs="宋体" w:hint="eastAsia"/>
                <w:kern w:val="0"/>
              </w:rPr>
              <w:t>安定性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650" w:firstLine="31680"/>
              <w:rPr>
                <w:kern w:val="0"/>
              </w:rPr>
            </w:pPr>
            <w:r w:rsidRPr="0002085C">
              <w:rPr>
                <w:rFonts w:cs="宋体" w:hint="eastAsia"/>
                <w:kern w:val="0"/>
              </w:rPr>
              <w:t>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600" w:firstLine="31680"/>
              <w:rPr>
                <w:kern w:val="0"/>
              </w:rPr>
            </w:pPr>
            <w:r w:rsidRPr="0002085C">
              <w:rPr>
                <w:rFonts w:cs="宋体" w:hint="eastAsia"/>
                <w:kern w:val="0"/>
              </w:rPr>
              <w:t>比表面积</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650" w:firstLine="31680"/>
              <w:rPr>
                <w:kern w:val="0"/>
              </w:rPr>
            </w:pPr>
            <w:r w:rsidRPr="0002085C">
              <w:rPr>
                <w:rFonts w:cs="宋体" w:hint="eastAsia"/>
                <w:kern w:val="0"/>
              </w:rPr>
              <w:t>密度</w:t>
            </w:r>
          </w:p>
          <w:p w:rsidR="00A32067" w:rsidRPr="0002085C" w:rsidRDefault="00A32067" w:rsidP="00A32067">
            <w:pPr>
              <w:ind w:rightChars="-327" w:right="31680" w:firstLineChars="550" w:firstLine="31680"/>
              <w:rPr>
                <w:kern w:val="0"/>
              </w:rPr>
            </w:pPr>
            <w:r w:rsidRPr="0002085C">
              <w:rPr>
                <w:rFonts w:cs="宋体" w:hint="eastAsia"/>
                <w:kern w:val="0"/>
              </w:rPr>
              <w:t>胶砂流动度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550" w:firstLine="31680"/>
              <w:rPr>
                <w:kern w:val="0"/>
              </w:rPr>
            </w:pPr>
            <w:r w:rsidRPr="0002085C">
              <w:rPr>
                <w:rFonts w:cs="宋体" w:hint="eastAsia"/>
                <w:kern w:val="0"/>
              </w:rPr>
              <w:t>胶砂强度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560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强度快测</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胶砂干缩</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850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水化热</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进场常规检验（标稠、凝时、安定、强度）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抗腐蚀性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白水泥白度</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石灰</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420" w:type="dxa"/>
            <w:vAlign w:val="center"/>
          </w:tcPr>
          <w:p w:rsidR="00A32067" w:rsidRPr="0002085C" w:rsidRDefault="00A32067" w:rsidP="0002085C">
            <w:pPr>
              <w:jc w:val="center"/>
              <w:rPr>
                <w:kern w:val="0"/>
              </w:rPr>
            </w:pPr>
            <w:r w:rsidRPr="0002085C">
              <w:rPr>
                <w:rFonts w:cs="宋体" w:hint="eastAsia"/>
                <w:kern w:val="0"/>
              </w:rPr>
              <w:t>生石灰未消化残渣</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消石灰粉含水率</w:t>
            </w:r>
          </w:p>
          <w:p w:rsidR="00A32067" w:rsidRPr="0002085C" w:rsidRDefault="00A32067" w:rsidP="0002085C">
            <w:pPr>
              <w:jc w:val="center"/>
              <w:rPr>
                <w:kern w:val="0"/>
              </w:rPr>
            </w:pPr>
            <w:r w:rsidRPr="0002085C">
              <w:rPr>
                <w:rFonts w:cs="宋体" w:hint="eastAsia"/>
                <w:kern w:val="0"/>
              </w:rPr>
              <w:t>消石灰粉细度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各成份含量</w:t>
            </w:r>
          </w:p>
        </w:tc>
        <w:tc>
          <w:tcPr>
            <w:tcW w:w="1296" w:type="dxa"/>
            <w:vAlign w:val="center"/>
          </w:tcPr>
          <w:p w:rsidR="00A32067" w:rsidRPr="0002085C" w:rsidRDefault="00A32067" w:rsidP="0002085C">
            <w:pPr>
              <w:jc w:val="center"/>
              <w:rPr>
                <w:kern w:val="0"/>
              </w:rPr>
            </w:pPr>
            <w:r w:rsidRPr="0002085C">
              <w:rPr>
                <w:rFonts w:cs="宋体" w:hint="eastAsia"/>
                <w:kern w:val="0"/>
              </w:rPr>
              <w:t>成份</w:t>
            </w: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产浆料</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游离水</w:t>
            </w:r>
          </w:p>
          <w:p w:rsidR="00A32067" w:rsidRPr="0002085C" w:rsidRDefault="00A32067" w:rsidP="0002085C">
            <w:pPr>
              <w:jc w:val="center"/>
              <w:rPr>
                <w:kern w:val="0"/>
              </w:rPr>
            </w:pPr>
            <w:r w:rsidRPr="0002085C">
              <w:rPr>
                <w:rFonts w:cs="宋体" w:hint="eastAsia"/>
                <w:kern w:val="0"/>
              </w:rPr>
              <w:t>体积安定性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B</w:t>
      </w:r>
      <w:r>
        <w:rPr>
          <w:rFonts w:ascii="Times New Roman" w:hAnsi="Times New Roman" w:hint="eastAsia"/>
          <w:b/>
          <w:bCs/>
          <w:kern w:val="2"/>
        </w:rPr>
        <w:t>胶结材料</w:t>
      </w:r>
      <w:r>
        <w:rPr>
          <w:rFonts w:ascii="Times New Roman" w:hAnsi="Times New Roman" w:cs="Times New Roman"/>
          <w:b/>
          <w:bCs/>
          <w:kern w:val="2"/>
        </w:rPr>
        <w:t xml:space="preserve">                                                               B03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3420"/>
        <w:gridCol w:w="1296"/>
        <w:gridCol w:w="1701"/>
      </w:tblGrid>
      <w:tr w:rsidR="00A32067">
        <w:trPr>
          <w:trHeight w:val="1134"/>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1134"/>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建筑用粉煤灰</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粉煤灰烧失量</w:t>
            </w:r>
          </w:p>
          <w:p w:rsidR="00A32067" w:rsidRPr="0002085C" w:rsidRDefault="00A32067" w:rsidP="00A32067">
            <w:pPr>
              <w:ind w:rightChars="-327" w:right="31680" w:firstLineChars="400" w:firstLine="31680"/>
              <w:rPr>
                <w:kern w:val="0"/>
              </w:rPr>
            </w:pPr>
            <w:r w:rsidRPr="0002085C">
              <w:rPr>
                <w:rFonts w:cs="宋体" w:hint="eastAsia"/>
                <w:kern w:val="0"/>
              </w:rPr>
              <w:t>重金属含量</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113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含水量</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113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三氧化硫</w:t>
            </w:r>
          </w:p>
          <w:p w:rsidR="00A32067" w:rsidRPr="0002085C" w:rsidRDefault="00A32067" w:rsidP="00A32067">
            <w:pPr>
              <w:ind w:rightChars="-327" w:right="31680" w:firstLineChars="400" w:firstLine="31680"/>
              <w:rPr>
                <w:kern w:val="0"/>
              </w:rPr>
            </w:pPr>
            <w:r w:rsidRPr="0002085C">
              <w:rPr>
                <w:rFonts w:cs="宋体" w:hint="eastAsia"/>
                <w:kern w:val="0"/>
              </w:rPr>
              <w:t>细度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190</w:t>
            </w:r>
          </w:p>
        </w:tc>
      </w:tr>
      <w:tr w:rsidR="00A32067">
        <w:trPr>
          <w:trHeight w:val="113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需水量比</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113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抗压强度比</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350</w:t>
            </w:r>
          </w:p>
        </w:tc>
      </w:tr>
      <w:tr w:rsidR="00A32067">
        <w:trPr>
          <w:trHeight w:val="113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00" w:firstLine="31680"/>
              <w:rPr>
                <w:kern w:val="0"/>
              </w:rPr>
            </w:pPr>
            <w:r w:rsidRPr="0002085C">
              <w:rPr>
                <w:rFonts w:cs="宋体" w:hint="eastAsia"/>
                <w:kern w:val="0"/>
              </w:rPr>
              <w:t>各成份含量</w:t>
            </w:r>
          </w:p>
        </w:tc>
        <w:tc>
          <w:tcPr>
            <w:tcW w:w="1296" w:type="dxa"/>
            <w:vAlign w:val="center"/>
          </w:tcPr>
          <w:p w:rsidR="00A32067" w:rsidRPr="0002085C" w:rsidRDefault="00A32067" w:rsidP="0002085C">
            <w:pPr>
              <w:jc w:val="center"/>
              <w:rPr>
                <w:kern w:val="0"/>
              </w:rPr>
            </w:pPr>
            <w:r w:rsidRPr="0002085C">
              <w:rPr>
                <w:rFonts w:cs="宋体" w:hint="eastAsia"/>
                <w:kern w:val="0"/>
              </w:rPr>
              <w:t>成份</w:t>
            </w:r>
          </w:p>
        </w:tc>
        <w:tc>
          <w:tcPr>
            <w:tcW w:w="1701" w:type="dxa"/>
            <w:vAlign w:val="center"/>
          </w:tcPr>
          <w:p w:rsidR="00A32067" w:rsidRPr="0002085C" w:rsidRDefault="00A32067" w:rsidP="0002085C">
            <w:pPr>
              <w:jc w:val="center"/>
              <w:rPr>
                <w:kern w:val="0"/>
              </w:rPr>
            </w:pPr>
            <w:r w:rsidRPr="0002085C">
              <w:rPr>
                <w:kern w:val="0"/>
              </w:rPr>
              <w:t>150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080"/>
        <w:gridCol w:w="180"/>
        <w:gridCol w:w="360"/>
        <w:gridCol w:w="1800"/>
        <w:gridCol w:w="1296"/>
        <w:gridCol w:w="1701"/>
      </w:tblGrid>
      <w:tr w:rsidR="00A32067">
        <w:trPr>
          <w:trHeight w:val="448"/>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4"/>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46"/>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砂（细集料）</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1260" w:type="dxa"/>
            <w:gridSpan w:val="2"/>
            <w:vMerge w:val="restart"/>
            <w:vAlign w:val="center"/>
          </w:tcPr>
          <w:p w:rsidR="00A32067" w:rsidRPr="0002085C" w:rsidRDefault="00A32067" w:rsidP="00A32067">
            <w:pPr>
              <w:ind w:rightChars="-327" w:right="31680" w:firstLineChars="150" w:firstLine="31680"/>
              <w:rPr>
                <w:kern w:val="0"/>
              </w:rPr>
            </w:pPr>
            <w:r w:rsidRPr="0002085C">
              <w:rPr>
                <w:rFonts w:cs="宋体" w:hint="eastAsia"/>
                <w:kern w:val="0"/>
              </w:rPr>
              <w:t>密度</w:t>
            </w:r>
          </w:p>
        </w:tc>
        <w:tc>
          <w:tcPr>
            <w:tcW w:w="2160" w:type="dxa"/>
            <w:gridSpan w:val="2"/>
            <w:vAlign w:val="center"/>
          </w:tcPr>
          <w:p w:rsidR="00A32067" w:rsidRPr="0002085C" w:rsidRDefault="00A32067" w:rsidP="00A32067">
            <w:pPr>
              <w:ind w:rightChars="-327" w:right="31680" w:firstLineChars="200" w:firstLine="31680"/>
              <w:rPr>
                <w:kern w:val="0"/>
              </w:rPr>
            </w:pPr>
            <w:r w:rsidRPr="0002085C">
              <w:rPr>
                <w:rFonts w:cs="宋体" w:hint="eastAsia"/>
                <w:kern w:val="0"/>
              </w:rPr>
              <w:t>堆积密度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A32067">
            <w:pPr>
              <w:ind w:left="150" w:rightChars="-327" w:right="31680"/>
              <w:rPr>
                <w:kern w:val="0"/>
              </w:rPr>
            </w:pPr>
          </w:p>
        </w:tc>
        <w:tc>
          <w:tcPr>
            <w:tcW w:w="2160" w:type="dxa"/>
            <w:gridSpan w:val="2"/>
            <w:vAlign w:val="center"/>
          </w:tcPr>
          <w:p w:rsidR="00A32067" w:rsidRPr="0002085C" w:rsidRDefault="00A32067" w:rsidP="00A32067">
            <w:pPr>
              <w:ind w:left="417" w:rightChars="-327" w:right="31680"/>
              <w:rPr>
                <w:kern w:val="0"/>
              </w:rPr>
            </w:pPr>
            <w:r w:rsidRPr="0002085C">
              <w:rPr>
                <w:rFonts w:cs="宋体" w:hint="eastAsia"/>
                <w:kern w:val="0"/>
              </w:rPr>
              <w:t>表观密度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A32067">
            <w:pPr>
              <w:ind w:rightChars="-327" w:right="31680"/>
              <w:rPr>
                <w:kern w:val="0"/>
              </w:rPr>
            </w:pPr>
          </w:p>
        </w:tc>
        <w:tc>
          <w:tcPr>
            <w:tcW w:w="2160" w:type="dxa"/>
            <w:gridSpan w:val="2"/>
            <w:vAlign w:val="center"/>
          </w:tcPr>
          <w:p w:rsidR="00A32067" w:rsidRPr="0002085C" w:rsidRDefault="00A32067" w:rsidP="00A32067">
            <w:pPr>
              <w:ind w:left="327" w:rightChars="-327" w:right="31680"/>
              <w:rPr>
                <w:kern w:val="0"/>
              </w:rPr>
            </w:pPr>
            <w:r w:rsidRPr="0002085C">
              <w:rPr>
                <w:rFonts w:cs="宋体" w:hint="eastAsia"/>
                <w:kern w:val="0"/>
              </w:rPr>
              <w:t>紧密密度</w:t>
            </w:r>
          </w:p>
          <w:p w:rsidR="00A32067" w:rsidRPr="0002085C" w:rsidRDefault="00A32067" w:rsidP="00A32067">
            <w:pPr>
              <w:ind w:left="327" w:rightChars="-327" w:right="31680"/>
              <w:rPr>
                <w:kern w:val="0"/>
              </w:rPr>
            </w:pPr>
            <w:r w:rsidRPr="0002085C">
              <w:rPr>
                <w:rFonts w:cs="宋体" w:hint="eastAsia"/>
                <w:kern w:val="0"/>
              </w:rPr>
              <w:t>饱和面干密度</w:t>
            </w:r>
          </w:p>
          <w:p w:rsidR="00A32067" w:rsidRPr="0002085C" w:rsidRDefault="00A32067" w:rsidP="00A32067">
            <w:pPr>
              <w:ind w:left="327" w:rightChars="-327" w:right="31680"/>
              <w:rPr>
                <w:kern w:val="0"/>
              </w:rPr>
            </w:pPr>
            <w:r w:rsidRPr="0002085C">
              <w:rPr>
                <w:rFonts w:cs="宋体" w:hint="eastAsia"/>
                <w:kern w:val="0"/>
              </w:rPr>
              <w:t>毛体积密度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A32067">
            <w:pPr>
              <w:ind w:rightChars="-327" w:right="31680" w:firstLineChars="450" w:firstLine="31680"/>
              <w:rPr>
                <w:kern w:val="0"/>
              </w:rPr>
            </w:pPr>
            <w:r w:rsidRPr="0002085C">
              <w:rPr>
                <w:rFonts w:cs="宋体" w:hint="eastAsia"/>
                <w:kern w:val="0"/>
              </w:rPr>
              <w:t>空隙率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A32067">
            <w:pPr>
              <w:ind w:rightChars="-327" w:right="31680"/>
              <w:rPr>
                <w:kern w:val="0"/>
              </w:rPr>
            </w:pPr>
            <w:r w:rsidRPr="0002085C">
              <w:rPr>
                <w:rFonts w:cs="宋体" w:hint="eastAsia"/>
                <w:kern w:val="0"/>
              </w:rPr>
              <w:t>含水率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A32067">
            <w:pPr>
              <w:ind w:rightChars="-327" w:right="31680"/>
              <w:rPr>
                <w:kern w:val="0"/>
              </w:rPr>
            </w:pPr>
            <w:r w:rsidRPr="0002085C">
              <w:rPr>
                <w:rFonts w:cs="宋体" w:hint="eastAsia"/>
                <w:kern w:val="0"/>
              </w:rPr>
              <w:t>含泥量</w:t>
            </w:r>
          </w:p>
          <w:p w:rsidR="00A32067" w:rsidRPr="0002085C" w:rsidRDefault="00A32067" w:rsidP="00A32067">
            <w:pPr>
              <w:ind w:rightChars="-327" w:right="31680" w:firstLineChars="700" w:firstLine="31680"/>
              <w:rPr>
                <w:kern w:val="0"/>
              </w:rPr>
            </w:pPr>
            <w:r w:rsidRPr="0002085C">
              <w:rPr>
                <w:rFonts w:cs="宋体" w:hint="eastAsia"/>
                <w:kern w:val="0"/>
              </w:rPr>
              <w:t>泥块含量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A32067">
            <w:pPr>
              <w:ind w:rightChars="-327" w:right="31680"/>
              <w:rPr>
                <w:kern w:val="0"/>
              </w:rPr>
            </w:pPr>
            <w:r w:rsidRPr="0002085C">
              <w:rPr>
                <w:rFonts w:cs="宋体" w:hint="eastAsia"/>
                <w:kern w:val="0"/>
              </w:rPr>
              <w:t>筛分析</w:t>
            </w:r>
          </w:p>
          <w:p w:rsidR="00A32067" w:rsidRPr="0002085C" w:rsidRDefault="00A32067" w:rsidP="00A32067">
            <w:pPr>
              <w:ind w:rightChars="-327" w:right="31680"/>
              <w:rPr>
                <w:kern w:val="0"/>
              </w:rPr>
            </w:pPr>
            <w:r w:rsidRPr="0002085C">
              <w:rPr>
                <w:rFonts w:cs="宋体" w:hint="eastAsia"/>
                <w:kern w:val="0"/>
              </w:rPr>
              <w:t>膨胀率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吸水率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坚固性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restart"/>
            <w:vAlign w:val="center"/>
          </w:tcPr>
          <w:p w:rsidR="00A32067" w:rsidRPr="0002085C" w:rsidRDefault="00A32067" w:rsidP="0002085C">
            <w:pPr>
              <w:jc w:val="center"/>
              <w:rPr>
                <w:kern w:val="0"/>
              </w:rPr>
            </w:pPr>
            <w:r w:rsidRPr="0002085C">
              <w:rPr>
                <w:rFonts w:cs="宋体" w:hint="eastAsia"/>
                <w:kern w:val="0"/>
              </w:rPr>
              <w:t>杂质含量</w:t>
            </w:r>
          </w:p>
        </w:tc>
        <w:tc>
          <w:tcPr>
            <w:tcW w:w="2340" w:type="dxa"/>
            <w:gridSpan w:val="3"/>
            <w:vAlign w:val="center"/>
          </w:tcPr>
          <w:p w:rsidR="00A32067" w:rsidRPr="0002085C" w:rsidRDefault="00A32067" w:rsidP="0002085C">
            <w:pPr>
              <w:jc w:val="center"/>
              <w:rPr>
                <w:kern w:val="0"/>
              </w:rPr>
            </w:pPr>
            <w:r w:rsidRPr="0002085C">
              <w:rPr>
                <w:rFonts w:cs="宋体" w:hint="eastAsia"/>
                <w:kern w:val="0"/>
              </w:rPr>
              <w:t>云母含量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340" w:type="dxa"/>
            <w:gridSpan w:val="3"/>
            <w:vAlign w:val="center"/>
          </w:tcPr>
          <w:p w:rsidR="00A32067" w:rsidRPr="0002085C" w:rsidRDefault="00A32067" w:rsidP="0002085C">
            <w:pPr>
              <w:jc w:val="center"/>
              <w:rPr>
                <w:kern w:val="0"/>
              </w:rPr>
            </w:pPr>
            <w:r w:rsidRPr="0002085C">
              <w:rPr>
                <w:rFonts w:cs="宋体" w:hint="eastAsia"/>
                <w:kern w:val="0"/>
              </w:rPr>
              <w:t>有机质含量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340" w:type="dxa"/>
            <w:gridSpan w:val="3"/>
            <w:vAlign w:val="center"/>
          </w:tcPr>
          <w:p w:rsidR="00A32067" w:rsidRPr="0002085C" w:rsidRDefault="00A32067" w:rsidP="0002085C">
            <w:pPr>
              <w:jc w:val="center"/>
              <w:rPr>
                <w:kern w:val="0"/>
              </w:rPr>
            </w:pPr>
            <w:r w:rsidRPr="0002085C">
              <w:rPr>
                <w:rFonts w:cs="宋体" w:hint="eastAsia"/>
                <w:kern w:val="0"/>
              </w:rPr>
              <w:t>轻物质含量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340" w:type="dxa"/>
            <w:gridSpan w:val="3"/>
            <w:vAlign w:val="center"/>
          </w:tcPr>
          <w:p w:rsidR="00A32067" w:rsidRPr="0002085C" w:rsidRDefault="00A32067" w:rsidP="0002085C">
            <w:pPr>
              <w:jc w:val="center"/>
              <w:rPr>
                <w:kern w:val="0"/>
              </w:rPr>
            </w:pPr>
            <w:r w:rsidRPr="0002085C">
              <w:rPr>
                <w:rFonts w:cs="宋体" w:hint="eastAsia"/>
                <w:kern w:val="0"/>
              </w:rPr>
              <w:t>硫酸盐，硫化物含量</w:t>
            </w:r>
          </w:p>
          <w:p w:rsidR="00A32067" w:rsidRPr="0002085C" w:rsidRDefault="00A32067" w:rsidP="0002085C">
            <w:pPr>
              <w:jc w:val="center"/>
              <w:rPr>
                <w:kern w:val="0"/>
              </w:rPr>
            </w:pPr>
            <w:r w:rsidRPr="0002085C">
              <w:rPr>
                <w:kern w:val="0"/>
              </w:rPr>
              <w:t>SO</w:t>
            </w:r>
            <w:r w:rsidRPr="0002085C">
              <w:rPr>
                <w:kern w:val="0"/>
                <w:vertAlign w:val="subscript"/>
              </w:rPr>
              <w:t>3</w:t>
            </w:r>
            <w:r w:rsidRPr="0002085C">
              <w:rPr>
                <w:rFonts w:cs="宋体" w:hint="eastAsia"/>
                <w:kern w:val="0"/>
              </w:rPr>
              <w:t>含量</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砂当量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46"/>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碎卵石（粗集料）</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1620" w:type="dxa"/>
            <w:gridSpan w:val="3"/>
            <w:vMerge w:val="restart"/>
            <w:vAlign w:val="center"/>
          </w:tcPr>
          <w:p w:rsidR="00A32067" w:rsidRPr="0002085C" w:rsidRDefault="00A32067" w:rsidP="0002085C">
            <w:pPr>
              <w:jc w:val="center"/>
              <w:rPr>
                <w:kern w:val="0"/>
              </w:rPr>
            </w:pPr>
            <w:r w:rsidRPr="0002085C">
              <w:rPr>
                <w:rFonts w:cs="宋体" w:hint="eastAsia"/>
                <w:kern w:val="0"/>
              </w:rPr>
              <w:t>堆积密度</w:t>
            </w:r>
          </w:p>
        </w:tc>
        <w:tc>
          <w:tcPr>
            <w:tcW w:w="1800" w:type="dxa"/>
            <w:vAlign w:val="center"/>
          </w:tcPr>
          <w:p w:rsidR="00A32067" w:rsidRPr="0002085C" w:rsidRDefault="00A32067" w:rsidP="0002085C">
            <w:pPr>
              <w:jc w:val="center"/>
              <w:rPr>
                <w:kern w:val="0"/>
              </w:rPr>
            </w:pPr>
            <w:r w:rsidRPr="0002085C">
              <w:rPr>
                <w:kern w:val="0"/>
              </w:rPr>
              <w:t>≤40mm</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gridSpan w:val="3"/>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kern w:val="0"/>
              </w:rPr>
              <w:t>≤80mm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gridSpan w:val="3"/>
            <w:vMerge w:val="restart"/>
            <w:vAlign w:val="center"/>
          </w:tcPr>
          <w:p w:rsidR="00A32067" w:rsidRPr="0002085C" w:rsidRDefault="00A32067" w:rsidP="0002085C">
            <w:pPr>
              <w:jc w:val="center"/>
              <w:rPr>
                <w:kern w:val="0"/>
              </w:rPr>
            </w:pPr>
            <w:r w:rsidRPr="0002085C">
              <w:rPr>
                <w:rFonts w:cs="宋体" w:hint="eastAsia"/>
                <w:kern w:val="0"/>
              </w:rPr>
              <w:t>表观密度</w:t>
            </w:r>
          </w:p>
        </w:tc>
        <w:tc>
          <w:tcPr>
            <w:tcW w:w="1800" w:type="dxa"/>
            <w:vAlign w:val="center"/>
          </w:tcPr>
          <w:p w:rsidR="00A32067" w:rsidRPr="0002085C" w:rsidRDefault="00A32067" w:rsidP="0002085C">
            <w:pPr>
              <w:jc w:val="center"/>
              <w:rPr>
                <w:kern w:val="0"/>
              </w:rPr>
            </w:pPr>
            <w:r w:rsidRPr="0002085C">
              <w:rPr>
                <w:kern w:val="0"/>
              </w:rPr>
              <w:t>≤40mm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gridSpan w:val="3"/>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kern w:val="0"/>
              </w:rPr>
              <w:t>≤80mm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46"/>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4"/>
            <w:vAlign w:val="center"/>
          </w:tcPr>
          <w:p w:rsidR="00A32067" w:rsidRPr="0002085C" w:rsidRDefault="00A32067" w:rsidP="0002085C">
            <w:pPr>
              <w:jc w:val="center"/>
              <w:rPr>
                <w:kern w:val="0"/>
              </w:rPr>
            </w:pPr>
            <w:r w:rsidRPr="0002085C">
              <w:rPr>
                <w:rFonts w:cs="宋体" w:hint="eastAsia"/>
                <w:kern w:val="0"/>
              </w:rPr>
              <w:t>振实密度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C02</w:t>
      </w:r>
      <w:r>
        <w:rPr>
          <w:rFonts w:ascii="Times New Roman" w:hAnsi="Times New Roman" w:hint="eastAsia"/>
          <w:b/>
          <w:bCs/>
          <w:kern w:val="2"/>
        </w:rPr>
        <w:t>～</w:t>
      </w:r>
      <w:r>
        <w:rPr>
          <w:rFonts w:ascii="Times New Roman" w:hAnsi="Times New Roman" w:cs="Times New Roman"/>
          <w:b/>
          <w:bCs/>
          <w:kern w:val="2"/>
        </w:rPr>
        <w:t>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080"/>
        <w:gridCol w:w="180"/>
        <w:gridCol w:w="2160"/>
        <w:gridCol w:w="1296"/>
        <w:gridCol w:w="1701"/>
      </w:tblGrid>
      <w:tr w:rsidR="00A32067">
        <w:trPr>
          <w:trHeight w:val="624"/>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24"/>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碎卵石（粗集料）</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420" w:type="dxa"/>
            <w:gridSpan w:val="3"/>
            <w:vAlign w:val="center"/>
          </w:tcPr>
          <w:p w:rsidR="00A32067" w:rsidRPr="0002085C" w:rsidRDefault="00A32067" w:rsidP="00A32067">
            <w:pPr>
              <w:ind w:rightChars="-327" w:right="31680"/>
              <w:jc w:val="center"/>
              <w:rPr>
                <w:kern w:val="0"/>
              </w:rPr>
            </w:pPr>
            <w:r w:rsidRPr="0002085C">
              <w:rPr>
                <w:rFonts w:cs="宋体" w:hint="eastAsia"/>
                <w:kern w:val="0"/>
              </w:rPr>
              <w:t>空隙率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jc w:val="center"/>
              <w:rPr>
                <w:kern w:val="0"/>
              </w:rPr>
            </w:pPr>
            <w:r w:rsidRPr="0002085C">
              <w:rPr>
                <w:rFonts w:cs="宋体" w:hint="eastAsia"/>
                <w:kern w:val="0"/>
              </w:rPr>
              <w:t>含水率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jc w:val="center"/>
              <w:rPr>
                <w:kern w:val="0"/>
              </w:rPr>
            </w:pPr>
            <w:r w:rsidRPr="0002085C">
              <w:rPr>
                <w:rFonts w:cs="宋体" w:hint="eastAsia"/>
                <w:kern w:val="0"/>
              </w:rPr>
              <w:t>吸水率</w:t>
            </w:r>
          </w:p>
          <w:p w:rsidR="00A32067" w:rsidRPr="0002085C" w:rsidRDefault="00A32067" w:rsidP="00A32067">
            <w:pPr>
              <w:ind w:rightChars="-327" w:right="31680"/>
              <w:jc w:val="center"/>
              <w:rPr>
                <w:kern w:val="0"/>
              </w:rPr>
            </w:pPr>
            <w:r w:rsidRPr="0002085C">
              <w:rPr>
                <w:rFonts w:cs="宋体" w:hint="eastAsia"/>
                <w:kern w:val="0"/>
              </w:rPr>
              <w:t>含泥量</w:t>
            </w:r>
          </w:p>
          <w:p w:rsidR="00A32067" w:rsidRPr="0002085C" w:rsidRDefault="00A32067" w:rsidP="00A32067">
            <w:pPr>
              <w:ind w:rightChars="-327" w:right="31680"/>
              <w:jc w:val="center"/>
              <w:rPr>
                <w:kern w:val="0"/>
              </w:rPr>
            </w:pPr>
            <w:r w:rsidRPr="0002085C">
              <w:rPr>
                <w:rFonts w:cs="宋体" w:hint="eastAsia"/>
                <w:kern w:val="0"/>
              </w:rPr>
              <w:t>泥块含量</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jc w:val="center"/>
              <w:rPr>
                <w:kern w:val="0"/>
              </w:rPr>
            </w:pPr>
            <w:r w:rsidRPr="0002085C">
              <w:rPr>
                <w:rFonts w:cs="宋体" w:hint="eastAsia"/>
                <w:kern w:val="0"/>
              </w:rPr>
              <w:t>针片状含量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jc w:val="center"/>
              <w:rPr>
                <w:kern w:val="0"/>
              </w:rPr>
            </w:pPr>
            <w:r w:rsidRPr="0002085C">
              <w:rPr>
                <w:rFonts w:cs="宋体" w:hint="eastAsia"/>
                <w:kern w:val="0"/>
              </w:rPr>
              <w:t>筛分析</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坚固性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 xml:space="preserve">225 </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restart"/>
            <w:vAlign w:val="center"/>
          </w:tcPr>
          <w:p w:rsidR="00A32067" w:rsidRPr="0002085C" w:rsidRDefault="00A32067" w:rsidP="00A32067">
            <w:pPr>
              <w:ind w:rightChars="-327" w:right="31680"/>
              <w:rPr>
                <w:kern w:val="0"/>
              </w:rPr>
            </w:pPr>
            <w:r w:rsidRPr="0002085C">
              <w:rPr>
                <w:rFonts w:cs="宋体" w:hint="eastAsia"/>
                <w:kern w:val="0"/>
              </w:rPr>
              <w:t>杂质含量</w:t>
            </w:r>
          </w:p>
        </w:tc>
        <w:tc>
          <w:tcPr>
            <w:tcW w:w="2340" w:type="dxa"/>
            <w:gridSpan w:val="2"/>
            <w:vAlign w:val="center"/>
          </w:tcPr>
          <w:p w:rsidR="00A32067" w:rsidRPr="0002085C" w:rsidRDefault="00A32067" w:rsidP="00A32067">
            <w:pPr>
              <w:ind w:left="687" w:rightChars="-327" w:right="31680"/>
              <w:rPr>
                <w:kern w:val="0"/>
              </w:rPr>
            </w:pPr>
            <w:r w:rsidRPr="0002085C">
              <w:rPr>
                <w:rFonts w:cs="宋体" w:hint="eastAsia"/>
                <w:kern w:val="0"/>
              </w:rPr>
              <w:t>有机物含量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340" w:type="dxa"/>
            <w:gridSpan w:val="2"/>
            <w:vAlign w:val="center"/>
          </w:tcPr>
          <w:p w:rsidR="00A32067" w:rsidRPr="0002085C" w:rsidRDefault="00A32067" w:rsidP="0002085C">
            <w:pPr>
              <w:jc w:val="center"/>
              <w:rPr>
                <w:kern w:val="0"/>
              </w:rPr>
            </w:pPr>
            <w:r w:rsidRPr="0002085C">
              <w:rPr>
                <w:rFonts w:cs="宋体" w:hint="eastAsia"/>
                <w:kern w:val="0"/>
              </w:rPr>
              <w:t>软弱颗粒含量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340" w:type="dxa"/>
            <w:gridSpan w:val="2"/>
            <w:vAlign w:val="center"/>
          </w:tcPr>
          <w:p w:rsidR="00A32067" w:rsidRPr="0002085C" w:rsidRDefault="00A32067" w:rsidP="0002085C">
            <w:pPr>
              <w:jc w:val="center"/>
              <w:rPr>
                <w:kern w:val="0"/>
              </w:rPr>
            </w:pPr>
            <w:r w:rsidRPr="0002085C">
              <w:rPr>
                <w:rFonts w:cs="宋体" w:hint="eastAsia"/>
                <w:kern w:val="0"/>
              </w:rPr>
              <w:t>硫酸盐硫化物含量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磨光试验</w:t>
            </w:r>
          </w:p>
          <w:p w:rsidR="00A32067" w:rsidRPr="0002085C" w:rsidRDefault="00A32067" w:rsidP="0002085C">
            <w:pPr>
              <w:jc w:val="center"/>
              <w:rPr>
                <w:kern w:val="0"/>
              </w:rPr>
            </w:pPr>
            <w:r w:rsidRPr="0002085C">
              <w:rPr>
                <w:rFonts w:cs="宋体" w:hint="eastAsia"/>
                <w:kern w:val="0"/>
              </w:rPr>
              <w:t>冲击值</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压碎值</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磨耗值</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24"/>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石料</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1260" w:type="dxa"/>
            <w:gridSpan w:val="2"/>
            <w:vMerge w:val="restart"/>
            <w:vAlign w:val="center"/>
          </w:tcPr>
          <w:p w:rsidR="00A32067" w:rsidRPr="0002085C" w:rsidRDefault="00A32067" w:rsidP="0002085C">
            <w:pPr>
              <w:jc w:val="center"/>
              <w:rPr>
                <w:kern w:val="0"/>
              </w:rPr>
            </w:pPr>
            <w:r w:rsidRPr="0002085C">
              <w:rPr>
                <w:rFonts w:cs="宋体" w:hint="eastAsia"/>
                <w:kern w:val="0"/>
              </w:rPr>
              <w:t>密度</w:t>
            </w:r>
          </w:p>
        </w:tc>
        <w:tc>
          <w:tcPr>
            <w:tcW w:w="2160" w:type="dxa"/>
            <w:vAlign w:val="center"/>
          </w:tcPr>
          <w:p w:rsidR="00A32067" w:rsidRPr="0002085C" w:rsidRDefault="00A32067" w:rsidP="0002085C">
            <w:pPr>
              <w:jc w:val="center"/>
              <w:rPr>
                <w:kern w:val="0"/>
              </w:rPr>
            </w:pPr>
            <w:r w:rsidRPr="0002085C">
              <w:rPr>
                <w:rFonts w:cs="宋体" w:hint="eastAsia"/>
                <w:kern w:val="0"/>
              </w:rPr>
              <w:t>视密度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毛体积密度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表观密度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饱和面干密度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吸水率</w:t>
            </w:r>
          </w:p>
          <w:p w:rsidR="00A32067" w:rsidRPr="0002085C" w:rsidRDefault="00A32067" w:rsidP="0002085C">
            <w:pPr>
              <w:jc w:val="center"/>
              <w:rPr>
                <w:kern w:val="0"/>
              </w:rPr>
            </w:pPr>
            <w:r w:rsidRPr="0002085C">
              <w:rPr>
                <w:rFonts w:cs="宋体" w:hint="eastAsia"/>
                <w:kern w:val="0"/>
              </w:rPr>
              <w:t>含水率</w:t>
            </w:r>
          </w:p>
          <w:p w:rsidR="00A32067" w:rsidRPr="0002085C" w:rsidRDefault="00A32067" w:rsidP="0002085C">
            <w:pPr>
              <w:jc w:val="center"/>
              <w:rPr>
                <w:kern w:val="0"/>
              </w:rPr>
            </w:pPr>
            <w:r w:rsidRPr="0002085C">
              <w:rPr>
                <w:rFonts w:cs="宋体" w:hint="eastAsia"/>
                <w:kern w:val="0"/>
              </w:rPr>
              <w:t>饱水率（煮沸法）</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85</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式样制作</w:t>
            </w:r>
          </w:p>
        </w:tc>
        <w:tc>
          <w:tcPr>
            <w:tcW w:w="1296" w:type="dxa"/>
            <w:vAlign w:val="center"/>
          </w:tcPr>
          <w:p w:rsidR="00A32067" w:rsidRPr="0002085C" w:rsidRDefault="00A32067" w:rsidP="0002085C">
            <w:pPr>
              <w:jc w:val="center"/>
              <w:rPr>
                <w:kern w:val="0"/>
              </w:rPr>
            </w:pPr>
            <w:r w:rsidRPr="0002085C">
              <w:rPr>
                <w:rFonts w:cs="宋体" w:hint="eastAsia"/>
                <w:kern w:val="0"/>
              </w:rPr>
              <w:t>个</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磨耗率</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C03</w:t>
      </w:r>
      <w:r>
        <w:rPr>
          <w:rFonts w:ascii="Times New Roman" w:hAnsi="Times New Roman" w:hint="eastAsia"/>
          <w:b/>
          <w:bCs/>
          <w:kern w:val="2"/>
        </w:rPr>
        <w:t>～</w:t>
      </w:r>
      <w:r>
        <w:rPr>
          <w:rFonts w:ascii="Times New Roman" w:hAnsi="Times New Roman" w:cs="Times New Roman"/>
          <w:b/>
          <w:bCs/>
          <w:kern w:val="2"/>
        </w:rPr>
        <w:t>04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900"/>
        <w:gridCol w:w="180"/>
        <w:gridCol w:w="2340"/>
        <w:gridCol w:w="1296"/>
        <w:gridCol w:w="1701"/>
      </w:tblGrid>
      <w:tr w:rsidR="00A32067">
        <w:trPr>
          <w:trHeight w:val="635"/>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35"/>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石料</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坚固性（硫酸钠侵蚀法）</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225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单轴抗压强度</w:t>
            </w:r>
          </w:p>
          <w:p w:rsidR="00A32067" w:rsidRPr="0002085C" w:rsidRDefault="00A32067" w:rsidP="00A32067">
            <w:pPr>
              <w:ind w:rightChars="-327" w:right="31680"/>
              <w:rPr>
                <w:kern w:val="0"/>
              </w:rPr>
            </w:pPr>
            <w:r w:rsidRPr="0002085C">
              <w:rPr>
                <w:rFonts w:cs="宋体" w:hint="eastAsia"/>
                <w:kern w:val="0"/>
              </w:rPr>
              <w:t>间接抗拉强度（劈裂发）</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抗剪强度（含制样）</w:t>
            </w:r>
          </w:p>
          <w:p w:rsidR="00A32067" w:rsidRPr="0002085C" w:rsidRDefault="00A32067" w:rsidP="00A32067">
            <w:pPr>
              <w:ind w:rightChars="-327" w:right="31680"/>
              <w:rPr>
                <w:kern w:val="0"/>
              </w:rPr>
            </w:pPr>
            <w:r w:rsidRPr="0002085C">
              <w:rPr>
                <w:rFonts w:cs="宋体" w:hint="eastAsia"/>
                <w:kern w:val="0"/>
              </w:rPr>
              <w:t>抗折强度（含制样）</w:t>
            </w:r>
          </w:p>
          <w:p w:rsidR="00A32067" w:rsidRPr="0002085C" w:rsidRDefault="00A32067" w:rsidP="00A32067">
            <w:pPr>
              <w:ind w:rightChars="-327" w:right="31680"/>
              <w:rPr>
                <w:kern w:val="0"/>
              </w:rPr>
            </w:pPr>
            <w:r w:rsidRPr="0002085C">
              <w:rPr>
                <w:rFonts w:cs="宋体" w:hint="eastAsia"/>
                <w:kern w:val="0"/>
              </w:rPr>
              <w:t>抗冻性（直接冻融法）</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850</w:t>
            </w:r>
          </w:p>
        </w:tc>
      </w:tr>
      <w:tr w:rsidR="00A32067">
        <w:trPr>
          <w:trHeight w:val="635"/>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轻骨料</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1080" w:type="dxa"/>
            <w:gridSpan w:val="2"/>
            <w:vMerge w:val="restart"/>
            <w:vAlign w:val="center"/>
          </w:tcPr>
          <w:p w:rsidR="00A32067" w:rsidRPr="0002085C" w:rsidRDefault="00A32067" w:rsidP="00A32067">
            <w:pPr>
              <w:ind w:rightChars="-327" w:right="31680" w:firstLineChars="100" w:firstLine="31680"/>
              <w:rPr>
                <w:kern w:val="0"/>
              </w:rPr>
            </w:pPr>
            <w:r w:rsidRPr="0002085C">
              <w:rPr>
                <w:rFonts w:cs="宋体" w:hint="eastAsia"/>
                <w:kern w:val="0"/>
              </w:rPr>
              <w:t>密度</w:t>
            </w:r>
          </w:p>
        </w:tc>
        <w:tc>
          <w:tcPr>
            <w:tcW w:w="2340" w:type="dxa"/>
            <w:vAlign w:val="center"/>
          </w:tcPr>
          <w:p w:rsidR="00A32067" w:rsidRPr="0002085C" w:rsidRDefault="00A32067" w:rsidP="00A32067">
            <w:pPr>
              <w:ind w:rightChars="-327" w:right="31680"/>
              <w:rPr>
                <w:kern w:val="0"/>
              </w:rPr>
            </w:pPr>
            <w:r w:rsidRPr="0002085C">
              <w:rPr>
                <w:rFonts w:cs="宋体" w:hint="eastAsia"/>
                <w:kern w:val="0"/>
              </w:rPr>
              <w:t>堆积密度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gridSpan w:val="2"/>
            <w:vMerge/>
            <w:vAlign w:val="center"/>
          </w:tcPr>
          <w:p w:rsidR="00A32067" w:rsidRPr="0002085C" w:rsidRDefault="00A32067" w:rsidP="00A32067">
            <w:pPr>
              <w:ind w:rightChars="-327" w:right="31680"/>
              <w:rPr>
                <w:kern w:val="0"/>
              </w:rPr>
            </w:pPr>
          </w:p>
        </w:tc>
        <w:tc>
          <w:tcPr>
            <w:tcW w:w="2340" w:type="dxa"/>
            <w:vAlign w:val="center"/>
          </w:tcPr>
          <w:p w:rsidR="00A32067" w:rsidRPr="0002085C" w:rsidRDefault="00A32067" w:rsidP="00A32067">
            <w:pPr>
              <w:ind w:rightChars="-327" w:right="31680"/>
              <w:rPr>
                <w:kern w:val="0"/>
              </w:rPr>
            </w:pPr>
            <w:r w:rsidRPr="0002085C">
              <w:rPr>
                <w:rFonts w:cs="宋体" w:hint="eastAsia"/>
                <w:kern w:val="0"/>
              </w:rPr>
              <w:t>表观密度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颗粒级配</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筒压强度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pPr>
              <w:rPr>
                <w:kern w:val="0"/>
              </w:rPr>
            </w:pPr>
            <w:r w:rsidRPr="0002085C">
              <w:rPr>
                <w:rFonts w:cs="宋体" w:hint="eastAsia"/>
                <w:kern w:val="0"/>
              </w:rPr>
              <w:t>吸水率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pPr>
              <w:rPr>
                <w:kern w:val="0"/>
              </w:rPr>
            </w:pPr>
            <w:r w:rsidRPr="0002085C">
              <w:rPr>
                <w:rFonts w:cs="宋体" w:hint="eastAsia"/>
                <w:kern w:val="0"/>
              </w:rPr>
              <w:t>软化系数</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195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pPr>
              <w:rPr>
                <w:kern w:val="0"/>
              </w:rPr>
            </w:pPr>
            <w:r w:rsidRPr="0002085C">
              <w:rPr>
                <w:rFonts w:cs="宋体" w:hint="eastAsia"/>
                <w:kern w:val="0"/>
              </w:rPr>
              <w:t>抗冻性</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570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pPr>
              <w:rPr>
                <w:kern w:val="0"/>
              </w:rPr>
            </w:pPr>
            <w:r w:rsidRPr="0002085C">
              <w:rPr>
                <w:rFonts w:cs="宋体" w:hint="eastAsia"/>
                <w:kern w:val="0"/>
              </w:rPr>
              <w:t>坚固性</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restart"/>
            <w:vAlign w:val="center"/>
          </w:tcPr>
          <w:p w:rsidR="00A32067" w:rsidRPr="0002085C" w:rsidRDefault="00A32067">
            <w:pPr>
              <w:rPr>
                <w:kern w:val="0"/>
              </w:rPr>
            </w:pPr>
            <w:r w:rsidRPr="0002085C">
              <w:rPr>
                <w:rFonts w:cs="宋体" w:hint="eastAsia"/>
                <w:kern w:val="0"/>
              </w:rPr>
              <w:t>杂质含量</w:t>
            </w:r>
          </w:p>
        </w:tc>
        <w:tc>
          <w:tcPr>
            <w:tcW w:w="2520" w:type="dxa"/>
            <w:gridSpan w:val="2"/>
            <w:vAlign w:val="center"/>
          </w:tcPr>
          <w:p w:rsidR="00A32067" w:rsidRPr="0002085C" w:rsidRDefault="00A32067">
            <w:pPr>
              <w:rPr>
                <w:kern w:val="0"/>
              </w:rPr>
            </w:pPr>
            <w:r w:rsidRPr="0002085C">
              <w:rPr>
                <w:rFonts w:cs="宋体" w:hint="eastAsia"/>
                <w:kern w:val="0"/>
              </w:rPr>
              <w:t>煮沸质量损失</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铁分解重量损失</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三氧化硫含量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氯盐含量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含泥量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烧失量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有机物含量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145</w:t>
            </w:r>
          </w:p>
        </w:tc>
      </w:tr>
      <w:tr w:rsidR="00A32067">
        <w:trPr>
          <w:trHeight w:val="63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900" w:type="dxa"/>
            <w:vMerge/>
            <w:vAlign w:val="center"/>
          </w:tcPr>
          <w:p w:rsidR="00A32067" w:rsidRPr="0002085C" w:rsidRDefault="00A32067">
            <w:pPr>
              <w:rPr>
                <w:kern w:val="0"/>
              </w:rPr>
            </w:pPr>
          </w:p>
        </w:tc>
        <w:tc>
          <w:tcPr>
            <w:tcW w:w="2520" w:type="dxa"/>
            <w:gridSpan w:val="2"/>
            <w:vAlign w:val="center"/>
          </w:tcPr>
          <w:p w:rsidR="00A32067" w:rsidRPr="0002085C" w:rsidRDefault="00A32067">
            <w:pPr>
              <w:rPr>
                <w:kern w:val="0"/>
              </w:rPr>
            </w:pPr>
            <w:r w:rsidRPr="0002085C">
              <w:rPr>
                <w:rFonts w:cs="宋体" w:hint="eastAsia"/>
                <w:kern w:val="0"/>
              </w:rPr>
              <w:t>异类岩石颗粒含量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bl>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C04</w:t>
      </w:r>
      <w:r>
        <w:rPr>
          <w:rFonts w:ascii="Times New Roman" w:hAnsi="Times New Roman" w:hint="eastAsia"/>
          <w:b/>
          <w:bCs/>
          <w:kern w:val="2"/>
        </w:rPr>
        <w:t>～</w:t>
      </w:r>
      <w:r>
        <w:rPr>
          <w:rFonts w:ascii="Times New Roman" w:hAnsi="Times New Roman" w:cs="Times New Roman"/>
          <w:b/>
          <w:bCs/>
          <w:kern w:val="2"/>
        </w:rPr>
        <w:t>07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260"/>
        <w:gridCol w:w="2160"/>
        <w:gridCol w:w="1296"/>
        <w:gridCol w:w="1701"/>
      </w:tblGrid>
      <w:tr w:rsidR="00A32067">
        <w:trPr>
          <w:trHeight w:val="567"/>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567"/>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轻骨料</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粒型系数</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颗粒强度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567"/>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配合比</w:t>
            </w:r>
          </w:p>
        </w:tc>
        <w:tc>
          <w:tcPr>
            <w:tcW w:w="1260" w:type="dxa"/>
            <w:vMerge w:val="restart"/>
            <w:vAlign w:val="center"/>
          </w:tcPr>
          <w:p w:rsidR="00A32067" w:rsidRPr="0002085C" w:rsidRDefault="00A32067" w:rsidP="0002085C">
            <w:pPr>
              <w:jc w:val="center"/>
              <w:rPr>
                <w:kern w:val="0"/>
              </w:rPr>
            </w:pPr>
            <w:r w:rsidRPr="0002085C">
              <w:rPr>
                <w:kern w:val="0"/>
              </w:rPr>
              <w:t>05</w:t>
            </w:r>
          </w:p>
        </w:tc>
        <w:tc>
          <w:tcPr>
            <w:tcW w:w="1260" w:type="dxa"/>
            <w:vMerge w:val="restart"/>
            <w:vAlign w:val="center"/>
          </w:tcPr>
          <w:p w:rsidR="00A32067" w:rsidRPr="0002085C" w:rsidRDefault="00A32067" w:rsidP="00A32067">
            <w:pPr>
              <w:ind w:rightChars="-327" w:right="31680"/>
              <w:rPr>
                <w:kern w:val="0"/>
              </w:rPr>
            </w:pPr>
            <w:r w:rsidRPr="0002085C">
              <w:rPr>
                <w:rFonts w:cs="宋体" w:hint="eastAsia"/>
                <w:kern w:val="0"/>
              </w:rPr>
              <w:t>配合比设计</w:t>
            </w:r>
          </w:p>
        </w:tc>
        <w:tc>
          <w:tcPr>
            <w:tcW w:w="2160" w:type="dxa"/>
            <w:vAlign w:val="center"/>
          </w:tcPr>
          <w:p w:rsidR="00A32067" w:rsidRPr="0002085C" w:rsidRDefault="00A32067" w:rsidP="00A32067">
            <w:pPr>
              <w:ind w:left="507" w:rightChars="-327" w:right="31680"/>
              <w:rPr>
                <w:kern w:val="0"/>
              </w:rPr>
            </w:pPr>
            <w:r w:rsidRPr="0002085C">
              <w:rPr>
                <w:rFonts w:cs="宋体" w:hint="eastAsia"/>
                <w:kern w:val="0"/>
              </w:rPr>
              <w:t>普通混凝土</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个</w:t>
            </w:r>
          </w:p>
        </w:tc>
        <w:tc>
          <w:tcPr>
            <w:tcW w:w="1701" w:type="dxa"/>
            <w:vAlign w:val="center"/>
          </w:tcPr>
          <w:p w:rsidR="00A32067" w:rsidRPr="0002085C" w:rsidRDefault="00A32067" w:rsidP="0002085C">
            <w:pPr>
              <w:jc w:val="center"/>
              <w:rPr>
                <w:kern w:val="0"/>
              </w:rPr>
            </w:pPr>
            <w:r w:rsidRPr="0002085C">
              <w:rPr>
                <w:kern w:val="0"/>
              </w:rPr>
              <w:t>455</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A32067">
            <w:pPr>
              <w:ind w:rightChars="-327" w:right="31680" w:firstLineChars="450" w:firstLine="31680"/>
              <w:rPr>
                <w:kern w:val="0"/>
              </w:rPr>
            </w:pPr>
          </w:p>
        </w:tc>
        <w:tc>
          <w:tcPr>
            <w:tcW w:w="2160" w:type="dxa"/>
            <w:vAlign w:val="center"/>
          </w:tcPr>
          <w:p w:rsidR="00A32067" w:rsidRPr="0002085C" w:rsidRDefault="00A32067" w:rsidP="00A32067">
            <w:pPr>
              <w:ind w:rightChars="-327" w:right="31680" w:firstLineChars="150" w:firstLine="31680"/>
              <w:rPr>
                <w:kern w:val="0"/>
              </w:rPr>
            </w:pPr>
            <w:r w:rsidRPr="0002085C">
              <w:rPr>
                <w:rFonts w:cs="宋体" w:hint="eastAsia"/>
                <w:kern w:val="0"/>
              </w:rPr>
              <w:t>掺粉煤灰混凝土</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A32067">
            <w:pPr>
              <w:ind w:rightChars="-327" w:right="31680"/>
              <w:rPr>
                <w:kern w:val="0"/>
              </w:rPr>
            </w:pPr>
          </w:p>
        </w:tc>
        <w:tc>
          <w:tcPr>
            <w:tcW w:w="2160" w:type="dxa"/>
            <w:vAlign w:val="center"/>
          </w:tcPr>
          <w:p w:rsidR="00A32067" w:rsidRPr="0002085C" w:rsidRDefault="00A32067" w:rsidP="00A32067">
            <w:pPr>
              <w:ind w:rightChars="-327" w:right="31680" w:firstLineChars="150" w:firstLine="31680"/>
              <w:rPr>
                <w:kern w:val="0"/>
              </w:rPr>
            </w:pPr>
            <w:r w:rsidRPr="0002085C">
              <w:rPr>
                <w:rFonts w:cs="宋体" w:hint="eastAsia"/>
                <w:kern w:val="0"/>
              </w:rPr>
              <w:t>掺外加剂混凝土</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520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A32067">
            <w:pPr>
              <w:ind w:rightChars="-327" w:right="31680"/>
              <w:rPr>
                <w:kern w:val="0"/>
              </w:rPr>
            </w:pPr>
          </w:p>
        </w:tc>
        <w:tc>
          <w:tcPr>
            <w:tcW w:w="2160" w:type="dxa"/>
            <w:vAlign w:val="center"/>
          </w:tcPr>
          <w:p w:rsidR="00A32067" w:rsidRPr="0002085C" w:rsidRDefault="00A32067" w:rsidP="00A32067">
            <w:pPr>
              <w:ind w:left="507" w:rightChars="-327" w:right="31680"/>
              <w:rPr>
                <w:kern w:val="0"/>
              </w:rPr>
            </w:pPr>
            <w:r w:rsidRPr="0002085C">
              <w:rPr>
                <w:rFonts w:cs="宋体" w:hint="eastAsia"/>
                <w:kern w:val="0"/>
              </w:rPr>
              <w:t>特种混凝土</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A32067">
            <w:pPr>
              <w:ind w:rightChars="-327" w:right="31680"/>
              <w:rPr>
                <w:kern w:val="0"/>
              </w:rPr>
            </w:pPr>
          </w:p>
        </w:tc>
        <w:tc>
          <w:tcPr>
            <w:tcW w:w="2160" w:type="dxa"/>
            <w:vAlign w:val="center"/>
          </w:tcPr>
          <w:p w:rsidR="00A32067" w:rsidRPr="0002085C" w:rsidRDefault="00A32067" w:rsidP="00A32067">
            <w:pPr>
              <w:ind w:left="507" w:rightChars="-327" w:right="31680"/>
              <w:rPr>
                <w:kern w:val="0"/>
              </w:rPr>
            </w:pPr>
            <w:r w:rsidRPr="0002085C">
              <w:rPr>
                <w:rFonts w:cs="宋体" w:hint="eastAsia"/>
                <w:kern w:val="0"/>
              </w:rPr>
              <w:t>防水</w:t>
            </w:r>
            <w:r w:rsidRPr="0002085C">
              <w:rPr>
                <w:kern w:val="0"/>
              </w:rPr>
              <w:t>≤P6</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840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防水</w:t>
            </w:r>
            <w:r w:rsidRPr="0002085C">
              <w:rPr>
                <w:kern w:val="0"/>
              </w:rPr>
              <w:t>≥P8</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抗冻</w:t>
            </w:r>
            <w:r w:rsidRPr="0002085C">
              <w:rPr>
                <w:kern w:val="0"/>
              </w:rPr>
              <w:t>≤F50</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抗冻</w:t>
            </w:r>
            <w:r w:rsidRPr="0002085C">
              <w:rPr>
                <w:kern w:val="0"/>
              </w:rPr>
              <w:t>≥F100</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4750</w:t>
            </w:r>
          </w:p>
        </w:tc>
      </w:tr>
      <w:tr w:rsidR="00A32067">
        <w:trPr>
          <w:trHeight w:val="567"/>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砼拌合物</w:t>
            </w:r>
          </w:p>
        </w:tc>
        <w:tc>
          <w:tcPr>
            <w:tcW w:w="1260" w:type="dxa"/>
            <w:vMerge w:val="restart"/>
            <w:vAlign w:val="center"/>
          </w:tcPr>
          <w:p w:rsidR="00A32067" w:rsidRPr="0002085C" w:rsidRDefault="00A32067" w:rsidP="0002085C">
            <w:pPr>
              <w:jc w:val="center"/>
              <w:rPr>
                <w:kern w:val="0"/>
              </w:rPr>
            </w:pPr>
            <w:r w:rsidRPr="0002085C">
              <w:rPr>
                <w:kern w:val="0"/>
              </w:rPr>
              <w:t>06</w:t>
            </w:r>
          </w:p>
        </w:tc>
        <w:tc>
          <w:tcPr>
            <w:tcW w:w="3420" w:type="dxa"/>
            <w:gridSpan w:val="2"/>
            <w:vAlign w:val="center"/>
          </w:tcPr>
          <w:p w:rsidR="00A32067" w:rsidRPr="0002085C" w:rsidRDefault="00A32067">
            <w:pPr>
              <w:rPr>
                <w:kern w:val="0"/>
              </w:rPr>
            </w:pPr>
            <w:r w:rsidRPr="0002085C">
              <w:rPr>
                <w:rFonts w:cs="宋体" w:hint="eastAsia"/>
                <w:kern w:val="0"/>
              </w:rPr>
              <w:t>稠度（塌落度）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堆积密度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含气量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水灰比分析</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567"/>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砼力学性能</w:t>
            </w:r>
          </w:p>
        </w:tc>
        <w:tc>
          <w:tcPr>
            <w:tcW w:w="1260" w:type="dxa"/>
            <w:vMerge w:val="restart"/>
            <w:vAlign w:val="center"/>
          </w:tcPr>
          <w:p w:rsidR="00A32067" w:rsidRPr="0002085C" w:rsidRDefault="00A32067" w:rsidP="0002085C">
            <w:pPr>
              <w:jc w:val="center"/>
              <w:rPr>
                <w:kern w:val="0"/>
              </w:rPr>
            </w:pPr>
            <w:r w:rsidRPr="0002085C">
              <w:rPr>
                <w:kern w:val="0"/>
              </w:rPr>
              <w:t>07</w:t>
            </w: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立方体试件制做</w:t>
            </w:r>
          </w:p>
        </w:tc>
        <w:tc>
          <w:tcPr>
            <w:tcW w:w="2160" w:type="dxa"/>
            <w:vAlign w:val="center"/>
          </w:tcPr>
          <w:p w:rsidR="00A32067" w:rsidRPr="0002085C" w:rsidRDefault="00A32067" w:rsidP="0002085C">
            <w:pPr>
              <w:jc w:val="center"/>
              <w:rPr>
                <w:kern w:val="0"/>
              </w:rPr>
            </w:pPr>
            <w:r w:rsidRPr="0002085C">
              <w:rPr>
                <w:kern w:val="0"/>
              </w:rPr>
              <w:t>100mm</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kern w:val="0"/>
              </w:rPr>
              <w:t>150mm</w:t>
            </w:r>
            <w:r w:rsidRPr="0002085C">
              <w:rPr>
                <w:rFonts w:cs="宋体" w:hint="eastAsia"/>
                <w:kern w:val="0"/>
              </w:rPr>
              <w:t>以上</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立方体试件破型</w:t>
            </w:r>
          </w:p>
        </w:tc>
        <w:tc>
          <w:tcPr>
            <w:tcW w:w="2160" w:type="dxa"/>
            <w:vAlign w:val="center"/>
          </w:tcPr>
          <w:p w:rsidR="00A32067" w:rsidRPr="0002085C" w:rsidRDefault="00A32067" w:rsidP="0002085C">
            <w:pPr>
              <w:jc w:val="center"/>
              <w:rPr>
                <w:kern w:val="0"/>
              </w:rPr>
            </w:pPr>
            <w:r w:rsidRPr="0002085C">
              <w:rPr>
                <w:kern w:val="0"/>
              </w:rPr>
              <w:t>100mm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kern w:val="0"/>
              </w:rPr>
              <w:t>150mm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kern w:val="0"/>
              </w:rPr>
              <w:t>200mm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轴心抗压试件破型</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静弹性模量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567"/>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pPr>
              <w:rPr>
                <w:kern w:val="0"/>
              </w:rPr>
            </w:pPr>
            <w:r w:rsidRPr="0002085C">
              <w:rPr>
                <w:rFonts w:cs="宋体" w:hint="eastAsia"/>
                <w:kern w:val="0"/>
              </w:rPr>
              <w:t>动弹性模量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C07</w:t>
      </w:r>
      <w:r>
        <w:rPr>
          <w:rFonts w:ascii="Times New Roman" w:hAnsi="Times New Roman" w:hint="eastAsia"/>
          <w:b/>
          <w:bCs/>
          <w:kern w:val="2"/>
        </w:rPr>
        <w:t>～</w:t>
      </w:r>
      <w:r>
        <w:rPr>
          <w:rFonts w:ascii="Times New Roman" w:hAnsi="Times New Roman" w:cs="Times New Roman"/>
          <w:b/>
          <w:bCs/>
          <w:kern w:val="2"/>
        </w:rPr>
        <w:t>09</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620"/>
        <w:gridCol w:w="1800"/>
        <w:gridCol w:w="1296"/>
        <w:gridCol w:w="1701"/>
      </w:tblGrid>
      <w:tr w:rsidR="00A32067">
        <w:trPr>
          <w:trHeight w:val="539"/>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53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砼力学性能</w:t>
            </w:r>
          </w:p>
        </w:tc>
        <w:tc>
          <w:tcPr>
            <w:tcW w:w="1260" w:type="dxa"/>
            <w:vMerge w:val="restart"/>
            <w:vAlign w:val="center"/>
          </w:tcPr>
          <w:p w:rsidR="00A32067" w:rsidRPr="0002085C" w:rsidRDefault="00A32067" w:rsidP="0002085C">
            <w:pPr>
              <w:jc w:val="center"/>
              <w:rPr>
                <w:kern w:val="0"/>
              </w:rPr>
            </w:pPr>
            <w:r w:rsidRPr="0002085C">
              <w:rPr>
                <w:kern w:val="0"/>
              </w:rPr>
              <w:t>07</w:t>
            </w:r>
          </w:p>
        </w:tc>
        <w:tc>
          <w:tcPr>
            <w:tcW w:w="3420" w:type="dxa"/>
            <w:gridSpan w:val="2"/>
            <w:vAlign w:val="center"/>
          </w:tcPr>
          <w:p w:rsidR="00A32067" w:rsidRPr="0002085C" w:rsidRDefault="00A32067" w:rsidP="00A32067">
            <w:pPr>
              <w:ind w:left="570" w:rightChars="-327" w:right="31680"/>
              <w:rPr>
                <w:kern w:val="0"/>
              </w:rPr>
            </w:pPr>
            <w:r w:rsidRPr="0002085C">
              <w:rPr>
                <w:rFonts w:cs="宋体" w:hint="eastAsia"/>
                <w:kern w:val="0"/>
              </w:rPr>
              <w:t>劈裂抗拉试件破型</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left="150" w:rightChars="-327" w:right="31680"/>
              <w:rPr>
                <w:kern w:val="0"/>
              </w:rPr>
            </w:pPr>
            <w:r w:rsidRPr="0002085C">
              <w:rPr>
                <w:rFonts w:cs="宋体" w:hint="eastAsia"/>
                <w:kern w:val="0"/>
              </w:rPr>
              <w:t>抗折试件制做</w:t>
            </w:r>
          </w:p>
          <w:p w:rsidR="00A32067" w:rsidRPr="0002085C" w:rsidRDefault="00A32067" w:rsidP="00A32067">
            <w:pPr>
              <w:ind w:leftChars="71" w:left="31680" w:rightChars="-327" w:right="31680" w:firstLineChars="400" w:firstLine="31680"/>
              <w:rPr>
                <w:kern w:val="0"/>
              </w:rPr>
            </w:pPr>
            <w:r w:rsidRPr="0002085C">
              <w:rPr>
                <w:rFonts w:cs="宋体" w:hint="eastAsia"/>
                <w:kern w:val="0"/>
              </w:rPr>
              <w:t>砼抗折试件破型</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试件养护</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53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砼耐久性能</w:t>
            </w:r>
          </w:p>
        </w:tc>
        <w:tc>
          <w:tcPr>
            <w:tcW w:w="1260" w:type="dxa"/>
            <w:vMerge w:val="restart"/>
            <w:vAlign w:val="center"/>
          </w:tcPr>
          <w:p w:rsidR="00A32067" w:rsidRPr="0002085C" w:rsidRDefault="00A32067" w:rsidP="0002085C">
            <w:pPr>
              <w:jc w:val="center"/>
              <w:rPr>
                <w:kern w:val="0"/>
              </w:rPr>
            </w:pPr>
            <w:r w:rsidRPr="0002085C">
              <w:rPr>
                <w:kern w:val="0"/>
              </w:rPr>
              <w:t>08</w:t>
            </w:r>
          </w:p>
        </w:tc>
        <w:tc>
          <w:tcPr>
            <w:tcW w:w="1620" w:type="dxa"/>
            <w:vMerge w:val="restart"/>
            <w:vAlign w:val="center"/>
          </w:tcPr>
          <w:p w:rsidR="00A32067" w:rsidRPr="0002085C" w:rsidRDefault="00A32067" w:rsidP="00A32067">
            <w:pPr>
              <w:ind w:rightChars="-327" w:right="31680"/>
              <w:rPr>
                <w:kern w:val="0"/>
              </w:rPr>
            </w:pPr>
            <w:r w:rsidRPr="0002085C">
              <w:rPr>
                <w:rFonts w:cs="宋体" w:hint="eastAsia"/>
                <w:kern w:val="0"/>
              </w:rPr>
              <w:t>抗冻（慢冻法）</w:t>
            </w:r>
          </w:p>
        </w:tc>
        <w:tc>
          <w:tcPr>
            <w:tcW w:w="1800" w:type="dxa"/>
            <w:vAlign w:val="center"/>
          </w:tcPr>
          <w:p w:rsidR="00A32067" w:rsidRPr="0002085C" w:rsidRDefault="00A32067" w:rsidP="00A32067">
            <w:pPr>
              <w:ind w:rightChars="-327" w:right="31680" w:firstLineChars="200" w:firstLine="31680"/>
              <w:rPr>
                <w:kern w:val="0"/>
              </w:rPr>
            </w:pPr>
            <w:r w:rsidRPr="0002085C">
              <w:rPr>
                <w:kern w:val="0"/>
              </w:rPr>
              <w:t>≤F25</w:t>
            </w:r>
          </w:p>
        </w:tc>
        <w:tc>
          <w:tcPr>
            <w:tcW w:w="1296" w:type="dxa"/>
            <w:vMerge w:val="restart"/>
            <w:vAlign w:val="center"/>
          </w:tcPr>
          <w:p w:rsidR="00A32067" w:rsidRPr="0002085C" w:rsidRDefault="00A32067" w:rsidP="0002085C">
            <w:pPr>
              <w:jc w:val="center"/>
              <w:rPr>
                <w:kern w:val="0"/>
              </w:rPr>
            </w:pPr>
            <w:r w:rsidRPr="0002085C">
              <w:rPr>
                <w:kern w:val="0"/>
              </w:rPr>
              <w:t>3</w:t>
            </w: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2100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A32067">
            <w:pPr>
              <w:ind w:rightChars="-327" w:right="31680"/>
              <w:rPr>
                <w:kern w:val="0"/>
              </w:rPr>
            </w:pPr>
          </w:p>
        </w:tc>
        <w:tc>
          <w:tcPr>
            <w:tcW w:w="1800" w:type="dxa"/>
            <w:vAlign w:val="center"/>
          </w:tcPr>
          <w:p w:rsidR="00A32067" w:rsidRPr="0002085C" w:rsidRDefault="00A32067" w:rsidP="00A32067">
            <w:pPr>
              <w:ind w:leftChars="70" w:left="31680" w:rightChars="-327" w:right="31680" w:firstLineChars="150" w:firstLine="31680"/>
              <w:rPr>
                <w:kern w:val="0"/>
              </w:rPr>
            </w:pPr>
            <w:r w:rsidRPr="0002085C">
              <w:rPr>
                <w:kern w:val="0"/>
              </w:rPr>
              <w:t>≤F50</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2700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A32067">
            <w:pPr>
              <w:ind w:rightChars="-327" w:right="31680"/>
              <w:rPr>
                <w:kern w:val="0"/>
              </w:rPr>
            </w:pPr>
          </w:p>
        </w:tc>
        <w:tc>
          <w:tcPr>
            <w:tcW w:w="1800" w:type="dxa"/>
            <w:vAlign w:val="center"/>
          </w:tcPr>
          <w:p w:rsidR="00A32067" w:rsidRPr="0002085C" w:rsidRDefault="00A32067" w:rsidP="00A32067">
            <w:pPr>
              <w:ind w:leftChars="70" w:left="31680" w:rightChars="-327" w:right="31680" w:firstLineChars="150" w:firstLine="31680"/>
              <w:rPr>
                <w:kern w:val="0"/>
              </w:rPr>
            </w:pPr>
            <w:r w:rsidRPr="0002085C">
              <w:rPr>
                <w:kern w:val="0"/>
              </w:rPr>
              <w:t>≤F100</w:t>
            </w:r>
          </w:p>
        </w:tc>
        <w:tc>
          <w:tcPr>
            <w:tcW w:w="1296" w:type="dxa"/>
            <w:vMerge w:val="restart"/>
            <w:vAlign w:val="center"/>
          </w:tcPr>
          <w:p w:rsidR="00A32067" w:rsidRPr="0002085C" w:rsidRDefault="00A32067" w:rsidP="0002085C">
            <w:pPr>
              <w:jc w:val="center"/>
              <w:rPr>
                <w:kern w:val="0"/>
              </w:rPr>
            </w:pPr>
            <w:r w:rsidRPr="0002085C">
              <w:rPr>
                <w:kern w:val="0"/>
              </w:rPr>
              <w:t>5</w:t>
            </w: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4200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A32067">
            <w:pPr>
              <w:ind w:rightChars="-327" w:right="31680"/>
              <w:rPr>
                <w:kern w:val="0"/>
              </w:rPr>
            </w:pPr>
          </w:p>
        </w:tc>
        <w:tc>
          <w:tcPr>
            <w:tcW w:w="1800" w:type="dxa"/>
            <w:vAlign w:val="center"/>
          </w:tcPr>
          <w:p w:rsidR="00A32067" w:rsidRPr="0002085C" w:rsidRDefault="00A32067" w:rsidP="00A32067">
            <w:pPr>
              <w:ind w:leftChars="70" w:left="31680" w:rightChars="-327" w:right="31680" w:firstLineChars="150" w:firstLine="31680"/>
              <w:rPr>
                <w:kern w:val="0"/>
              </w:rPr>
            </w:pPr>
            <w:r w:rsidRPr="0002085C">
              <w:rPr>
                <w:rFonts w:cs="宋体" w:hint="eastAsia"/>
                <w:kern w:val="0"/>
              </w:rPr>
              <w:t>＞</w:t>
            </w:r>
            <w:r w:rsidRPr="0002085C">
              <w:rPr>
                <w:kern w:val="0"/>
              </w:rPr>
              <w:t>F100</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5200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restart"/>
            <w:vAlign w:val="center"/>
          </w:tcPr>
          <w:p w:rsidR="00A32067" w:rsidRPr="0002085C" w:rsidRDefault="00A32067" w:rsidP="0002085C">
            <w:pPr>
              <w:jc w:val="center"/>
              <w:rPr>
                <w:kern w:val="0"/>
              </w:rPr>
            </w:pPr>
            <w:r w:rsidRPr="0002085C">
              <w:rPr>
                <w:rFonts w:cs="宋体" w:hint="eastAsia"/>
                <w:kern w:val="0"/>
              </w:rPr>
              <w:t>抗渗</w:t>
            </w:r>
          </w:p>
        </w:tc>
        <w:tc>
          <w:tcPr>
            <w:tcW w:w="1800" w:type="dxa"/>
            <w:vAlign w:val="center"/>
          </w:tcPr>
          <w:p w:rsidR="00A32067" w:rsidRPr="0002085C" w:rsidRDefault="00A32067" w:rsidP="0002085C">
            <w:pPr>
              <w:jc w:val="center"/>
              <w:rPr>
                <w:kern w:val="0"/>
              </w:rPr>
            </w:pPr>
            <w:r w:rsidRPr="0002085C">
              <w:rPr>
                <w:kern w:val="0"/>
              </w:rPr>
              <w:t>≤P6</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rFonts w:cs="宋体" w:hint="eastAsia"/>
                <w:kern w:val="0"/>
              </w:rPr>
              <w:t>＞</w:t>
            </w:r>
            <w:r w:rsidRPr="0002085C">
              <w:rPr>
                <w:kern w:val="0"/>
              </w:rPr>
              <w:t>P6</w:t>
            </w:r>
          </w:p>
        </w:tc>
        <w:tc>
          <w:tcPr>
            <w:tcW w:w="1296" w:type="dxa"/>
            <w:vAlign w:val="center"/>
          </w:tcPr>
          <w:p w:rsidR="00A32067" w:rsidRPr="0002085C" w:rsidRDefault="00A32067" w:rsidP="0002085C">
            <w:pPr>
              <w:jc w:val="center"/>
              <w:rPr>
                <w:kern w:val="0"/>
              </w:rPr>
            </w:pPr>
            <w:r w:rsidRPr="0002085C">
              <w:rPr>
                <w:rFonts w:ascii="Cambria Math" w:hAnsi="Cambria Math" w:cs="Cambria Math"/>
                <w:kern w:val="0"/>
              </w:rPr>
              <w:t>△</w:t>
            </w:r>
            <w:r w:rsidRPr="0002085C">
              <w:rPr>
                <w:kern w:val="0"/>
              </w:rPr>
              <w:t>P1/</w:t>
            </w: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restart"/>
            <w:vAlign w:val="center"/>
          </w:tcPr>
          <w:p w:rsidR="00A32067" w:rsidRPr="0002085C" w:rsidRDefault="00A32067" w:rsidP="0002085C">
            <w:pPr>
              <w:jc w:val="center"/>
              <w:rPr>
                <w:kern w:val="0"/>
              </w:rPr>
            </w:pPr>
            <w:r w:rsidRPr="0002085C">
              <w:rPr>
                <w:rFonts w:cs="宋体" w:hint="eastAsia"/>
                <w:kern w:val="0"/>
              </w:rPr>
              <w:t>收缩</w:t>
            </w:r>
          </w:p>
        </w:tc>
        <w:tc>
          <w:tcPr>
            <w:tcW w:w="1800" w:type="dxa"/>
            <w:vAlign w:val="center"/>
          </w:tcPr>
          <w:p w:rsidR="00A32067" w:rsidRPr="0002085C" w:rsidRDefault="00A32067" w:rsidP="0002085C">
            <w:pPr>
              <w:jc w:val="center"/>
              <w:rPr>
                <w:kern w:val="0"/>
              </w:rPr>
            </w:pPr>
            <w:r w:rsidRPr="0002085C">
              <w:rPr>
                <w:kern w:val="0"/>
              </w:rPr>
              <w:t>515mm</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2400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kern w:val="0"/>
              </w:rPr>
              <w:t>≤200mm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受压徐变（</w:t>
            </w:r>
            <w:r w:rsidRPr="0002085C">
              <w:rPr>
                <w:kern w:val="0"/>
              </w:rPr>
              <w:t>360d</w:t>
            </w:r>
            <w:r w:rsidRPr="0002085C">
              <w:rPr>
                <w:rFonts w:cs="宋体" w:hint="eastAsia"/>
                <w:kern w:val="0"/>
              </w:rPr>
              <w:t>）</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碳化</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钢筋锈蚀</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Merge w:val="restart"/>
            <w:vAlign w:val="center"/>
          </w:tcPr>
          <w:p w:rsidR="00A32067" w:rsidRPr="0002085C" w:rsidRDefault="00A32067" w:rsidP="0002085C">
            <w:pPr>
              <w:jc w:val="center"/>
              <w:rPr>
                <w:kern w:val="0"/>
              </w:rPr>
            </w:pPr>
            <w:r w:rsidRPr="0002085C">
              <w:rPr>
                <w:rFonts w:cs="宋体" w:hint="eastAsia"/>
                <w:kern w:val="0"/>
              </w:rPr>
              <w:t>抗压疲劳（</w:t>
            </w:r>
            <w:r w:rsidRPr="0002085C">
              <w:rPr>
                <w:kern w:val="0"/>
              </w:rPr>
              <w:t>200</w:t>
            </w:r>
            <w:r w:rsidRPr="0002085C">
              <w:rPr>
                <w:rFonts w:cs="宋体" w:hint="eastAsia"/>
                <w:kern w:val="0"/>
              </w:rPr>
              <w:t>万次）</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1080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Merge/>
            <w:vAlign w:val="center"/>
          </w:tcPr>
          <w:p w:rsidR="00A32067" w:rsidRPr="0002085C" w:rsidRDefault="00A32067" w:rsidP="0002085C">
            <w:pPr>
              <w:jc w:val="center"/>
              <w:rPr>
                <w:kern w:val="0"/>
              </w:rPr>
            </w:pPr>
          </w:p>
        </w:tc>
        <w:tc>
          <w:tcPr>
            <w:tcW w:w="1296" w:type="dxa"/>
            <w:vAlign w:val="center"/>
          </w:tcPr>
          <w:p w:rsidR="00A32067" w:rsidRPr="0002085C" w:rsidRDefault="00A32067" w:rsidP="0002085C">
            <w:pPr>
              <w:jc w:val="center"/>
              <w:rPr>
                <w:kern w:val="0"/>
              </w:rPr>
            </w:pPr>
            <w:r w:rsidRPr="0002085C">
              <w:rPr>
                <w:kern w:val="0"/>
              </w:rPr>
              <w:t>8h</w:t>
            </w:r>
            <w:r w:rsidRPr="0002085C">
              <w:rPr>
                <w:rFonts w:cs="宋体" w:hint="eastAsia"/>
                <w:kern w:val="0"/>
              </w:rPr>
              <w:t>件</w:t>
            </w:r>
          </w:p>
        </w:tc>
        <w:tc>
          <w:tcPr>
            <w:tcW w:w="1701" w:type="dxa"/>
            <w:vAlign w:val="center"/>
          </w:tcPr>
          <w:p w:rsidR="00A32067" w:rsidRPr="0002085C" w:rsidRDefault="00A32067" w:rsidP="00A32067">
            <w:pPr>
              <w:ind w:firstLineChars="300" w:firstLine="31680"/>
              <w:rPr>
                <w:kern w:val="0"/>
              </w:rPr>
            </w:pPr>
            <w:r w:rsidRPr="0002085C">
              <w:rPr>
                <w:kern w:val="0"/>
              </w:rPr>
              <w:t>10</w:t>
            </w:r>
          </w:p>
        </w:tc>
      </w:tr>
      <w:tr w:rsidR="00A32067">
        <w:trPr>
          <w:trHeight w:val="53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耐热砼</w:t>
            </w:r>
          </w:p>
        </w:tc>
        <w:tc>
          <w:tcPr>
            <w:tcW w:w="1260" w:type="dxa"/>
            <w:vMerge w:val="restart"/>
            <w:vAlign w:val="center"/>
          </w:tcPr>
          <w:p w:rsidR="00A32067" w:rsidRPr="0002085C" w:rsidRDefault="00A32067" w:rsidP="0002085C">
            <w:pPr>
              <w:jc w:val="center"/>
              <w:rPr>
                <w:kern w:val="0"/>
              </w:rPr>
            </w:pPr>
            <w:r w:rsidRPr="0002085C">
              <w:rPr>
                <w:kern w:val="0"/>
              </w:rPr>
              <w:t>09</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握裹力</w:t>
            </w:r>
          </w:p>
          <w:p w:rsidR="00A32067" w:rsidRPr="0002085C" w:rsidRDefault="00A32067" w:rsidP="0002085C">
            <w:pPr>
              <w:jc w:val="center"/>
              <w:rPr>
                <w:kern w:val="0"/>
              </w:rPr>
            </w:pPr>
            <w:r w:rsidRPr="0002085C">
              <w:rPr>
                <w:rFonts w:cs="宋体" w:hint="eastAsia"/>
                <w:kern w:val="0"/>
              </w:rPr>
              <w:t>线膨胀系数</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420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导热系数</w:t>
            </w:r>
          </w:p>
          <w:p w:rsidR="00A32067" w:rsidRPr="0002085C" w:rsidRDefault="00A32067" w:rsidP="0002085C">
            <w:pPr>
              <w:jc w:val="center"/>
              <w:rPr>
                <w:kern w:val="0"/>
              </w:rPr>
            </w:pPr>
            <w:r w:rsidRPr="0002085C">
              <w:rPr>
                <w:rFonts w:cs="宋体" w:hint="eastAsia"/>
                <w:kern w:val="0"/>
              </w:rPr>
              <w:t>残余抗压</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烘干强度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350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高温强度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1300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热稳定性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900</w:t>
            </w:r>
          </w:p>
        </w:tc>
      </w:tr>
      <w:tr w:rsidR="00A32067">
        <w:trPr>
          <w:trHeight w:val="53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荷重软化点</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C</w:t>
      </w:r>
      <w:r>
        <w:rPr>
          <w:rFonts w:ascii="Times New Roman" w:hAnsi="Times New Roman" w:hint="eastAsia"/>
          <w:b/>
          <w:bCs/>
          <w:kern w:val="2"/>
        </w:rPr>
        <w:t>骨料、石料、砂浆、砼</w:t>
      </w:r>
      <w:r>
        <w:rPr>
          <w:rFonts w:ascii="Times New Roman" w:hAnsi="Times New Roman" w:cs="Times New Roman"/>
          <w:b/>
          <w:bCs/>
          <w:kern w:val="2"/>
        </w:rPr>
        <w:t xml:space="preserve">                                                C10</w:t>
      </w:r>
      <w:r>
        <w:rPr>
          <w:rFonts w:ascii="Times New Roman" w:hAnsi="Times New Roman" w:hint="eastAsia"/>
          <w:b/>
          <w:bCs/>
          <w:kern w:val="2"/>
        </w:rPr>
        <w:t>～</w:t>
      </w:r>
      <w:r>
        <w:rPr>
          <w:rFonts w:ascii="Times New Roman" w:hAnsi="Times New Roman" w:cs="Times New Roman"/>
          <w:b/>
          <w:bCs/>
          <w:kern w:val="2"/>
        </w:rPr>
        <w:t>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1260"/>
        <w:gridCol w:w="2160"/>
        <w:gridCol w:w="1296"/>
        <w:gridCol w:w="1701"/>
      </w:tblGrid>
      <w:tr w:rsidR="00A32067">
        <w:trPr>
          <w:trHeight w:val="709"/>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70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砂浆配合比</w:t>
            </w:r>
          </w:p>
        </w:tc>
        <w:tc>
          <w:tcPr>
            <w:tcW w:w="1260" w:type="dxa"/>
            <w:vMerge w:val="restart"/>
            <w:vAlign w:val="center"/>
          </w:tcPr>
          <w:p w:rsidR="00A32067" w:rsidRPr="0002085C" w:rsidRDefault="00A32067" w:rsidP="0002085C">
            <w:pPr>
              <w:jc w:val="center"/>
              <w:rPr>
                <w:kern w:val="0"/>
              </w:rPr>
            </w:pPr>
            <w:r w:rsidRPr="0002085C">
              <w:rPr>
                <w:kern w:val="0"/>
              </w:rPr>
              <w:t>10</w:t>
            </w:r>
          </w:p>
        </w:tc>
        <w:tc>
          <w:tcPr>
            <w:tcW w:w="3420" w:type="dxa"/>
            <w:gridSpan w:val="2"/>
            <w:vAlign w:val="center"/>
          </w:tcPr>
          <w:p w:rsidR="00A32067" w:rsidRPr="0002085C" w:rsidRDefault="00A32067" w:rsidP="00A32067">
            <w:pPr>
              <w:ind w:left="570" w:rightChars="-327" w:right="31680"/>
              <w:rPr>
                <w:kern w:val="0"/>
              </w:rPr>
            </w:pPr>
            <w:r w:rsidRPr="0002085C">
              <w:rPr>
                <w:rFonts w:cs="宋体" w:hint="eastAsia"/>
                <w:kern w:val="0"/>
              </w:rPr>
              <w:t>普通砂浆配比设计</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个</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left="150" w:rightChars="-327" w:right="31680"/>
              <w:rPr>
                <w:kern w:val="0"/>
              </w:rPr>
            </w:pPr>
            <w:r w:rsidRPr="0002085C">
              <w:rPr>
                <w:rFonts w:cs="宋体" w:hint="eastAsia"/>
                <w:kern w:val="0"/>
              </w:rPr>
              <w:t>防水砂浆配比设计</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330</w:t>
            </w:r>
          </w:p>
        </w:tc>
      </w:tr>
      <w:tr w:rsidR="00A32067">
        <w:trPr>
          <w:trHeight w:val="70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砂浆拌合物</w:t>
            </w:r>
          </w:p>
        </w:tc>
        <w:tc>
          <w:tcPr>
            <w:tcW w:w="1260" w:type="dxa"/>
            <w:vMerge w:val="restart"/>
            <w:vAlign w:val="center"/>
          </w:tcPr>
          <w:p w:rsidR="00A32067" w:rsidRPr="0002085C" w:rsidRDefault="00A32067" w:rsidP="0002085C">
            <w:pPr>
              <w:jc w:val="center"/>
              <w:rPr>
                <w:kern w:val="0"/>
              </w:rPr>
            </w:pPr>
            <w:r w:rsidRPr="0002085C">
              <w:rPr>
                <w:kern w:val="0"/>
              </w:rPr>
              <w:t>11</w:t>
            </w: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稠度</w:t>
            </w:r>
          </w:p>
          <w:p w:rsidR="00A32067" w:rsidRPr="0002085C" w:rsidRDefault="00A32067" w:rsidP="00A32067">
            <w:pPr>
              <w:ind w:rightChars="-327" w:right="31680" w:firstLineChars="750" w:firstLine="31680"/>
              <w:rPr>
                <w:kern w:val="0"/>
              </w:rPr>
            </w:pPr>
            <w:r w:rsidRPr="0002085C">
              <w:rPr>
                <w:rFonts w:cs="宋体" w:hint="eastAsia"/>
                <w:kern w:val="0"/>
              </w:rPr>
              <w:t>密度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firstLineChars="450" w:firstLine="31680"/>
              <w:rPr>
                <w:kern w:val="0"/>
              </w:rPr>
            </w:pPr>
            <w:r w:rsidRPr="0002085C">
              <w:rPr>
                <w:rFonts w:cs="宋体" w:hint="eastAsia"/>
                <w:kern w:val="0"/>
              </w:rPr>
              <w:t>分层度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凝结时间</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709"/>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砂浆物理力学性能</w:t>
            </w:r>
          </w:p>
        </w:tc>
        <w:tc>
          <w:tcPr>
            <w:tcW w:w="1260" w:type="dxa"/>
            <w:vMerge w:val="restart"/>
            <w:vAlign w:val="center"/>
          </w:tcPr>
          <w:p w:rsidR="00A32067" w:rsidRPr="0002085C" w:rsidRDefault="00A32067" w:rsidP="0002085C">
            <w:pPr>
              <w:jc w:val="center"/>
              <w:rPr>
                <w:kern w:val="0"/>
              </w:rPr>
            </w:pPr>
            <w:r w:rsidRPr="0002085C">
              <w:rPr>
                <w:kern w:val="0"/>
              </w:rPr>
              <w:t>12</w:t>
            </w: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立方体试件制做</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35</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A32067">
            <w:pPr>
              <w:ind w:rightChars="-327" w:right="31680"/>
              <w:rPr>
                <w:kern w:val="0"/>
              </w:rPr>
            </w:pPr>
            <w:r w:rsidRPr="0002085C">
              <w:rPr>
                <w:rFonts w:cs="宋体" w:hint="eastAsia"/>
                <w:kern w:val="0"/>
              </w:rPr>
              <w:t>立方体试件养护</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立方体试件破型</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静弹性模量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360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抗冻</w:t>
            </w:r>
          </w:p>
        </w:tc>
        <w:tc>
          <w:tcPr>
            <w:tcW w:w="2160" w:type="dxa"/>
            <w:vAlign w:val="center"/>
          </w:tcPr>
          <w:p w:rsidR="00A32067" w:rsidRPr="0002085C" w:rsidRDefault="00A32067" w:rsidP="0002085C">
            <w:pPr>
              <w:jc w:val="center"/>
              <w:rPr>
                <w:kern w:val="0"/>
              </w:rPr>
            </w:pPr>
            <w:r w:rsidRPr="0002085C">
              <w:rPr>
                <w:kern w:val="0"/>
              </w:rPr>
              <w:t>≤F25</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w:t>
            </w:r>
            <w:r w:rsidRPr="0002085C">
              <w:rPr>
                <w:kern w:val="0"/>
              </w:rPr>
              <w:t>F25</w:t>
            </w:r>
          </w:p>
        </w:tc>
        <w:tc>
          <w:tcPr>
            <w:tcW w:w="1296" w:type="dxa"/>
            <w:vAlign w:val="center"/>
          </w:tcPr>
          <w:p w:rsidR="00A32067" w:rsidRPr="0002085C" w:rsidRDefault="00A32067" w:rsidP="0002085C">
            <w:pPr>
              <w:jc w:val="center"/>
              <w:rPr>
                <w:kern w:val="0"/>
              </w:rPr>
            </w:pPr>
            <w:r w:rsidRPr="0002085C">
              <w:rPr>
                <w:kern w:val="0"/>
              </w:rPr>
              <w:t>5</w:t>
            </w:r>
            <w:r w:rsidRPr="0002085C">
              <w:rPr>
                <w:rFonts w:cs="宋体" w:hint="eastAsia"/>
                <w:kern w:val="0"/>
              </w:rPr>
              <w:t>次</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收缩性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2400</w:t>
            </w:r>
          </w:p>
        </w:tc>
      </w:tr>
      <w:tr w:rsidR="00A32067">
        <w:trPr>
          <w:trHeight w:val="709"/>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抗渗性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D</w:t>
      </w:r>
      <w:r>
        <w:rPr>
          <w:rFonts w:ascii="Times New Roman" w:hAnsi="Times New Roman" w:hint="eastAsia"/>
          <w:b/>
          <w:bCs/>
          <w:kern w:val="2"/>
        </w:rPr>
        <w:t>混凝土、砂浆外加剂</w:t>
      </w:r>
      <w:r>
        <w:rPr>
          <w:rFonts w:ascii="Times New Roman" w:hAnsi="Times New Roman" w:cs="Times New Roman"/>
          <w:b/>
          <w:bCs/>
          <w:kern w:val="2"/>
        </w:rPr>
        <w:t xml:space="preserve">                                              D01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260"/>
        <w:gridCol w:w="3420"/>
        <w:gridCol w:w="1296"/>
        <w:gridCol w:w="1701"/>
      </w:tblGrid>
      <w:tr w:rsidR="00A32067">
        <w:trPr>
          <w:trHeight w:val="765"/>
          <w:jc w:val="center"/>
        </w:trPr>
        <w:tc>
          <w:tcPr>
            <w:tcW w:w="82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765"/>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混凝土外加剂匀质性</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420" w:type="dxa"/>
            <w:vAlign w:val="center"/>
          </w:tcPr>
          <w:p w:rsidR="00A32067" w:rsidRPr="0002085C" w:rsidRDefault="00A32067" w:rsidP="00A32067">
            <w:pPr>
              <w:ind w:left="570" w:rightChars="-327" w:right="31680"/>
              <w:rPr>
                <w:kern w:val="0"/>
              </w:rPr>
            </w:pPr>
            <w:r w:rsidRPr="0002085C">
              <w:rPr>
                <w:rFonts w:cs="宋体" w:hint="eastAsia"/>
                <w:kern w:val="0"/>
              </w:rPr>
              <w:t>含固量或含水量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190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left="150" w:rightChars="-327" w:right="31680"/>
              <w:rPr>
                <w:kern w:val="0"/>
              </w:rPr>
            </w:pPr>
            <w:r w:rsidRPr="0002085C">
              <w:rPr>
                <w:rFonts w:cs="宋体" w:hint="eastAsia"/>
                <w:kern w:val="0"/>
              </w:rPr>
              <w:t>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氯离子含量</w:t>
            </w:r>
          </w:p>
          <w:p w:rsidR="00A32067" w:rsidRPr="0002085C" w:rsidRDefault="00A32067" w:rsidP="00A32067">
            <w:pPr>
              <w:ind w:rightChars="-327" w:right="31680" w:firstLineChars="550" w:firstLine="31680"/>
              <w:rPr>
                <w:kern w:val="0"/>
              </w:rPr>
            </w:pPr>
            <w:r w:rsidRPr="0002085C">
              <w:rPr>
                <w:rFonts w:cs="宋体" w:hint="eastAsia"/>
                <w:kern w:val="0"/>
              </w:rPr>
              <w:t>硫酸钠</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350" w:firstLine="31680"/>
              <w:rPr>
                <w:kern w:val="0"/>
              </w:rPr>
            </w:pPr>
            <w:r w:rsidRPr="0002085C">
              <w:rPr>
                <w:rFonts w:cs="宋体" w:hint="eastAsia"/>
                <w:kern w:val="0"/>
              </w:rPr>
              <w:t>水泥静浆流动度</w:t>
            </w:r>
          </w:p>
          <w:p w:rsidR="00A32067" w:rsidRPr="0002085C" w:rsidRDefault="00A32067" w:rsidP="00A32067">
            <w:pPr>
              <w:ind w:rightChars="-327" w:right="31680" w:firstLineChars="650" w:firstLine="31680"/>
              <w:rPr>
                <w:kern w:val="0"/>
              </w:rPr>
            </w:pPr>
            <w:r w:rsidRPr="0002085C">
              <w:rPr>
                <w:rFonts w:cs="宋体" w:hint="eastAsia"/>
                <w:kern w:val="0"/>
              </w:rPr>
              <w:t>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kern w:val="0"/>
              </w:rPr>
              <w:t xml:space="preserve">            pH</w:t>
            </w:r>
            <w:r w:rsidRPr="0002085C">
              <w:rPr>
                <w:rFonts w:cs="宋体" w:hint="eastAsia"/>
                <w:kern w:val="0"/>
              </w:rPr>
              <w:t>值</w:t>
            </w:r>
          </w:p>
          <w:p w:rsidR="00A32067" w:rsidRPr="0002085C" w:rsidRDefault="00A32067" w:rsidP="00A32067">
            <w:pPr>
              <w:ind w:rightChars="-327" w:right="31680" w:firstLineChars="550" w:firstLine="31680"/>
              <w:rPr>
                <w:kern w:val="0"/>
              </w:rPr>
            </w:pPr>
            <w:r w:rsidRPr="0002085C">
              <w:rPr>
                <w:rFonts w:cs="宋体" w:hint="eastAsia"/>
                <w:kern w:val="0"/>
              </w:rPr>
              <w:t>泡沫性能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表面张力</w:t>
            </w:r>
          </w:p>
          <w:p w:rsidR="00A32067" w:rsidRPr="0002085C" w:rsidRDefault="00A32067" w:rsidP="00A32067">
            <w:pPr>
              <w:ind w:rightChars="-327" w:right="31680" w:firstLineChars="500" w:firstLine="31680"/>
              <w:rPr>
                <w:kern w:val="0"/>
              </w:rPr>
            </w:pPr>
            <w:r w:rsidRPr="0002085C">
              <w:rPr>
                <w:rFonts w:cs="宋体" w:hint="eastAsia"/>
                <w:kern w:val="0"/>
              </w:rPr>
              <w:t>砂浆减水率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钾、钠含量</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765"/>
          <w:jc w:val="center"/>
        </w:trPr>
        <w:tc>
          <w:tcPr>
            <w:tcW w:w="828" w:type="dxa"/>
            <w:vMerge w:val="restart"/>
            <w:vAlign w:val="center"/>
          </w:tcPr>
          <w:p w:rsidR="00A32067" w:rsidRPr="0002085C" w:rsidRDefault="00A32067" w:rsidP="0002085C">
            <w:pPr>
              <w:jc w:val="center"/>
              <w:rPr>
                <w:kern w:val="0"/>
              </w:rPr>
            </w:pPr>
            <w:r w:rsidRPr="0002085C">
              <w:rPr>
                <w:rFonts w:cs="宋体" w:hint="eastAsia"/>
                <w:kern w:val="0"/>
              </w:rPr>
              <w:t>混凝土外加剂各项性能</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420" w:type="dxa"/>
            <w:vAlign w:val="center"/>
          </w:tcPr>
          <w:p w:rsidR="00A32067" w:rsidRPr="0002085C" w:rsidRDefault="00A32067" w:rsidP="0002085C">
            <w:pPr>
              <w:jc w:val="center"/>
              <w:rPr>
                <w:kern w:val="0"/>
              </w:rPr>
            </w:pPr>
            <w:r w:rsidRPr="0002085C">
              <w:rPr>
                <w:rFonts w:cs="宋体" w:hint="eastAsia"/>
                <w:kern w:val="0"/>
              </w:rPr>
              <w:t>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含水量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65</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kern w:val="0"/>
              </w:rPr>
              <w:t>MgO</w:t>
            </w:r>
            <w:r w:rsidRPr="0002085C">
              <w:rPr>
                <w:rFonts w:cs="宋体" w:hint="eastAsia"/>
                <w:kern w:val="0"/>
              </w:rPr>
              <w:t>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含气量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安定性（试饼法）</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减水率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kern w:val="0"/>
              </w:rPr>
              <w:t>48h</w:t>
            </w:r>
            <w:r w:rsidRPr="0002085C">
              <w:rPr>
                <w:rFonts w:cs="宋体" w:hint="eastAsia"/>
                <w:kern w:val="0"/>
              </w:rPr>
              <w:t>吸水量比</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940</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常压泌水率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205</w:t>
            </w:r>
          </w:p>
        </w:tc>
      </w:tr>
      <w:tr w:rsidR="00A32067">
        <w:trPr>
          <w:trHeight w:val="765"/>
          <w:jc w:val="center"/>
        </w:trPr>
        <w:tc>
          <w:tcPr>
            <w:tcW w:w="82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压力泌水率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210</w:t>
            </w:r>
          </w:p>
        </w:tc>
      </w:tr>
    </w:tbl>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D</w:t>
      </w:r>
      <w:r>
        <w:rPr>
          <w:rFonts w:ascii="Times New Roman" w:hAnsi="Times New Roman" w:hint="eastAsia"/>
          <w:b/>
          <w:bCs/>
          <w:kern w:val="2"/>
        </w:rPr>
        <w:t>混凝土、砂浆外加剂</w:t>
      </w:r>
      <w:r>
        <w:rPr>
          <w:rFonts w:ascii="Times New Roman" w:hAnsi="Times New Roman" w:cs="Times New Roman"/>
          <w:b/>
          <w:bCs/>
          <w:kern w:val="2"/>
        </w:rPr>
        <w:t xml:space="preserve">                                              D02</w:t>
      </w:r>
      <w:r>
        <w:rPr>
          <w:rFonts w:ascii="Times New Roman" w:hAnsi="Times New Roman" w:hint="eastAsia"/>
          <w:b/>
          <w:bCs/>
          <w:kern w:val="2"/>
        </w:rPr>
        <w:t>～</w:t>
      </w:r>
      <w:r>
        <w:rPr>
          <w:rFonts w:ascii="Times New Roman" w:hAnsi="Times New Roman" w:cs="Times New Roman"/>
          <w:b/>
          <w:bCs/>
          <w:kern w:val="2"/>
        </w:rPr>
        <w:t>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260"/>
        <w:gridCol w:w="180"/>
        <w:gridCol w:w="198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混凝土外加剂各项性能</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gridSpan w:val="3"/>
            <w:vAlign w:val="center"/>
          </w:tcPr>
          <w:p w:rsidR="00A32067" w:rsidRPr="0002085C" w:rsidRDefault="00A32067" w:rsidP="00A32067">
            <w:pPr>
              <w:ind w:left="570" w:rightChars="-327" w:right="31680"/>
              <w:rPr>
                <w:kern w:val="0"/>
              </w:rPr>
            </w:pPr>
            <w:r w:rsidRPr="0002085C">
              <w:rPr>
                <w:rFonts w:cs="宋体" w:hint="eastAsia"/>
                <w:kern w:val="0"/>
              </w:rPr>
              <w:t>凝结时间</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left="150" w:rightChars="-327" w:right="31680"/>
              <w:rPr>
                <w:kern w:val="0"/>
              </w:rPr>
            </w:pPr>
            <w:r w:rsidRPr="0002085C">
              <w:rPr>
                <w:rFonts w:cs="宋体" w:hint="eastAsia"/>
                <w:kern w:val="0"/>
              </w:rPr>
              <w:t>凝结时间差</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净浆凝结时间</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firstLineChars="450" w:firstLine="31680"/>
              <w:rPr>
                <w:kern w:val="0"/>
              </w:rPr>
            </w:pPr>
            <w:r w:rsidRPr="0002085C">
              <w:rPr>
                <w:rFonts w:cs="宋体" w:hint="eastAsia"/>
                <w:kern w:val="0"/>
              </w:rPr>
              <w:t>塌落度增加值</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190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A32067">
            <w:pPr>
              <w:ind w:rightChars="-327" w:right="31680"/>
              <w:rPr>
                <w:kern w:val="0"/>
              </w:rPr>
            </w:pPr>
            <w:r w:rsidRPr="0002085C">
              <w:rPr>
                <w:rFonts w:cs="宋体" w:hint="eastAsia"/>
                <w:kern w:val="0"/>
              </w:rPr>
              <w:t>塌落度保留值</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195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A32067">
            <w:pPr>
              <w:ind w:rightChars="-327" w:right="31680"/>
              <w:rPr>
                <w:kern w:val="0"/>
              </w:rPr>
            </w:pPr>
            <w:r w:rsidRPr="0002085C">
              <w:rPr>
                <w:rFonts w:cs="宋体" w:hint="eastAsia"/>
                <w:kern w:val="0"/>
              </w:rPr>
              <w:t>钢筋锈蚀</w:t>
            </w:r>
          </w:p>
        </w:tc>
        <w:tc>
          <w:tcPr>
            <w:tcW w:w="2160" w:type="dxa"/>
            <w:gridSpan w:val="2"/>
            <w:vAlign w:val="center"/>
          </w:tcPr>
          <w:p w:rsidR="00A32067" w:rsidRPr="0002085C" w:rsidRDefault="00A32067" w:rsidP="00A32067">
            <w:pPr>
              <w:ind w:left="687" w:rightChars="-327" w:right="31680"/>
              <w:rPr>
                <w:kern w:val="0"/>
              </w:rPr>
            </w:pPr>
            <w:r w:rsidRPr="0002085C">
              <w:rPr>
                <w:rFonts w:cs="宋体" w:hint="eastAsia"/>
                <w:kern w:val="0"/>
              </w:rPr>
              <w:t>新拌砂浆法</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A32067">
            <w:pPr>
              <w:ind w:rightChars="-327" w:right="31680"/>
              <w:rPr>
                <w:kern w:val="0"/>
              </w:rPr>
            </w:pPr>
          </w:p>
        </w:tc>
        <w:tc>
          <w:tcPr>
            <w:tcW w:w="2160" w:type="dxa"/>
            <w:gridSpan w:val="2"/>
            <w:vAlign w:val="center"/>
          </w:tcPr>
          <w:p w:rsidR="00A32067" w:rsidRPr="0002085C" w:rsidRDefault="00A32067" w:rsidP="00A32067">
            <w:pPr>
              <w:ind w:left="687" w:rightChars="-327" w:right="31680"/>
              <w:rPr>
                <w:kern w:val="0"/>
              </w:rPr>
            </w:pPr>
            <w:r w:rsidRPr="0002085C">
              <w:rPr>
                <w:rFonts w:cs="宋体" w:hint="eastAsia"/>
                <w:kern w:val="0"/>
              </w:rPr>
              <w:t>硬化砂浆法</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收缩率比</w:t>
            </w:r>
          </w:p>
          <w:p w:rsidR="00A32067" w:rsidRPr="0002085C" w:rsidRDefault="00A32067" w:rsidP="0002085C">
            <w:pPr>
              <w:jc w:val="center"/>
              <w:rPr>
                <w:kern w:val="0"/>
              </w:rPr>
            </w:pPr>
            <w:r w:rsidRPr="0002085C">
              <w:rPr>
                <w:rFonts w:cs="宋体" w:hint="eastAsia"/>
                <w:kern w:val="0"/>
              </w:rPr>
              <w:t>限制膨胀率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抗渗压力（高度）比</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1170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gridSpan w:val="2"/>
            <w:vMerge w:val="restart"/>
            <w:vAlign w:val="center"/>
          </w:tcPr>
          <w:p w:rsidR="00A32067" w:rsidRPr="0002085C" w:rsidRDefault="00A32067" w:rsidP="0002085C">
            <w:pPr>
              <w:jc w:val="center"/>
              <w:rPr>
                <w:kern w:val="0"/>
              </w:rPr>
            </w:pPr>
            <w:r w:rsidRPr="0002085C">
              <w:rPr>
                <w:rFonts w:cs="宋体" w:hint="eastAsia"/>
                <w:kern w:val="0"/>
              </w:rPr>
              <w:t>抗压强度比</w:t>
            </w:r>
          </w:p>
        </w:tc>
        <w:tc>
          <w:tcPr>
            <w:tcW w:w="1980" w:type="dxa"/>
            <w:vAlign w:val="center"/>
          </w:tcPr>
          <w:p w:rsidR="00A32067" w:rsidRPr="0002085C" w:rsidRDefault="00A32067" w:rsidP="0002085C">
            <w:pPr>
              <w:jc w:val="center"/>
              <w:rPr>
                <w:kern w:val="0"/>
              </w:rPr>
            </w:pPr>
            <w:r w:rsidRPr="0002085C">
              <w:rPr>
                <w:rFonts w:cs="宋体" w:hint="eastAsia"/>
                <w:kern w:val="0"/>
              </w:rPr>
              <w:t>正温</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龄期</w:t>
            </w: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gridSpan w:val="2"/>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负温</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抗冻融</w:t>
            </w:r>
          </w:p>
        </w:tc>
        <w:tc>
          <w:tcPr>
            <w:tcW w:w="1296" w:type="dxa"/>
            <w:vAlign w:val="center"/>
          </w:tcPr>
          <w:p w:rsidR="00A32067" w:rsidRPr="0002085C" w:rsidRDefault="00A32067" w:rsidP="0002085C">
            <w:pPr>
              <w:jc w:val="center"/>
              <w:rPr>
                <w:kern w:val="0"/>
              </w:rPr>
            </w:pPr>
            <w:r w:rsidRPr="0002085C">
              <w:rPr>
                <w:rFonts w:cs="宋体" w:hint="eastAsia"/>
                <w:kern w:val="0"/>
              </w:rPr>
              <w:t>循环</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砂浆防水剂</w:t>
            </w:r>
          </w:p>
        </w:tc>
        <w:tc>
          <w:tcPr>
            <w:tcW w:w="1080" w:type="dxa"/>
            <w:vMerge w:val="restart"/>
            <w:vAlign w:val="center"/>
          </w:tcPr>
          <w:p w:rsidR="00A32067" w:rsidRPr="0002085C" w:rsidRDefault="00A32067" w:rsidP="0002085C">
            <w:pPr>
              <w:jc w:val="center"/>
              <w:rPr>
                <w:kern w:val="0"/>
              </w:rPr>
            </w:pPr>
            <w:r w:rsidRPr="0002085C">
              <w:rPr>
                <w:kern w:val="0"/>
              </w:rPr>
              <w:t>03</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渗水压力比</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凝结时间</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抗压强度比（</w:t>
            </w:r>
            <w:r w:rsidRPr="0002085C">
              <w:rPr>
                <w:kern w:val="0"/>
              </w:rPr>
              <w:t>7d</w:t>
            </w:r>
            <w:r w:rsidRPr="0002085C">
              <w:rPr>
                <w:rFonts w:cs="宋体" w:hint="eastAsia"/>
                <w:kern w:val="0"/>
              </w:rPr>
              <w:t>、</w:t>
            </w:r>
            <w:r w:rsidRPr="0002085C">
              <w:rPr>
                <w:kern w:val="0"/>
              </w:rPr>
              <w:t>28d</w:t>
            </w:r>
            <w:r w:rsidRPr="0002085C">
              <w:rPr>
                <w:rFonts w:cs="宋体" w:hint="eastAsia"/>
                <w:kern w:val="0"/>
              </w:rPr>
              <w:t>）</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收缩率比</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吸水量比</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3"/>
            <w:vAlign w:val="center"/>
          </w:tcPr>
          <w:p w:rsidR="00A32067" w:rsidRPr="0002085C" w:rsidRDefault="00A32067" w:rsidP="0002085C">
            <w:pPr>
              <w:jc w:val="center"/>
              <w:rPr>
                <w:kern w:val="0"/>
              </w:rPr>
            </w:pPr>
            <w:r w:rsidRPr="0002085C">
              <w:rPr>
                <w:rFonts w:cs="宋体" w:hint="eastAsia"/>
                <w:kern w:val="0"/>
              </w:rPr>
              <w:t>安定性（试饼法）</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E</w:t>
      </w:r>
      <w:r>
        <w:rPr>
          <w:rFonts w:ascii="Times New Roman" w:hAnsi="Times New Roman" w:hint="eastAsia"/>
          <w:b/>
          <w:bCs/>
          <w:kern w:val="2"/>
        </w:rPr>
        <w:t>防水材料</w:t>
      </w:r>
      <w:r>
        <w:rPr>
          <w:rFonts w:ascii="Times New Roman" w:hAnsi="Times New Roman" w:cs="Times New Roman"/>
          <w:b/>
          <w:bCs/>
          <w:kern w:val="2"/>
        </w:rPr>
        <w:t xml:space="preserve">                                                             E01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709"/>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w:t>
            </w:r>
          </w:p>
        </w:tc>
      </w:tr>
      <w:tr w:rsidR="00A32067">
        <w:trPr>
          <w:trHeight w:val="709"/>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防水卷材</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3420" w:type="dxa"/>
            <w:vAlign w:val="center"/>
          </w:tcPr>
          <w:p w:rsidR="00A32067" w:rsidRPr="0002085C" w:rsidRDefault="00A32067" w:rsidP="00A32067">
            <w:pPr>
              <w:ind w:left="570" w:rightChars="-327" w:right="31680"/>
              <w:rPr>
                <w:kern w:val="0"/>
              </w:rPr>
            </w:pPr>
            <w:r w:rsidRPr="0002085C">
              <w:rPr>
                <w:rFonts w:cs="宋体" w:hint="eastAsia"/>
                <w:kern w:val="0"/>
              </w:rPr>
              <w:t>浸涂材料含量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220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left="150" w:rightChars="-327" w:right="31680"/>
              <w:rPr>
                <w:kern w:val="0"/>
              </w:rPr>
            </w:pPr>
            <w:r w:rsidRPr="0002085C">
              <w:rPr>
                <w:rFonts w:cs="宋体" w:hint="eastAsia"/>
                <w:kern w:val="0"/>
              </w:rPr>
              <w:t>不透水性</w:t>
            </w:r>
          </w:p>
          <w:p w:rsidR="00A32067" w:rsidRPr="0002085C" w:rsidRDefault="00A32067" w:rsidP="00A32067">
            <w:pPr>
              <w:ind w:leftChars="71" w:left="31680" w:rightChars="-327" w:right="31680" w:firstLineChars="300" w:firstLine="31680"/>
              <w:rPr>
                <w:kern w:val="0"/>
              </w:rPr>
            </w:pPr>
            <w:r w:rsidRPr="0002085C">
              <w:rPr>
                <w:rFonts w:cs="宋体" w:hint="eastAsia"/>
                <w:kern w:val="0"/>
              </w:rPr>
              <w:t>柔度（低温柔度）</w:t>
            </w:r>
          </w:p>
          <w:p w:rsidR="00A32067" w:rsidRPr="0002085C" w:rsidRDefault="00A32067" w:rsidP="00A32067">
            <w:pPr>
              <w:ind w:leftChars="71" w:left="31680" w:rightChars="-327" w:right="31680" w:firstLineChars="550" w:firstLine="31680"/>
              <w:rPr>
                <w:kern w:val="0"/>
              </w:rPr>
            </w:pPr>
            <w:r w:rsidRPr="0002085C">
              <w:rPr>
                <w:rFonts w:cs="宋体" w:hint="eastAsia"/>
                <w:kern w:val="0"/>
              </w:rPr>
              <w:t>外观</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真空吸水性</w:t>
            </w:r>
          </w:p>
          <w:p w:rsidR="00A32067" w:rsidRPr="0002085C" w:rsidRDefault="00A32067" w:rsidP="00A32067">
            <w:pPr>
              <w:ind w:rightChars="-327" w:right="31680" w:firstLineChars="600" w:firstLine="31680"/>
              <w:rPr>
                <w:kern w:val="0"/>
              </w:rPr>
            </w:pPr>
            <w:r w:rsidRPr="0002085C">
              <w:rPr>
                <w:rFonts w:cs="宋体" w:hint="eastAsia"/>
                <w:kern w:val="0"/>
              </w:rPr>
              <w:t>面积</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firstLineChars="450" w:firstLine="31680"/>
              <w:rPr>
                <w:kern w:val="0"/>
              </w:rPr>
            </w:pPr>
            <w:r w:rsidRPr="0002085C">
              <w:rPr>
                <w:rFonts w:cs="宋体" w:hint="eastAsia"/>
                <w:kern w:val="0"/>
              </w:rPr>
              <w:t>耐热度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拉力（抗拉强度）</w:t>
            </w:r>
          </w:p>
          <w:p w:rsidR="00A32067" w:rsidRPr="0002085C" w:rsidRDefault="00A32067" w:rsidP="00A32067">
            <w:pPr>
              <w:ind w:rightChars="-327" w:right="31680" w:firstLineChars="350" w:firstLine="31680"/>
              <w:rPr>
                <w:kern w:val="0"/>
              </w:rPr>
            </w:pPr>
            <w:r w:rsidRPr="0002085C">
              <w:rPr>
                <w:rFonts w:cs="宋体" w:hint="eastAsia"/>
                <w:kern w:val="0"/>
              </w:rPr>
              <w:t>剪切状态下的粘合性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断裂伸长率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A32067">
            <w:pPr>
              <w:ind w:rightChars="-327" w:right="31680"/>
              <w:rPr>
                <w:kern w:val="0"/>
              </w:rPr>
            </w:pPr>
            <w:r w:rsidRPr="0002085C">
              <w:rPr>
                <w:rFonts w:cs="宋体" w:hint="eastAsia"/>
                <w:kern w:val="0"/>
              </w:rPr>
              <w:t>直角撕裂强度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热尺寸变化率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val="709"/>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防水涂料</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vAlign w:val="center"/>
          </w:tcPr>
          <w:p w:rsidR="00A32067" w:rsidRPr="0002085C" w:rsidRDefault="00A32067" w:rsidP="0002085C">
            <w:pPr>
              <w:jc w:val="center"/>
              <w:rPr>
                <w:kern w:val="0"/>
              </w:rPr>
            </w:pPr>
            <w:r w:rsidRPr="0002085C">
              <w:rPr>
                <w:rFonts w:cs="宋体" w:hint="eastAsia"/>
                <w:kern w:val="0"/>
              </w:rPr>
              <w:t>卷重</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卷</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抗剥离性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125</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抗穿孔性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热老化处理</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人工加速器候老化</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水溶液处理（酸、碱、盐）</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干燥时间（适用时间）</w:t>
            </w:r>
          </w:p>
          <w:p w:rsidR="00A32067" w:rsidRPr="0002085C" w:rsidRDefault="00A32067" w:rsidP="0002085C">
            <w:pPr>
              <w:jc w:val="center"/>
              <w:rPr>
                <w:kern w:val="0"/>
              </w:rPr>
            </w:pPr>
            <w:r w:rsidRPr="0002085C">
              <w:rPr>
                <w:rFonts w:cs="宋体" w:hint="eastAsia"/>
                <w:kern w:val="0"/>
              </w:rPr>
              <w:t>不透水性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断裂伸长率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65</w:t>
            </w:r>
          </w:p>
        </w:tc>
      </w:tr>
      <w:tr w:rsidR="00A32067">
        <w:trPr>
          <w:trHeight w:val="70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拉伸强度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E</w:t>
      </w:r>
      <w:r>
        <w:rPr>
          <w:rFonts w:ascii="Times New Roman" w:hAnsi="Times New Roman" w:hint="eastAsia"/>
          <w:b/>
          <w:bCs/>
          <w:kern w:val="2"/>
        </w:rPr>
        <w:t>防水材料</w:t>
      </w:r>
      <w:r>
        <w:rPr>
          <w:rFonts w:ascii="Times New Roman" w:hAnsi="Times New Roman" w:cs="Times New Roman"/>
          <w:b/>
          <w:bCs/>
          <w:kern w:val="2"/>
        </w:rPr>
        <w:t xml:space="preserve">                                                            E02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737"/>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73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防水涂料</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vAlign w:val="center"/>
          </w:tcPr>
          <w:p w:rsidR="00A32067" w:rsidRPr="0002085C" w:rsidRDefault="00A32067" w:rsidP="0002085C">
            <w:pPr>
              <w:jc w:val="center"/>
              <w:rPr>
                <w:kern w:val="0"/>
              </w:rPr>
            </w:pPr>
            <w:r w:rsidRPr="0002085C">
              <w:rPr>
                <w:rFonts w:cs="宋体" w:hint="eastAsia"/>
                <w:kern w:val="0"/>
              </w:rPr>
              <w:t>固含量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低温柔度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165</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加热伸缩率</w:t>
            </w:r>
          </w:p>
          <w:p w:rsidR="00A32067" w:rsidRPr="0002085C" w:rsidRDefault="00A32067" w:rsidP="0002085C">
            <w:pPr>
              <w:jc w:val="center"/>
              <w:rPr>
                <w:kern w:val="0"/>
              </w:rPr>
            </w:pPr>
            <w:r w:rsidRPr="0002085C">
              <w:rPr>
                <w:rFonts w:cs="宋体" w:hint="eastAsia"/>
                <w:kern w:val="0"/>
              </w:rPr>
              <w:t>拉伸时的老化</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65</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加热处理</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酸处理</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100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碱处理</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紫外线处理</w:t>
            </w:r>
          </w:p>
        </w:tc>
        <w:tc>
          <w:tcPr>
            <w:tcW w:w="1296" w:type="dxa"/>
            <w:vAlign w:val="center"/>
          </w:tcPr>
          <w:p w:rsidR="00A32067" w:rsidRPr="0002085C" w:rsidRDefault="00A32067" w:rsidP="0002085C">
            <w:pPr>
              <w:jc w:val="center"/>
              <w:rPr>
                <w:kern w:val="0"/>
              </w:rPr>
            </w:pPr>
            <w:r w:rsidRPr="0002085C">
              <w:rPr>
                <w:rFonts w:cs="宋体" w:hint="eastAsia"/>
                <w:kern w:val="0"/>
              </w:rPr>
              <w:t>小时</w:t>
            </w:r>
          </w:p>
        </w:tc>
        <w:tc>
          <w:tcPr>
            <w:tcW w:w="1701" w:type="dxa"/>
            <w:vAlign w:val="center"/>
          </w:tcPr>
          <w:p w:rsidR="00A32067" w:rsidRPr="0002085C" w:rsidRDefault="00A32067" w:rsidP="0002085C">
            <w:pPr>
              <w:jc w:val="center"/>
              <w:rPr>
                <w:kern w:val="0"/>
              </w:rPr>
            </w:pPr>
            <w:r w:rsidRPr="0002085C">
              <w:rPr>
                <w:kern w:val="0"/>
              </w:rPr>
              <w:t>4</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容器中状态</w:t>
            </w:r>
          </w:p>
          <w:p w:rsidR="00A32067" w:rsidRPr="0002085C" w:rsidRDefault="00A32067" w:rsidP="0002085C">
            <w:pPr>
              <w:jc w:val="center"/>
              <w:rPr>
                <w:kern w:val="0"/>
              </w:rPr>
            </w:pPr>
            <w:r w:rsidRPr="0002085C">
              <w:rPr>
                <w:rFonts w:cs="宋体" w:hint="eastAsia"/>
                <w:kern w:val="0"/>
              </w:rPr>
              <w:t>透湿量</w:t>
            </w:r>
          </w:p>
          <w:p w:rsidR="00A32067" w:rsidRPr="0002085C" w:rsidRDefault="00A32067" w:rsidP="0002085C">
            <w:pPr>
              <w:jc w:val="center"/>
              <w:rPr>
                <w:kern w:val="0"/>
              </w:rPr>
            </w:pPr>
            <w:r w:rsidRPr="0002085C">
              <w:rPr>
                <w:rFonts w:cs="宋体" w:hint="eastAsia"/>
                <w:kern w:val="0"/>
              </w:rPr>
              <w:t>外观</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施工性能</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35</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粒子电荷</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贮存稳定性</w:t>
            </w:r>
          </w:p>
          <w:p w:rsidR="00A32067" w:rsidRPr="0002085C" w:rsidRDefault="00A32067" w:rsidP="0002085C">
            <w:pPr>
              <w:jc w:val="center"/>
              <w:rPr>
                <w:kern w:val="0"/>
              </w:rPr>
            </w:pPr>
            <w:r w:rsidRPr="0002085C">
              <w:rPr>
                <w:rFonts w:cs="宋体" w:hint="eastAsia"/>
                <w:kern w:val="0"/>
              </w:rPr>
              <w:t>水中分散性</w:t>
            </w:r>
          </w:p>
          <w:p w:rsidR="00A32067" w:rsidRPr="0002085C" w:rsidRDefault="00A32067" w:rsidP="0002085C">
            <w:pPr>
              <w:jc w:val="center"/>
              <w:rPr>
                <w:kern w:val="0"/>
              </w:rPr>
            </w:pPr>
            <w:r w:rsidRPr="0002085C">
              <w:rPr>
                <w:rFonts w:cs="宋体" w:hint="eastAsia"/>
                <w:kern w:val="0"/>
              </w:rPr>
              <w:t>颜色与外观</w:t>
            </w:r>
          </w:p>
          <w:p w:rsidR="00A32067" w:rsidRPr="0002085C" w:rsidRDefault="00A32067" w:rsidP="0002085C">
            <w:pPr>
              <w:jc w:val="center"/>
              <w:rPr>
                <w:kern w:val="0"/>
              </w:rPr>
            </w:pPr>
            <w:r w:rsidRPr="0002085C">
              <w:rPr>
                <w:rFonts w:cs="宋体" w:hint="eastAsia"/>
                <w:kern w:val="0"/>
              </w:rPr>
              <w:t>粘度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kern w:val="0"/>
              </w:rPr>
              <w:t>pH</w:t>
            </w:r>
            <w:r w:rsidRPr="0002085C">
              <w:rPr>
                <w:rFonts w:cs="宋体" w:hint="eastAsia"/>
                <w:kern w:val="0"/>
              </w:rPr>
              <w:t>值</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耐热性</w:t>
            </w:r>
          </w:p>
          <w:p w:rsidR="00A32067" w:rsidRPr="0002085C" w:rsidRDefault="00A32067" w:rsidP="0002085C">
            <w:pPr>
              <w:jc w:val="center"/>
              <w:rPr>
                <w:kern w:val="0"/>
              </w:rPr>
            </w:pPr>
            <w:r w:rsidRPr="0002085C">
              <w:rPr>
                <w:rFonts w:cs="宋体" w:hint="eastAsia"/>
                <w:kern w:val="0"/>
              </w:rPr>
              <w:t>延伸率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抗裂性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剥离强度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E</w:t>
      </w:r>
      <w:r>
        <w:rPr>
          <w:rFonts w:ascii="Times New Roman" w:hAnsi="Times New Roman" w:hint="eastAsia"/>
          <w:b/>
          <w:bCs/>
          <w:kern w:val="2"/>
        </w:rPr>
        <w:t>防水材料</w:t>
      </w:r>
      <w:r>
        <w:rPr>
          <w:rFonts w:ascii="Times New Roman" w:hAnsi="Times New Roman" w:cs="Times New Roman"/>
          <w:b/>
          <w:bCs/>
          <w:kern w:val="2"/>
        </w:rPr>
        <w:t xml:space="preserve">                                                           E02</w:t>
      </w:r>
      <w:r>
        <w:rPr>
          <w:rFonts w:ascii="Times New Roman" w:hAnsi="Times New Roman" w:hint="eastAsia"/>
          <w:b/>
          <w:bCs/>
          <w:kern w:val="2"/>
        </w:rPr>
        <w:t>～</w:t>
      </w:r>
      <w:r>
        <w:rPr>
          <w:rFonts w:ascii="Times New Roman" w:hAnsi="Times New Roman" w:cs="Times New Roman"/>
          <w:b/>
          <w:bCs/>
          <w:kern w:val="2"/>
        </w:rPr>
        <w:t>05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260"/>
        <w:gridCol w:w="2160"/>
        <w:gridCol w:w="1296"/>
        <w:gridCol w:w="1701"/>
      </w:tblGrid>
      <w:tr w:rsidR="00A32067">
        <w:trPr>
          <w:trHeight w:val="652"/>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防水涂料</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耐温耐蚀</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kern w:val="0"/>
              </w:rPr>
              <w:t>50</w:t>
            </w:r>
            <w:r w:rsidRPr="0002085C">
              <w:rPr>
                <w:rFonts w:cs="宋体" w:hint="eastAsia"/>
                <w:kern w:val="0"/>
              </w:rPr>
              <w:t>次冻融</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粘结强度</w:t>
            </w:r>
          </w:p>
        </w:tc>
        <w:tc>
          <w:tcPr>
            <w:tcW w:w="2160" w:type="dxa"/>
            <w:vAlign w:val="center"/>
          </w:tcPr>
          <w:p w:rsidR="00A32067" w:rsidRPr="0002085C" w:rsidRDefault="00A32067" w:rsidP="0002085C">
            <w:pPr>
              <w:jc w:val="center"/>
              <w:rPr>
                <w:kern w:val="0"/>
              </w:rPr>
            </w:pPr>
            <w:r w:rsidRPr="0002085C">
              <w:rPr>
                <w:rFonts w:cs="宋体" w:hint="eastAsia"/>
                <w:kern w:val="0"/>
              </w:rPr>
              <w:t>干燥基面</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260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vAlign w:val="center"/>
          </w:tcPr>
          <w:p w:rsidR="00A32067" w:rsidRPr="0002085C" w:rsidRDefault="00A32067" w:rsidP="0002085C">
            <w:pPr>
              <w:jc w:val="center"/>
              <w:rPr>
                <w:kern w:val="0"/>
              </w:rPr>
            </w:pPr>
            <w:r w:rsidRPr="0002085C">
              <w:rPr>
                <w:rFonts w:cs="宋体" w:hint="eastAsia"/>
                <w:kern w:val="0"/>
              </w:rPr>
              <w:t>潮湿基面</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防水接缝材料</w:t>
            </w:r>
          </w:p>
        </w:tc>
        <w:tc>
          <w:tcPr>
            <w:tcW w:w="1080" w:type="dxa"/>
            <w:vMerge w:val="restart"/>
            <w:vAlign w:val="center"/>
          </w:tcPr>
          <w:p w:rsidR="00A32067" w:rsidRPr="0002085C" w:rsidRDefault="00A32067" w:rsidP="0002085C">
            <w:pPr>
              <w:jc w:val="center"/>
              <w:rPr>
                <w:kern w:val="0"/>
              </w:rPr>
            </w:pPr>
            <w:r w:rsidRPr="0002085C">
              <w:rPr>
                <w:kern w:val="0"/>
              </w:rPr>
              <w:t>03</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耐热性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低温柔度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粘结延伸率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浸水粘结延伸率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回弹率</w:t>
            </w:r>
          </w:p>
          <w:p w:rsidR="00A32067" w:rsidRPr="0002085C" w:rsidRDefault="00A32067" w:rsidP="0002085C">
            <w:pPr>
              <w:jc w:val="center"/>
              <w:rPr>
                <w:kern w:val="0"/>
              </w:rPr>
            </w:pPr>
            <w:r w:rsidRPr="0002085C">
              <w:rPr>
                <w:rFonts w:cs="宋体" w:hint="eastAsia"/>
                <w:kern w:val="0"/>
              </w:rPr>
              <w:t>挥发率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防水嵌缝油膏</w:t>
            </w:r>
          </w:p>
        </w:tc>
        <w:tc>
          <w:tcPr>
            <w:tcW w:w="1080" w:type="dxa"/>
            <w:vMerge w:val="restart"/>
            <w:vAlign w:val="center"/>
          </w:tcPr>
          <w:p w:rsidR="00A32067" w:rsidRPr="0002085C" w:rsidRDefault="00A32067" w:rsidP="0002085C">
            <w:pPr>
              <w:jc w:val="center"/>
              <w:rPr>
                <w:kern w:val="0"/>
              </w:rPr>
            </w:pPr>
            <w:r w:rsidRPr="0002085C">
              <w:rPr>
                <w:kern w:val="0"/>
              </w:rPr>
              <w:t>04</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耐热度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保油性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挥发率</w:t>
            </w:r>
          </w:p>
          <w:p w:rsidR="00A32067" w:rsidRPr="0002085C" w:rsidRDefault="00A32067" w:rsidP="0002085C">
            <w:pPr>
              <w:jc w:val="center"/>
              <w:rPr>
                <w:kern w:val="0"/>
              </w:rPr>
            </w:pPr>
            <w:r w:rsidRPr="0002085C">
              <w:rPr>
                <w:rFonts w:cs="宋体" w:hint="eastAsia"/>
                <w:kern w:val="0"/>
              </w:rPr>
              <w:t>施工度</w:t>
            </w:r>
          </w:p>
          <w:p w:rsidR="00A32067" w:rsidRPr="0002085C" w:rsidRDefault="00A32067" w:rsidP="0002085C">
            <w:pPr>
              <w:jc w:val="center"/>
              <w:rPr>
                <w:kern w:val="0"/>
              </w:rPr>
            </w:pPr>
            <w:r w:rsidRPr="0002085C">
              <w:rPr>
                <w:rFonts w:cs="宋体" w:hint="eastAsia"/>
                <w:kern w:val="0"/>
              </w:rPr>
              <w:t>粘结性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低温柔性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165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浸水后粘结性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35</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沥青玛锑脂</w:t>
            </w:r>
          </w:p>
        </w:tc>
        <w:tc>
          <w:tcPr>
            <w:tcW w:w="1080" w:type="dxa"/>
            <w:vMerge w:val="restart"/>
            <w:vAlign w:val="center"/>
          </w:tcPr>
          <w:p w:rsidR="00A32067" w:rsidRPr="0002085C" w:rsidRDefault="00A32067" w:rsidP="0002085C">
            <w:pPr>
              <w:jc w:val="center"/>
              <w:rPr>
                <w:kern w:val="0"/>
              </w:rPr>
            </w:pPr>
            <w:r w:rsidRPr="0002085C">
              <w:rPr>
                <w:kern w:val="0"/>
              </w:rPr>
              <w:t>05</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配合比设计</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配方</w:t>
            </w:r>
          </w:p>
        </w:tc>
        <w:tc>
          <w:tcPr>
            <w:tcW w:w="1701" w:type="dxa"/>
            <w:vAlign w:val="center"/>
          </w:tcPr>
          <w:p w:rsidR="00A32067" w:rsidRPr="0002085C" w:rsidRDefault="00A32067" w:rsidP="0002085C">
            <w:pPr>
              <w:jc w:val="center"/>
              <w:rPr>
                <w:kern w:val="0"/>
              </w:rPr>
            </w:pPr>
            <w:r w:rsidRPr="0002085C">
              <w:rPr>
                <w:kern w:val="0"/>
              </w:rPr>
              <w:t>420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耐热度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柔韧性</w:t>
            </w:r>
          </w:p>
          <w:p w:rsidR="00A32067" w:rsidRPr="0002085C" w:rsidRDefault="00A32067" w:rsidP="0002085C">
            <w:pPr>
              <w:jc w:val="center"/>
              <w:rPr>
                <w:kern w:val="0"/>
              </w:rPr>
            </w:pPr>
            <w:r w:rsidRPr="0002085C">
              <w:rPr>
                <w:rFonts w:cs="宋体" w:hint="eastAsia"/>
                <w:kern w:val="0"/>
              </w:rPr>
              <w:t>软化点</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粘结力</w:t>
            </w:r>
          </w:p>
        </w:tc>
        <w:tc>
          <w:tcPr>
            <w:tcW w:w="1296" w:type="dxa"/>
            <w:vAlign w:val="center"/>
          </w:tcPr>
          <w:p w:rsidR="00A32067" w:rsidRPr="0002085C" w:rsidRDefault="00A32067" w:rsidP="0002085C">
            <w:pPr>
              <w:jc w:val="center"/>
              <w:rPr>
                <w:kern w:val="0"/>
              </w:rPr>
            </w:pPr>
            <w:r w:rsidRPr="0002085C">
              <w:rPr>
                <w:rFonts w:cs="宋体" w:hint="eastAsia"/>
                <w:kern w:val="0"/>
              </w:rPr>
              <w:t>配方</w:t>
            </w:r>
          </w:p>
        </w:tc>
        <w:tc>
          <w:tcPr>
            <w:tcW w:w="1701" w:type="dxa"/>
            <w:vAlign w:val="center"/>
          </w:tcPr>
          <w:p w:rsidR="00A32067" w:rsidRPr="0002085C" w:rsidRDefault="00A32067" w:rsidP="0002085C">
            <w:pPr>
              <w:jc w:val="center"/>
              <w:rPr>
                <w:kern w:val="0"/>
              </w:rPr>
            </w:pPr>
            <w:r w:rsidRPr="0002085C">
              <w:rPr>
                <w:kern w:val="0"/>
              </w:rPr>
              <w:t>80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E</w:t>
      </w:r>
      <w:r>
        <w:rPr>
          <w:rFonts w:ascii="Times New Roman" w:hAnsi="Times New Roman" w:hint="eastAsia"/>
          <w:b/>
          <w:bCs/>
          <w:kern w:val="2"/>
        </w:rPr>
        <w:t>防水材料</w:t>
      </w:r>
      <w:r>
        <w:rPr>
          <w:rFonts w:ascii="Times New Roman" w:hAnsi="Times New Roman" w:cs="Times New Roman"/>
          <w:b/>
          <w:bCs/>
          <w:kern w:val="2"/>
        </w:rPr>
        <w:t xml:space="preserve">                                                             E06</w:t>
      </w:r>
      <w:r>
        <w:rPr>
          <w:rFonts w:ascii="Times New Roman" w:hAnsi="Times New Roman" w:hint="eastAsia"/>
          <w:b/>
          <w:bCs/>
          <w:kern w:val="2"/>
        </w:rPr>
        <w:t>～</w:t>
      </w:r>
      <w:r>
        <w:rPr>
          <w:rFonts w:ascii="Times New Roman" w:hAnsi="Times New Roman" w:cs="Times New Roman"/>
          <w:b/>
          <w:bCs/>
          <w:kern w:val="2"/>
        </w:rPr>
        <w:t>08</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624"/>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止水条</w:t>
            </w:r>
          </w:p>
        </w:tc>
        <w:tc>
          <w:tcPr>
            <w:tcW w:w="1080" w:type="dxa"/>
            <w:vMerge w:val="restart"/>
            <w:vAlign w:val="center"/>
          </w:tcPr>
          <w:p w:rsidR="00A32067" w:rsidRPr="0002085C" w:rsidRDefault="00A32067" w:rsidP="0002085C">
            <w:pPr>
              <w:jc w:val="center"/>
              <w:rPr>
                <w:kern w:val="0"/>
              </w:rPr>
            </w:pPr>
            <w:r w:rsidRPr="0002085C">
              <w:rPr>
                <w:kern w:val="0"/>
              </w:rPr>
              <w:t>06</w:t>
            </w:r>
          </w:p>
        </w:tc>
        <w:tc>
          <w:tcPr>
            <w:tcW w:w="3420" w:type="dxa"/>
            <w:vAlign w:val="center"/>
          </w:tcPr>
          <w:p w:rsidR="00A32067" w:rsidRPr="0002085C" w:rsidRDefault="00A32067" w:rsidP="0002085C">
            <w:pPr>
              <w:jc w:val="center"/>
              <w:rPr>
                <w:kern w:val="0"/>
              </w:rPr>
            </w:pPr>
            <w:r w:rsidRPr="0002085C">
              <w:rPr>
                <w:rFonts w:cs="宋体" w:hint="eastAsia"/>
                <w:kern w:val="0"/>
              </w:rPr>
              <w:t>硬度（邵氏）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脆性温度</w:t>
            </w:r>
          </w:p>
          <w:p w:rsidR="00A32067" w:rsidRPr="0002085C" w:rsidRDefault="00A32067" w:rsidP="0002085C">
            <w:pPr>
              <w:jc w:val="center"/>
              <w:rPr>
                <w:kern w:val="0"/>
              </w:rPr>
            </w:pPr>
            <w:r w:rsidRPr="0002085C">
              <w:rPr>
                <w:rFonts w:cs="宋体" w:hint="eastAsia"/>
                <w:kern w:val="0"/>
              </w:rPr>
              <w:t>压缩永久变形</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热空气老化</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耐碱</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拉伸强度（含伸长率）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撕裂强度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玻璃密封材料</w:t>
            </w:r>
          </w:p>
        </w:tc>
        <w:tc>
          <w:tcPr>
            <w:tcW w:w="1080" w:type="dxa"/>
            <w:vMerge w:val="restart"/>
            <w:vAlign w:val="center"/>
          </w:tcPr>
          <w:p w:rsidR="00A32067" w:rsidRPr="0002085C" w:rsidRDefault="00A32067" w:rsidP="0002085C">
            <w:pPr>
              <w:jc w:val="center"/>
              <w:rPr>
                <w:kern w:val="0"/>
              </w:rPr>
            </w:pPr>
            <w:r w:rsidRPr="0002085C">
              <w:rPr>
                <w:kern w:val="0"/>
              </w:rPr>
              <w:t>07</w:t>
            </w:r>
          </w:p>
        </w:tc>
        <w:tc>
          <w:tcPr>
            <w:tcW w:w="3420" w:type="dxa"/>
            <w:vAlign w:val="center"/>
          </w:tcPr>
          <w:p w:rsidR="00A32067" w:rsidRPr="0002085C" w:rsidRDefault="00A32067" w:rsidP="0002085C">
            <w:pPr>
              <w:jc w:val="center"/>
              <w:rPr>
                <w:kern w:val="0"/>
              </w:rPr>
            </w:pPr>
            <w:r w:rsidRPr="0002085C">
              <w:rPr>
                <w:rFonts w:cs="宋体" w:hint="eastAsia"/>
                <w:kern w:val="0"/>
              </w:rPr>
              <w:t>外观</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性状</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稠度</w:t>
            </w:r>
          </w:p>
          <w:p w:rsidR="00A32067" w:rsidRPr="0002085C" w:rsidRDefault="00A32067" w:rsidP="0002085C">
            <w:pPr>
              <w:jc w:val="center"/>
              <w:rPr>
                <w:kern w:val="0"/>
              </w:rPr>
            </w:pPr>
            <w:r w:rsidRPr="0002085C">
              <w:rPr>
                <w:rFonts w:cs="宋体" w:hint="eastAsia"/>
                <w:kern w:val="0"/>
              </w:rPr>
              <w:t>柔性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固体含量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表干、实干</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耐寒性（</w:t>
            </w:r>
            <w:r w:rsidRPr="0002085C">
              <w:rPr>
                <w:kern w:val="0"/>
              </w:rPr>
              <w:t>-40</w:t>
            </w:r>
            <w:r w:rsidRPr="0002085C">
              <w:rPr>
                <w:rFonts w:ascii="宋体" w:hAnsi="宋体" w:cs="宋体" w:hint="eastAsia"/>
                <w:kern w:val="0"/>
              </w:rPr>
              <w:t>℃</w:t>
            </w:r>
            <w:r w:rsidRPr="0002085C">
              <w:rPr>
                <w:rFonts w:cs="宋体" w:hint="eastAsia"/>
                <w:kern w:val="0"/>
              </w:rPr>
              <w:t>）</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受热</w:t>
            </w:r>
          </w:p>
          <w:p w:rsidR="00A32067" w:rsidRPr="0002085C" w:rsidRDefault="00A32067" w:rsidP="0002085C">
            <w:pPr>
              <w:jc w:val="center"/>
              <w:rPr>
                <w:kern w:val="0"/>
              </w:rPr>
            </w:pPr>
            <w:r w:rsidRPr="0002085C">
              <w:rPr>
                <w:rFonts w:cs="宋体" w:hint="eastAsia"/>
                <w:kern w:val="0"/>
              </w:rPr>
              <w:t>拉力</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防水隔热粉</w:t>
            </w:r>
          </w:p>
        </w:tc>
        <w:tc>
          <w:tcPr>
            <w:tcW w:w="1080" w:type="dxa"/>
            <w:vMerge w:val="restart"/>
            <w:vAlign w:val="center"/>
          </w:tcPr>
          <w:p w:rsidR="00A32067" w:rsidRPr="0002085C" w:rsidRDefault="00A32067" w:rsidP="0002085C">
            <w:pPr>
              <w:jc w:val="center"/>
              <w:rPr>
                <w:kern w:val="0"/>
              </w:rPr>
            </w:pPr>
            <w:r w:rsidRPr="0002085C">
              <w:rPr>
                <w:kern w:val="0"/>
              </w:rPr>
              <w:t>08</w:t>
            </w:r>
          </w:p>
        </w:tc>
        <w:tc>
          <w:tcPr>
            <w:tcW w:w="3420" w:type="dxa"/>
            <w:vAlign w:val="center"/>
          </w:tcPr>
          <w:p w:rsidR="00A32067" w:rsidRPr="0002085C" w:rsidRDefault="00A32067" w:rsidP="0002085C">
            <w:pPr>
              <w:jc w:val="center"/>
              <w:rPr>
                <w:kern w:val="0"/>
              </w:rPr>
            </w:pPr>
            <w:r w:rsidRPr="0002085C">
              <w:rPr>
                <w:rFonts w:cs="宋体" w:hint="eastAsia"/>
                <w:kern w:val="0"/>
              </w:rPr>
              <w:t>堆积密度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含水率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导热系数</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不透水性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耐热性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外观</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w:t>
            </w:r>
          </w:p>
        </w:tc>
      </w:tr>
    </w:tbl>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F</w:t>
      </w:r>
      <w:r>
        <w:rPr>
          <w:rFonts w:ascii="Times New Roman" w:hAnsi="Times New Roman" w:hint="eastAsia"/>
          <w:b/>
          <w:bCs/>
          <w:kern w:val="2"/>
        </w:rPr>
        <w:t>土</w:t>
      </w:r>
      <w:r>
        <w:rPr>
          <w:rFonts w:ascii="Times New Roman" w:hAnsi="Times New Roman" w:cs="Times New Roman"/>
          <w:b/>
          <w:bCs/>
          <w:kern w:val="2"/>
        </w:rPr>
        <w:t xml:space="preserve">                                                              F01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800"/>
        <w:gridCol w:w="1620"/>
        <w:gridCol w:w="1296"/>
        <w:gridCol w:w="1701"/>
      </w:tblGrid>
      <w:tr w:rsidR="00A32067">
        <w:trPr>
          <w:trHeight w:val="652"/>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简易土工</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3420" w:type="dxa"/>
            <w:gridSpan w:val="2"/>
            <w:vMerge w:val="restart"/>
            <w:vAlign w:val="center"/>
          </w:tcPr>
          <w:p w:rsidR="00A32067" w:rsidRPr="0002085C" w:rsidRDefault="00A32067" w:rsidP="0002085C">
            <w:pPr>
              <w:jc w:val="center"/>
              <w:rPr>
                <w:kern w:val="0"/>
              </w:rPr>
            </w:pPr>
            <w:r w:rsidRPr="0002085C">
              <w:rPr>
                <w:rFonts w:cs="宋体" w:hint="eastAsia"/>
                <w:kern w:val="0"/>
              </w:rPr>
              <w:t>含水率</w:t>
            </w:r>
          </w:p>
          <w:p w:rsidR="00A32067" w:rsidRPr="0002085C" w:rsidRDefault="00A32067" w:rsidP="0002085C">
            <w:pPr>
              <w:jc w:val="center"/>
              <w:rPr>
                <w:kern w:val="0"/>
              </w:rPr>
            </w:pPr>
            <w:r w:rsidRPr="0002085C">
              <w:rPr>
                <w:rFonts w:cs="宋体" w:hint="eastAsia"/>
                <w:kern w:val="0"/>
              </w:rPr>
              <w:t>密度</w:t>
            </w:r>
          </w:p>
          <w:p w:rsidR="00A32067" w:rsidRPr="0002085C" w:rsidRDefault="00A32067" w:rsidP="0002085C">
            <w:pPr>
              <w:jc w:val="center"/>
              <w:rPr>
                <w:kern w:val="0"/>
              </w:rPr>
            </w:pPr>
            <w:r w:rsidRPr="0002085C">
              <w:rPr>
                <w:rFonts w:cs="宋体" w:hint="eastAsia"/>
                <w:kern w:val="0"/>
              </w:rPr>
              <w:t>击实</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Merge/>
            <w:vAlign w:val="center"/>
          </w:tcPr>
          <w:p w:rsidR="00A32067" w:rsidRPr="0002085C" w:rsidRDefault="00A32067" w:rsidP="0002085C">
            <w:pPr>
              <w:jc w:val="center"/>
              <w:rPr>
                <w:kern w:val="0"/>
              </w:rPr>
            </w:pP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Merge/>
            <w:vAlign w:val="center"/>
          </w:tcPr>
          <w:p w:rsidR="00A32067" w:rsidRPr="0002085C" w:rsidRDefault="00A32067" w:rsidP="0002085C">
            <w:pPr>
              <w:jc w:val="center"/>
              <w:rPr>
                <w:kern w:val="0"/>
              </w:rPr>
            </w:pP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砂、石最大干密度</w:t>
            </w:r>
          </w:p>
        </w:tc>
        <w:tc>
          <w:tcPr>
            <w:tcW w:w="1296" w:type="dxa"/>
            <w:vAlign w:val="center"/>
          </w:tcPr>
          <w:p w:rsidR="00A32067" w:rsidRPr="0002085C" w:rsidRDefault="00A32067" w:rsidP="0002085C">
            <w:pPr>
              <w:jc w:val="center"/>
              <w:rPr>
                <w:kern w:val="0"/>
              </w:rPr>
            </w:pPr>
            <w:r w:rsidRPr="0002085C">
              <w:rPr>
                <w:rFonts w:cs="宋体" w:hint="eastAsia"/>
                <w:kern w:val="0"/>
              </w:rPr>
              <w:t>配比</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砂石垫层密度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坑</w:t>
            </w:r>
          </w:p>
        </w:tc>
        <w:tc>
          <w:tcPr>
            <w:tcW w:w="1701" w:type="dxa"/>
            <w:vAlign w:val="center"/>
          </w:tcPr>
          <w:p w:rsidR="00A32067" w:rsidRPr="0002085C" w:rsidRDefault="00A32067" w:rsidP="0002085C">
            <w:pPr>
              <w:jc w:val="center"/>
              <w:rPr>
                <w:kern w:val="0"/>
              </w:rPr>
            </w:pPr>
            <w:r w:rsidRPr="0002085C">
              <w:rPr>
                <w:kern w:val="0"/>
              </w:rPr>
              <w:t>220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砂石垫层取样</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52"/>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土各项性能</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比重试验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容重试验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砂的相对密度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restart"/>
            <w:vAlign w:val="center"/>
          </w:tcPr>
          <w:p w:rsidR="00A32067" w:rsidRPr="0002085C" w:rsidRDefault="00A32067" w:rsidP="0002085C">
            <w:pPr>
              <w:jc w:val="center"/>
              <w:rPr>
                <w:kern w:val="0"/>
              </w:rPr>
            </w:pPr>
            <w:r w:rsidRPr="0002085C">
              <w:rPr>
                <w:rFonts w:cs="宋体" w:hint="eastAsia"/>
                <w:kern w:val="0"/>
              </w:rPr>
              <w:t>颗粒分析</w:t>
            </w:r>
          </w:p>
        </w:tc>
        <w:tc>
          <w:tcPr>
            <w:tcW w:w="1620" w:type="dxa"/>
            <w:vAlign w:val="center"/>
          </w:tcPr>
          <w:p w:rsidR="00A32067" w:rsidRPr="0002085C" w:rsidRDefault="00A32067" w:rsidP="0002085C">
            <w:pPr>
              <w:jc w:val="center"/>
              <w:rPr>
                <w:kern w:val="0"/>
              </w:rPr>
            </w:pPr>
            <w:r w:rsidRPr="0002085C">
              <w:rPr>
                <w:kern w:val="0"/>
              </w:rPr>
              <w:t>≤0.074mm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ign w:val="center"/>
          </w:tcPr>
          <w:p w:rsidR="00A32067" w:rsidRPr="0002085C" w:rsidRDefault="00A32067" w:rsidP="0002085C">
            <w:pPr>
              <w:jc w:val="center"/>
              <w:rPr>
                <w:kern w:val="0"/>
              </w:rPr>
            </w:pPr>
          </w:p>
        </w:tc>
        <w:tc>
          <w:tcPr>
            <w:tcW w:w="1620" w:type="dxa"/>
            <w:vAlign w:val="center"/>
          </w:tcPr>
          <w:p w:rsidR="00A32067" w:rsidRPr="0002085C" w:rsidRDefault="00A32067" w:rsidP="0002085C">
            <w:pPr>
              <w:jc w:val="center"/>
              <w:rPr>
                <w:kern w:val="0"/>
              </w:rPr>
            </w:pPr>
            <w:r w:rsidRPr="0002085C">
              <w:rPr>
                <w:kern w:val="0"/>
              </w:rPr>
              <w:t>≥0.075mm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烧失量</w:t>
            </w:r>
          </w:p>
          <w:p w:rsidR="00A32067" w:rsidRPr="0002085C" w:rsidRDefault="00A32067" w:rsidP="0002085C">
            <w:pPr>
              <w:jc w:val="center"/>
              <w:rPr>
                <w:kern w:val="0"/>
              </w:rPr>
            </w:pPr>
            <w:r w:rsidRPr="0002085C">
              <w:rPr>
                <w:rFonts w:cs="宋体" w:hint="eastAsia"/>
                <w:kern w:val="0"/>
              </w:rPr>
              <w:t>液塑限</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酸碱度试验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收缩试验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125</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自由膨胀试验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无荷膨胀量试验</w:t>
            </w:r>
          </w:p>
          <w:p w:rsidR="00A32067" w:rsidRPr="0002085C" w:rsidRDefault="00A32067" w:rsidP="0002085C">
            <w:pPr>
              <w:jc w:val="center"/>
              <w:rPr>
                <w:kern w:val="0"/>
              </w:rPr>
            </w:pPr>
            <w:r w:rsidRPr="0002085C">
              <w:rPr>
                <w:rFonts w:cs="宋体" w:hint="eastAsia"/>
                <w:kern w:val="0"/>
              </w:rPr>
              <w:t>有机质含量</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有荷膨胀量试验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65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膨胀力试验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F</w:t>
      </w:r>
      <w:r>
        <w:rPr>
          <w:rFonts w:ascii="Times New Roman" w:hAnsi="Times New Roman" w:hint="eastAsia"/>
          <w:b/>
          <w:bCs/>
          <w:kern w:val="2"/>
        </w:rPr>
        <w:t>土</w:t>
      </w:r>
      <w:r>
        <w:rPr>
          <w:rFonts w:ascii="Times New Roman" w:hAnsi="Times New Roman" w:cs="Times New Roman"/>
          <w:b/>
          <w:bCs/>
          <w:kern w:val="2"/>
        </w:rPr>
        <w:t xml:space="preserve">                                                                     F02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737"/>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hRule="exact" w:val="77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土各项性能</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vAlign w:val="center"/>
          </w:tcPr>
          <w:p w:rsidR="00A32067" w:rsidRPr="0002085C" w:rsidRDefault="00A32067" w:rsidP="0002085C">
            <w:pPr>
              <w:jc w:val="center"/>
              <w:rPr>
                <w:kern w:val="0"/>
              </w:rPr>
            </w:pPr>
            <w:r w:rsidRPr="0002085C">
              <w:rPr>
                <w:rFonts w:cs="宋体" w:hint="eastAsia"/>
                <w:kern w:val="0"/>
              </w:rPr>
              <w:t>中溶盐石膏试验</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155</w:t>
            </w:r>
          </w:p>
        </w:tc>
      </w:tr>
      <w:tr w:rsidR="00A32067">
        <w:trPr>
          <w:trHeight w:hRule="exact" w:val="1553"/>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易溶盐总量试验</w:t>
            </w:r>
          </w:p>
          <w:p w:rsidR="00A32067" w:rsidRPr="0002085C" w:rsidRDefault="00A32067" w:rsidP="0002085C">
            <w:pPr>
              <w:jc w:val="center"/>
              <w:rPr>
                <w:kern w:val="0"/>
              </w:rPr>
            </w:pPr>
            <w:r w:rsidRPr="0002085C">
              <w:rPr>
                <w:rFonts w:cs="宋体" w:hint="eastAsia"/>
                <w:kern w:val="0"/>
              </w:rPr>
              <w:t>难溶盐试验</w:t>
            </w:r>
          </w:p>
          <w:p w:rsidR="00A32067" w:rsidRPr="0002085C" w:rsidRDefault="00A32067" w:rsidP="0002085C">
            <w:pPr>
              <w:jc w:val="center"/>
              <w:rPr>
                <w:kern w:val="0"/>
              </w:rPr>
            </w:pPr>
            <w:r w:rsidRPr="0002085C">
              <w:rPr>
                <w:rFonts w:cs="宋体" w:hint="eastAsia"/>
                <w:kern w:val="0"/>
              </w:rPr>
              <w:t>阳离子交换试验</w:t>
            </w:r>
          </w:p>
          <w:p w:rsidR="00A32067" w:rsidRPr="0002085C" w:rsidRDefault="00A32067" w:rsidP="0002085C">
            <w:pPr>
              <w:jc w:val="center"/>
              <w:rPr>
                <w:kern w:val="0"/>
              </w:rPr>
            </w:pPr>
            <w:r w:rsidRPr="0002085C">
              <w:rPr>
                <w:rFonts w:cs="宋体" w:hint="eastAsia"/>
                <w:kern w:val="0"/>
              </w:rPr>
              <w:t>矿物成分试验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hRule="exact" w:val="183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承载比</w:t>
            </w:r>
            <w:r w:rsidRPr="0002085C">
              <w:rPr>
                <w:kern w:val="0"/>
              </w:rPr>
              <w:t>CBR</w:t>
            </w:r>
            <w:r w:rsidRPr="0002085C">
              <w:rPr>
                <w:rFonts w:cs="宋体" w:hint="eastAsia"/>
                <w:kern w:val="0"/>
              </w:rPr>
              <w:t>试验</w:t>
            </w:r>
          </w:p>
          <w:p w:rsidR="00A32067" w:rsidRPr="0002085C" w:rsidRDefault="00A32067" w:rsidP="0002085C">
            <w:pPr>
              <w:jc w:val="center"/>
              <w:rPr>
                <w:kern w:val="0"/>
              </w:rPr>
            </w:pPr>
            <w:r w:rsidRPr="0002085C">
              <w:rPr>
                <w:rFonts w:cs="宋体" w:hint="eastAsia"/>
                <w:kern w:val="0"/>
              </w:rPr>
              <w:t>渗透试验</w:t>
            </w:r>
          </w:p>
          <w:p w:rsidR="00A32067" w:rsidRPr="0002085C" w:rsidRDefault="00A32067" w:rsidP="0002085C">
            <w:pPr>
              <w:jc w:val="center"/>
              <w:rPr>
                <w:kern w:val="0"/>
              </w:rPr>
            </w:pPr>
            <w:r w:rsidRPr="0002085C">
              <w:rPr>
                <w:rFonts w:cs="宋体" w:hint="eastAsia"/>
                <w:kern w:val="0"/>
              </w:rPr>
              <w:t>无侧限抗压强度试验</w:t>
            </w:r>
          </w:p>
          <w:p w:rsidR="00A32067" w:rsidRPr="0002085C" w:rsidRDefault="00A32067" w:rsidP="0002085C">
            <w:pPr>
              <w:jc w:val="center"/>
              <w:rPr>
                <w:kern w:val="0"/>
              </w:rPr>
            </w:pPr>
            <w:r w:rsidRPr="0002085C">
              <w:rPr>
                <w:rFonts w:cs="宋体" w:hint="eastAsia"/>
                <w:kern w:val="0"/>
              </w:rPr>
              <w:t>三轴压缩试验</w:t>
            </w:r>
          </w:p>
          <w:p w:rsidR="00A32067" w:rsidRPr="0002085C" w:rsidRDefault="00A32067" w:rsidP="0002085C">
            <w:pPr>
              <w:jc w:val="center"/>
              <w:rPr>
                <w:kern w:val="0"/>
              </w:rPr>
            </w:pPr>
            <w:r w:rsidRPr="0002085C">
              <w:rPr>
                <w:rFonts w:cs="宋体" w:hint="eastAsia"/>
                <w:kern w:val="0"/>
              </w:rPr>
              <w:t>不排水抗剪强度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510</w:t>
            </w:r>
          </w:p>
        </w:tc>
      </w:tr>
      <w:tr w:rsidR="00A32067">
        <w:trPr>
          <w:trHeight w:hRule="exact" w:val="992"/>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回弹模量试验</w:t>
            </w:r>
          </w:p>
          <w:p w:rsidR="00A32067" w:rsidRPr="0002085C" w:rsidRDefault="00A32067" w:rsidP="0002085C">
            <w:pPr>
              <w:jc w:val="center"/>
              <w:rPr>
                <w:kern w:val="0"/>
              </w:rPr>
            </w:pPr>
            <w:r w:rsidRPr="0002085C">
              <w:rPr>
                <w:rFonts w:cs="宋体" w:hint="eastAsia"/>
                <w:kern w:val="0"/>
              </w:rPr>
              <w:t>毛细管水上升高度试验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hRule="exact" w:val="723"/>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直剪试验</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hRule="exact" w:val="988"/>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固结试验</w:t>
            </w:r>
          </w:p>
          <w:p w:rsidR="00A32067" w:rsidRPr="0002085C" w:rsidRDefault="00A32067" w:rsidP="0002085C">
            <w:pPr>
              <w:jc w:val="center"/>
              <w:rPr>
                <w:kern w:val="0"/>
              </w:rPr>
            </w:pPr>
            <w:r w:rsidRPr="0002085C">
              <w:rPr>
                <w:rFonts w:cs="宋体" w:hint="eastAsia"/>
                <w:kern w:val="0"/>
              </w:rPr>
              <w:t>黄土湿陷试验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410</w:t>
            </w:r>
          </w:p>
        </w:tc>
      </w:tr>
      <w:tr w:rsidR="00A32067">
        <w:trPr>
          <w:trHeight w:hRule="exact" w:val="705"/>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天然稠度试验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hRule="exact" w:val="699"/>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天然休止角</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hRule="exact" w:val="707"/>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相对密度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G</w:t>
      </w:r>
      <w:r>
        <w:rPr>
          <w:rFonts w:ascii="Times New Roman" w:hAnsi="Times New Roman" w:hint="eastAsia"/>
          <w:b/>
          <w:bCs/>
          <w:kern w:val="2"/>
        </w:rPr>
        <w:t>沥青及沥青混合料</w:t>
      </w:r>
      <w:r>
        <w:rPr>
          <w:rFonts w:ascii="Times New Roman" w:hAnsi="Times New Roman" w:cs="Times New Roman"/>
          <w:b/>
          <w:bCs/>
          <w:kern w:val="2"/>
        </w:rPr>
        <w:t xml:space="preserve">                                                    G01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440"/>
        <w:gridCol w:w="1800"/>
        <w:gridCol w:w="1296"/>
        <w:gridCol w:w="1701"/>
      </w:tblGrid>
      <w:tr w:rsidR="00A32067">
        <w:trPr>
          <w:trHeight w:val="737"/>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73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沥青及改性沥青</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比重</w:t>
            </w:r>
          </w:p>
          <w:p w:rsidR="00A32067" w:rsidRPr="0002085C" w:rsidRDefault="00A32067" w:rsidP="0002085C">
            <w:pPr>
              <w:jc w:val="center"/>
              <w:rPr>
                <w:kern w:val="0"/>
              </w:rPr>
            </w:pPr>
            <w:r w:rsidRPr="0002085C">
              <w:rPr>
                <w:rFonts w:cs="宋体" w:hint="eastAsia"/>
                <w:kern w:val="0"/>
              </w:rPr>
              <w:t>软化点</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粘度</w:t>
            </w:r>
          </w:p>
          <w:p w:rsidR="00A32067" w:rsidRPr="0002085C" w:rsidRDefault="00A32067" w:rsidP="0002085C">
            <w:pPr>
              <w:jc w:val="center"/>
              <w:rPr>
                <w:kern w:val="0"/>
              </w:rPr>
            </w:pPr>
            <w:r w:rsidRPr="0002085C">
              <w:rPr>
                <w:rFonts w:cs="宋体" w:hint="eastAsia"/>
                <w:kern w:val="0"/>
              </w:rPr>
              <w:t>动力粘度试验</w:t>
            </w:r>
          </w:p>
          <w:p w:rsidR="00A32067" w:rsidRPr="0002085C" w:rsidRDefault="00A32067" w:rsidP="0002085C">
            <w:pPr>
              <w:jc w:val="center"/>
              <w:rPr>
                <w:kern w:val="0"/>
              </w:rPr>
            </w:pPr>
            <w:r w:rsidRPr="0002085C">
              <w:rPr>
                <w:rFonts w:cs="宋体" w:hint="eastAsia"/>
                <w:kern w:val="0"/>
              </w:rPr>
              <w:t>闪点、燃点</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440" w:type="dxa"/>
            <w:vMerge w:val="restart"/>
            <w:vAlign w:val="center"/>
          </w:tcPr>
          <w:p w:rsidR="00A32067" w:rsidRPr="0002085C" w:rsidRDefault="00A32067" w:rsidP="0002085C">
            <w:pPr>
              <w:jc w:val="center"/>
              <w:rPr>
                <w:kern w:val="0"/>
              </w:rPr>
            </w:pPr>
            <w:r w:rsidRPr="0002085C">
              <w:rPr>
                <w:rFonts w:cs="宋体" w:hint="eastAsia"/>
                <w:kern w:val="0"/>
              </w:rPr>
              <w:t>延度</w:t>
            </w:r>
          </w:p>
        </w:tc>
        <w:tc>
          <w:tcPr>
            <w:tcW w:w="1800" w:type="dxa"/>
            <w:vAlign w:val="center"/>
          </w:tcPr>
          <w:p w:rsidR="00A32067" w:rsidRPr="0002085C" w:rsidRDefault="00A32067" w:rsidP="0002085C">
            <w:pPr>
              <w:jc w:val="center"/>
              <w:rPr>
                <w:kern w:val="0"/>
              </w:rPr>
            </w:pPr>
            <w:r w:rsidRPr="0002085C">
              <w:rPr>
                <w:kern w:val="0"/>
              </w:rPr>
              <w:t>≥15</w:t>
            </w:r>
            <w:r w:rsidRPr="0002085C">
              <w:rPr>
                <w:rFonts w:ascii="宋体" w:hAnsi="宋体" w:cs="宋体" w:hint="eastAsia"/>
                <w:kern w:val="0"/>
              </w:rPr>
              <w:t>℃</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440" w:type="dxa"/>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kern w:val="0"/>
              </w:rPr>
              <w:t>≤5</w:t>
            </w:r>
            <w:r w:rsidRPr="0002085C">
              <w:rPr>
                <w:rFonts w:ascii="宋体" w:hAnsi="宋体" w:cs="宋体" w:hint="eastAsia"/>
                <w:kern w:val="0"/>
              </w:rPr>
              <w:t>℃</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含水量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沥青化学分析</w:t>
            </w:r>
          </w:p>
          <w:p w:rsidR="00A32067" w:rsidRPr="0002085C" w:rsidRDefault="00A32067" w:rsidP="0002085C">
            <w:pPr>
              <w:jc w:val="center"/>
              <w:rPr>
                <w:kern w:val="0"/>
              </w:rPr>
            </w:pPr>
            <w:r w:rsidRPr="0002085C">
              <w:rPr>
                <w:rFonts w:cs="宋体" w:hint="eastAsia"/>
                <w:kern w:val="0"/>
              </w:rPr>
              <w:t>离析试验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针入度</w:t>
            </w:r>
          </w:p>
          <w:p w:rsidR="00A32067" w:rsidRPr="0002085C" w:rsidRDefault="00A32067" w:rsidP="0002085C">
            <w:pPr>
              <w:jc w:val="center"/>
              <w:rPr>
                <w:kern w:val="0"/>
              </w:rPr>
            </w:pPr>
            <w:r w:rsidRPr="0002085C">
              <w:rPr>
                <w:rFonts w:cs="宋体" w:hint="eastAsia"/>
                <w:kern w:val="0"/>
              </w:rPr>
              <w:t>溶解度</w:t>
            </w:r>
          </w:p>
          <w:p w:rsidR="00A32067" w:rsidRPr="0002085C" w:rsidRDefault="00A32067" w:rsidP="0002085C">
            <w:pPr>
              <w:jc w:val="center"/>
              <w:rPr>
                <w:kern w:val="0"/>
              </w:rPr>
            </w:pPr>
            <w:r w:rsidRPr="0002085C">
              <w:rPr>
                <w:rFonts w:cs="宋体" w:hint="eastAsia"/>
                <w:kern w:val="0"/>
              </w:rPr>
              <w:t>粘结力</w:t>
            </w:r>
          </w:p>
          <w:p w:rsidR="00A32067" w:rsidRPr="0002085C" w:rsidRDefault="00A32067" w:rsidP="0002085C">
            <w:pPr>
              <w:jc w:val="center"/>
              <w:rPr>
                <w:kern w:val="0"/>
              </w:rPr>
            </w:pPr>
            <w:r w:rsidRPr="0002085C">
              <w:rPr>
                <w:rFonts w:cs="宋体" w:hint="eastAsia"/>
                <w:kern w:val="0"/>
              </w:rPr>
              <w:t>弹性恢复试验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含蜡量</w:t>
            </w:r>
          </w:p>
          <w:p w:rsidR="00A32067" w:rsidRPr="0002085C" w:rsidRDefault="00A32067" w:rsidP="0002085C">
            <w:pPr>
              <w:jc w:val="center"/>
              <w:rPr>
                <w:kern w:val="0"/>
              </w:rPr>
            </w:pPr>
            <w:r w:rsidRPr="0002085C">
              <w:rPr>
                <w:rFonts w:cs="宋体" w:hint="eastAsia"/>
                <w:kern w:val="0"/>
              </w:rPr>
              <w:t>乳化沥青全分析</w:t>
            </w:r>
          </w:p>
          <w:p w:rsidR="00A32067" w:rsidRPr="0002085C" w:rsidRDefault="00A32067" w:rsidP="0002085C">
            <w:pPr>
              <w:jc w:val="center"/>
              <w:rPr>
                <w:kern w:val="0"/>
              </w:rPr>
            </w:pPr>
            <w:r w:rsidRPr="0002085C">
              <w:rPr>
                <w:rFonts w:cs="宋体" w:hint="eastAsia"/>
                <w:kern w:val="0"/>
              </w:rPr>
              <w:t>沥青混合料弯曲试验</w:t>
            </w:r>
          </w:p>
          <w:p w:rsidR="00A32067" w:rsidRPr="0002085C" w:rsidRDefault="00A32067" w:rsidP="0002085C">
            <w:pPr>
              <w:jc w:val="center"/>
              <w:rPr>
                <w:kern w:val="0"/>
              </w:rPr>
            </w:pPr>
            <w:r w:rsidRPr="0002085C">
              <w:rPr>
                <w:rFonts w:cs="宋体" w:hint="eastAsia"/>
                <w:kern w:val="0"/>
              </w:rPr>
              <w:t>冻融劈裂试验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薄膜加热</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蒸馏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脆点</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低温粘结试验</w:t>
            </w:r>
          </w:p>
          <w:p w:rsidR="00A32067" w:rsidRPr="0002085C" w:rsidRDefault="00A32067" w:rsidP="0002085C">
            <w:pPr>
              <w:jc w:val="center"/>
              <w:rPr>
                <w:kern w:val="0"/>
              </w:rPr>
            </w:pPr>
            <w:r w:rsidRPr="0002085C">
              <w:rPr>
                <w:rFonts w:cs="宋体" w:hint="eastAsia"/>
                <w:kern w:val="0"/>
              </w:rPr>
              <w:t>肯塔堡飞散试验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谢伦堡沥青析漏试验</w:t>
            </w:r>
          </w:p>
          <w:p w:rsidR="00A32067" w:rsidRPr="0002085C" w:rsidRDefault="00A32067" w:rsidP="0002085C">
            <w:pPr>
              <w:jc w:val="center"/>
              <w:rPr>
                <w:kern w:val="0"/>
              </w:rPr>
            </w:pPr>
            <w:r w:rsidRPr="0002085C">
              <w:rPr>
                <w:rFonts w:cs="宋体" w:hint="eastAsia"/>
                <w:kern w:val="0"/>
              </w:rPr>
              <w:t>马歇尔试验</w:t>
            </w:r>
          </w:p>
          <w:p w:rsidR="00A32067" w:rsidRPr="0002085C" w:rsidRDefault="00A32067" w:rsidP="0002085C">
            <w:pPr>
              <w:jc w:val="center"/>
              <w:rPr>
                <w:kern w:val="0"/>
              </w:rPr>
            </w:pPr>
            <w:r w:rsidRPr="0002085C">
              <w:rPr>
                <w:rFonts w:cs="宋体" w:hint="eastAsia"/>
                <w:kern w:val="0"/>
              </w:rPr>
              <w:t>改性沥青针入度指数</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7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低温延度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G</w:t>
      </w:r>
      <w:r>
        <w:rPr>
          <w:rFonts w:ascii="Times New Roman" w:hAnsi="Times New Roman" w:hint="eastAsia"/>
          <w:b/>
          <w:bCs/>
          <w:kern w:val="2"/>
        </w:rPr>
        <w:t>沥青及沥青混合料</w:t>
      </w:r>
      <w:r>
        <w:rPr>
          <w:rFonts w:ascii="Times New Roman" w:hAnsi="Times New Roman" w:cs="Times New Roman"/>
          <w:b/>
          <w:bCs/>
          <w:kern w:val="2"/>
        </w:rPr>
        <w:t xml:space="preserve">                                                      G02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沥青混合料</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240" w:type="dxa"/>
            <w:vAlign w:val="center"/>
          </w:tcPr>
          <w:p w:rsidR="00A32067" w:rsidRPr="0002085C" w:rsidRDefault="00A32067" w:rsidP="0002085C">
            <w:pPr>
              <w:jc w:val="center"/>
              <w:rPr>
                <w:kern w:val="0"/>
              </w:rPr>
            </w:pPr>
            <w:r w:rsidRPr="0002085C">
              <w:rPr>
                <w:rFonts w:cs="宋体" w:hint="eastAsia"/>
                <w:kern w:val="0"/>
              </w:rPr>
              <w:t>沥青砂浆配合比设计</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沥青砼配合比设计</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劈裂试验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油石比</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抽提后筛分</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蜡封法测密度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乳化沥青稀浆封层混合料</w:t>
            </w:r>
          </w:p>
          <w:p w:rsidR="00A32067" w:rsidRPr="0002085C" w:rsidRDefault="00A32067" w:rsidP="0002085C">
            <w:pPr>
              <w:jc w:val="center"/>
              <w:rPr>
                <w:kern w:val="0"/>
              </w:rPr>
            </w:pPr>
            <w:r w:rsidRPr="0002085C">
              <w:rPr>
                <w:rFonts w:cs="宋体" w:hint="eastAsia"/>
                <w:kern w:val="0"/>
              </w:rPr>
              <w:t>稠度、固化时间、碾压试验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沥青混凝土车辙</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3200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H01</w:t>
      </w:r>
      <w:r>
        <w:rPr>
          <w:rFonts w:ascii="Times New Roman" w:hAnsi="Times New Roman" w:hint="eastAsia"/>
          <w:b/>
          <w:bCs/>
          <w:kern w:val="2"/>
        </w:rPr>
        <w:t>～</w:t>
      </w:r>
      <w:r>
        <w:rPr>
          <w:rFonts w:ascii="Times New Roman" w:hAnsi="Times New Roman" w:cs="Times New Roman"/>
          <w:b/>
          <w:bCs/>
          <w:kern w:val="2"/>
        </w:rPr>
        <w:t>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砌墙砖及多孔砖</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240" w:type="dxa"/>
            <w:vAlign w:val="center"/>
          </w:tcPr>
          <w:p w:rsidR="00A32067" w:rsidRPr="0002085C" w:rsidRDefault="00A32067" w:rsidP="0002085C">
            <w:pPr>
              <w:jc w:val="center"/>
              <w:rPr>
                <w:kern w:val="0"/>
              </w:rPr>
            </w:pPr>
            <w:r w:rsidRPr="0002085C">
              <w:rPr>
                <w:rFonts w:cs="宋体" w:hint="eastAsia"/>
                <w:kern w:val="0"/>
              </w:rPr>
              <w:t>外观</w:t>
            </w:r>
          </w:p>
          <w:p w:rsidR="00A32067" w:rsidRPr="0002085C" w:rsidRDefault="00A32067" w:rsidP="0002085C">
            <w:pPr>
              <w:jc w:val="center"/>
              <w:rPr>
                <w:kern w:val="0"/>
              </w:rPr>
            </w:pPr>
            <w:r w:rsidRPr="0002085C">
              <w:rPr>
                <w:rFonts w:cs="宋体" w:hint="eastAsia"/>
                <w:kern w:val="0"/>
              </w:rPr>
              <w:t>石灰爆裂</w:t>
            </w:r>
          </w:p>
          <w:p w:rsidR="00A32067" w:rsidRPr="0002085C" w:rsidRDefault="00A32067" w:rsidP="0002085C">
            <w:pPr>
              <w:jc w:val="center"/>
              <w:rPr>
                <w:kern w:val="0"/>
              </w:rPr>
            </w:pPr>
            <w:r w:rsidRPr="0002085C">
              <w:rPr>
                <w:rFonts w:cs="宋体" w:hint="eastAsia"/>
                <w:kern w:val="0"/>
              </w:rPr>
              <w:t>空洞率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p w:rsidR="00A32067" w:rsidRPr="0002085C" w:rsidRDefault="00A32067" w:rsidP="0002085C">
            <w:pPr>
              <w:jc w:val="center"/>
              <w:rPr>
                <w:kern w:val="0"/>
              </w:rPr>
            </w:pPr>
            <w:r w:rsidRPr="0002085C">
              <w:rPr>
                <w:rFonts w:cs="宋体" w:hint="eastAsia"/>
                <w:kern w:val="0"/>
              </w:rPr>
              <w:t>抗折强度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抗冻及测强</w:t>
            </w:r>
          </w:p>
          <w:p w:rsidR="00A32067" w:rsidRPr="0002085C" w:rsidRDefault="00A32067" w:rsidP="0002085C">
            <w:pPr>
              <w:jc w:val="center"/>
              <w:rPr>
                <w:kern w:val="0"/>
              </w:rPr>
            </w:pPr>
            <w:r w:rsidRPr="0002085C">
              <w:rPr>
                <w:rFonts w:cs="宋体" w:hint="eastAsia"/>
                <w:kern w:val="0"/>
              </w:rPr>
              <w:t>碳化性</w:t>
            </w:r>
          </w:p>
          <w:p w:rsidR="00A32067" w:rsidRPr="0002085C" w:rsidRDefault="00A32067" w:rsidP="0002085C">
            <w:pPr>
              <w:jc w:val="center"/>
              <w:rPr>
                <w:kern w:val="0"/>
              </w:rPr>
            </w:pPr>
            <w:r w:rsidRPr="0002085C">
              <w:rPr>
                <w:rFonts w:cs="宋体" w:hint="eastAsia"/>
                <w:kern w:val="0"/>
              </w:rPr>
              <w:t>冻融</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泛霜</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吸水率和饱和系数</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放射性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干缩率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水泥花砖及路面砖</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24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p w:rsidR="00A32067" w:rsidRPr="0002085C" w:rsidRDefault="00A32067" w:rsidP="0002085C">
            <w:pPr>
              <w:jc w:val="center"/>
              <w:rPr>
                <w:kern w:val="0"/>
              </w:rPr>
            </w:pPr>
            <w:r w:rsidRPr="0002085C">
              <w:rPr>
                <w:rFonts w:cs="宋体" w:hint="eastAsia"/>
                <w:kern w:val="0"/>
              </w:rPr>
              <w:t>抗折强度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耐磨性</w:t>
            </w:r>
          </w:p>
          <w:p w:rsidR="00A32067" w:rsidRPr="0002085C" w:rsidRDefault="00A32067" w:rsidP="0002085C">
            <w:pPr>
              <w:jc w:val="center"/>
              <w:rPr>
                <w:kern w:val="0"/>
              </w:rPr>
            </w:pPr>
            <w:r w:rsidRPr="0002085C">
              <w:rPr>
                <w:rFonts w:cs="宋体" w:hint="eastAsia"/>
                <w:kern w:val="0"/>
              </w:rPr>
              <w:t>抗冻性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吸水率</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陶瓷墙地砖</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3240" w:type="dxa"/>
            <w:vAlign w:val="center"/>
          </w:tcPr>
          <w:p w:rsidR="00A32067" w:rsidRPr="0002085C" w:rsidRDefault="00A32067" w:rsidP="0002085C">
            <w:pPr>
              <w:jc w:val="center"/>
              <w:rPr>
                <w:kern w:val="0"/>
              </w:rPr>
            </w:pPr>
            <w:r w:rsidRPr="0002085C">
              <w:rPr>
                <w:rFonts w:cs="宋体" w:hint="eastAsia"/>
                <w:kern w:val="0"/>
              </w:rPr>
              <w:t>吸水性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抗弯强度（断裂模数）</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规格尺寸</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表面质量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H03</w:t>
      </w:r>
      <w:r>
        <w:rPr>
          <w:rFonts w:ascii="Times New Roman" w:hAnsi="Times New Roman" w:hint="eastAsia"/>
          <w:b/>
          <w:bCs/>
          <w:kern w:val="2"/>
        </w:rPr>
        <w:t>～</w:t>
      </w:r>
      <w:r>
        <w:rPr>
          <w:rFonts w:ascii="Times New Roman" w:hAnsi="Times New Roman" w:cs="Times New Roman"/>
          <w:b/>
          <w:bCs/>
          <w:kern w:val="2"/>
        </w:rPr>
        <w:t>05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567"/>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56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陶瓷墙地砖</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3240" w:type="dxa"/>
            <w:vAlign w:val="center"/>
          </w:tcPr>
          <w:p w:rsidR="00A32067" w:rsidRPr="0002085C" w:rsidRDefault="00A32067" w:rsidP="0002085C">
            <w:pPr>
              <w:jc w:val="center"/>
              <w:rPr>
                <w:kern w:val="0"/>
              </w:rPr>
            </w:pPr>
            <w:r w:rsidRPr="0002085C">
              <w:rPr>
                <w:rFonts w:cs="宋体" w:hint="eastAsia"/>
                <w:kern w:val="0"/>
              </w:rPr>
              <w:t>抗釉裂性</w:t>
            </w:r>
          </w:p>
          <w:p w:rsidR="00A32067" w:rsidRPr="0002085C" w:rsidRDefault="00A32067" w:rsidP="0002085C">
            <w:pPr>
              <w:jc w:val="center"/>
              <w:rPr>
                <w:kern w:val="0"/>
              </w:rPr>
            </w:pPr>
            <w:r w:rsidRPr="0002085C">
              <w:rPr>
                <w:rFonts w:cs="宋体" w:hint="eastAsia"/>
                <w:kern w:val="0"/>
              </w:rPr>
              <w:t>抗冲击性</w:t>
            </w:r>
          </w:p>
          <w:p w:rsidR="00A32067" w:rsidRPr="0002085C" w:rsidRDefault="00A32067" w:rsidP="0002085C">
            <w:pPr>
              <w:jc w:val="center"/>
              <w:rPr>
                <w:kern w:val="0"/>
              </w:rPr>
            </w:pPr>
            <w:r w:rsidRPr="0002085C">
              <w:rPr>
                <w:rFonts w:cs="宋体" w:hint="eastAsia"/>
                <w:kern w:val="0"/>
              </w:rPr>
              <w:t>铅镉溶出量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230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耐化学腐蚀</w:t>
            </w:r>
          </w:p>
          <w:p w:rsidR="00A32067" w:rsidRPr="0002085C" w:rsidRDefault="00A32067" w:rsidP="0002085C">
            <w:pPr>
              <w:jc w:val="center"/>
              <w:rPr>
                <w:kern w:val="0"/>
              </w:rPr>
            </w:pPr>
            <w:r w:rsidRPr="0002085C">
              <w:rPr>
                <w:rFonts w:cs="宋体" w:hint="eastAsia"/>
                <w:kern w:val="0"/>
              </w:rPr>
              <w:t>釉面耐磨性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抗热震性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抗冻（</w:t>
            </w:r>
            <w:r w:rsidRPr="0002085C">
              <w:rPr>
                <w:kern w:val="0"/>
              </w:rPr>
              <w:t>100</w:t>
            </w:r>
            <w:r w:rsidRPr="0002085C">
              <w:rPr>
                <w:rFonts w:cs="宋体" w:hint="eastAsia"/>
                <w:kern w:val="0"/>
              </w:rPr>
              <w:t>次）</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光泽度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色差</w:t>
            </w:r>
          </w:p>
          <w:p w:rsidR="00A32067" w:rsidRPr="0002085C" w:rsidRDefault="00A32067" w:rsidP="0002085C">
            <w:pPr>
              <w:jc w:val="center"/>
              <w:rPr>
                <w:kern w:val="0"/>
              </w:rPr>
            </w:pPr>
            <w:r w:rsidRPr="0002085C">
              <w:rPr>
                <w:rFonts w:cs="宋体" w:hint="eastAsia"/>
                <w:kern w:val="0"/>
              </w:rPr>
              <w:t>耐污染性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75</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耐酸、耐碱</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湿膨胀</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56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建筑用瓦</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3240" w:type="dxa"/>
            <w:vAlign w:val="center"/>
          </w:tcPr>
          <w:p w:rsidR="00A32067" w:rsidRPr="0002085C" w:rsidRDefault="00A32067" w:rsidP="0002085C">
            <w:pPr>
              <w:jc w:val="center"/>
              <w:rPr>
                <w:kern w:val="0"/>
              </w:rPr>
            </w:pPr>
            <w:r w:rsidRPr="0002085C">
              <w:rPr>
                <w:rFonts w:cs="宋体" w:hint="eastAsia"/>
                <w:kern w:val="0"/>
              </w:rPr>
              <w:t>外观</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w:t>
            </w:r>
          </w:p>
          <w:p w:rsidR="00A32067" w:rsidRPr="0002085C" w:rsidRDefault="00A32067" w:rsidP="0002085C">
            <w:pPr>
              <w:jc w:val="center"/>
              <w:rPr>
                <w:kern w:val="0"/>
              </w:rPr>
            </w:pPr>
            <w:r w:rsidRPr="0002085C">
              <w:rPr>
                <w:rFonts w:cs="宋体" w:hint="eastAsia"/>
                <w:kern w:val="0"/>
              </w:rPr>
              <w:t>吸水后重量</w:t>
            </w:r>
          </w:p>
          <w:p w:rsidR="00A32067" w:rsidRPr="0002085C" w:rsidRDefault="00A32067" w:rsidP="0002085C">
            <w:pPr>
              <w:jc w:val="center"/>
              <w:rPr>
                <w:kern w:val="0"/>
              </w:rPr>
            </w:pPr>
            <w:r w:rsidRPr="0002085C">
              <w:rPr>
                <w:rFonts w:cs="宋体" w:hint="eastAsia"/>
                <w:kern w:val="0"/>
              </w:rPr>
              <w:t>抗冲击性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抗渗性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抗折强度</w:t>
            </w:r>
          </w:p>
          <w:p w:rsidR="00A32067" w:rsidRPr="0002085C" w:rsidRDefault="00A32067" w:rsidP="0002085C">
            <w:pPr>
              <w:jc w:val="center"/>
              <w:rPr>
                <w:kern w:val="0"/>
              </w:rPr>
            </w:pPr>
            <w:r w:rsidRPr="0002085C">
              <w:rPr>
                <w:rFonts w:cs="宋体" w:hint="eastAsia"/>
                <w:kern w:val="0"/>
              </w:rPr>
              <w:t>吸水率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耐火</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135</w:t>
            </w:r>
          </w:p>
        </w:tc>
      </w:tr>
      <w:tr w:rsidR="00A32067">
        <w:trPr>
          <w:trHeight w:val="567"/>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石膏板</w:t>
            </w:r>
          </w:p>
        </w:tc>
        <w:tc>
          <w:tcPr>
            <w:tcW w:w="1260" w:type="dxa"/>
            <w:vMerge w:val="restart"/>
            <w:vAlign w:val="center"/>
          </w:tcPr>
          <w:p w:rsidR="00A32067" w:rsidRPr="0002085C" w:rsidRDefault="00A32067" w:rsidP="0002085C">
            <w:pPr>
              <w:jc w:val="center"/>
              <w:rPr>
                <w:kern w:val="0"/>
              </w:rPr>
            </w:pPr>
            <w:r w:rsidRPr="0002085C">
              <w:rPr>
                <w:kern w:val="0"/>
              </w:rPr>
              <w:t>05</w:t>
            </w:r>
          </w:p>
        </w:tc>
        <w:tc>
          <w:tcPr>
            <w:tcW w:w="3240" w:type="dxa"/>
            <w:vAlign w:val="center"/>
          </w:tcPr>
          <w:p w:rsidR="00A32067" w:rsidRPr="0002085C" w:rsidRDefault="00A32067" w:rsidP="0002085C">
            <w:pPr>
              <w:jc w:val="center"/>
              <w:rPr>
                <w:kern w:val="0"/>
              </w:rPr>
            </w:pPr>
            <w:r w:rsidRPr="0002085C">
              <w:rPr>
                <w:rFonts w:cs="宋体" w:hint="eastAsia"/>
                <w:kern w:val="0"/>
              </w:rPr>
              <w:t>外观尺寸</w:t>
            </w:r>
          </w:p>
          <w:p w:rsidR="00A32067" w:rsidRPr="0002085C" w:rsidRDefault="00A32067" w:rsidP="0002085C">
            <w:pPr>
              <w:jc w:val="center"/>
              <w:rPr>
                <w:kern w:val="0"/>
              </w:rPr>
            </w:pPr>
            <w:r w:rsidRPr="0002085C">
              <w:rPr>
                <w:rFonts w:cs="宋体" w:hint="eastAsia"/>
                <w:kern w:val="0"/>
              </w:rPr>
              <w:t>含水率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吸水率</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单位面积重量</w:t>
            </w:r>
          </w:p>
          <w:p w:rsidR="00A32067" w:rsidRPr="0002085C" w:rsidRDefault="00A32067" w:rsidP="0002085C">
            <w:pPr>
              <w:jc w:val="center"/>
              <w:rPr>
                <w:kern w:val="0"/>
              </w:rPr>
            </w:pPr>
            <w:r w:rsidRPr="0002085C">
              <w:rPr>
                <w:rFonts w:cs="宋体" w:hint="eastAsia"/>
                <w:kern w:val="0"/>
              </w:rPr>
              <w:t>阻燃性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断裂荷载</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5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表面吸水性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H06</w:t>
      </w:r>
      <w:r>
        <w:rPr>
          <w:rFonts w:ascii="Times New Roman" w:hAnsi="Times New Roman" w:hint="eastAsia"/>
          <w:b/>
          <w:bCs/>
          <w:kern w:val="2"/>
        </w:rPr>
        <w:t>～</w:t>
      </w:r>
      <w:r>
        <w:rPr>
          <w:rFonts w:ascii="Times New Roman" w:hAnsi="Times New Roman" w:cs="Times New Roman"/>
          <w:b/>
          <w:bCs/>
          <w:kern w:val="2"/>
        </w:rPr>
        <w:t>09</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天然建筑板材</w:t>
            </w:r>
          </w:p>
        </w:tc>
        <w:tc>
          <w:tcPr>
            <w:tcW w:w="1260" w:type="dxa"/>
            <w:vMerge w:val="restart"/>
            <w:vAlign w:val="center"/>
          </w:tcPr>
          <w:p w:rsidR="00A32067" w:rsidRPr="0002085C" w:rsidRDefault="00A32067" w:rsidP="0002085C">
            <w:pPr>
              <w:jc w:val="center"/>
              <w:rPr>
                <w:kern w:val="0"/>
              </w:rPr>
            </w:pPr>
            <w:r w:rsidRPr="0002085C">
              <w:rPr>
                <w:kern w:val="0"/>
              </w:rPr>
              <w:t>06</w:t>
            </w:r>
          </w:p>
        </w:tc>
        <w:tc>
          <w:tcPr>
            <w:tcW w:w="324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光泽度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平面度偏差</w:t>
            </w:r>
          </w:p>
          <w:p w:rsidR="00A32067" w:rsidRPr="0002085C" w:rsidRDefault="00A32067" w:rsidP="0002085C">
            <w:pPr>
              <w:jc w:val="center"/>
              <w:rPr>
                <w:kern w:val="0"/>
              </w:rPr>
            </w:pPr>
            <w:r w:rsidRPr="0002085C">
              <w:rPr>
                <w:rFonts w:cs="宋体" w:hint="eastAsia"/>
                <w:kern w:val="0"/>
              </w:rPr>
              <w:t>角度偏差</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弯曲强度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冻融后压缩强度</w:t>
            </w:r>
          </w:p>
          <w:p w:rsidR="00A32067" w:rsidRPr="0002085C" w:rsidRDefault="00A32067" w:rsidP="0002085C">
            <w:pPr>
              <w:jc w:val="center"/>
              <w:rPr>
                <w:kern w:val="0"/>
              </w:rPr>
            </w:pPr>
            <w:r w:rsidRPr="0002085C">
              <w:rPr>
                <w:rFonts w:cs="宋体" w:hint="eastAsia"/>
                <w:kern w:val="0"/>
              </w:rPr>
              <w:t>耐磨耗</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真密度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水磨石制品</w:t>
            </w:r>
          </w:p>
        </w:tc>
        <w:tc>
          <w:tcPr>
            <w:tcW w:w="1260" w:type="dxa"/>
            <w:vMerge w:val="restart"/>
            <w:vAlign w:val="center"/>
          </w:tcPr>
          <w:p w:rsidR="00A32067" w:rsidRPr="0002085C" w:rsidRDefault="00A32067" w:rsidP="0002085C">
            <w:pPr>
              <w:jc w:val="center"/>
              <w:rPr>
                <w:kern w:val="0"/>
              </w:rPr>
            </w:pPr>
            <w:r w:rsidRPr="0002085C">
              <w:rPr>
                <w:kern w:val="0"/>
              </w:rPr>
              <w:t>07</w:t>
            </w: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光泽度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出石率</w:t>
            </w:r>
          </w:p>
          <w:p w:rsidR="00A32067" w:rsidRPr="0002085C" w:rsidRDefault="00A32067" w:rsidP="0002085C">
            <w:pPr>
              <w:jc w:val="center"/>
              <w:rPr>
                <w:kern w:val="0"/>
              </w:rPr>
            </w:pPr>
            <w:r w:rsidRPr="0002085C">
              <w:rPr>
                <w:rFonts w:cs="宋体" w:hint="eastAsia"/>
                <w:kern w:val="0"/>
              </w:rPr>
              <w:t>总吸水率</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表面吸水值</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抗折强度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浴缸</w:t>
            </w:r>
          </w:p>
        </w:tc>
        <w:tc>
          <w:tcPr>
            <w:tcW w:w="1260" w:type="dxa"/>
            <w:vMerge w:val="restart"/>
            <w:vAlign w:val="center"/>
          </w:tcPr>
          <w:p w:rsidR="00A32067" w:rsidRPr="0002085C" w:rsidRDefault="00A32067" w:rsidP="0002085C">
            <w:pPr>
              <w:jc w:val="center"/>
              <w:rPr>
                <w:kern w:val="0"/>
              </w:rPr>
            </w:pPr>
            <w:r w:rsidRPr="0002085C">
              <w:rPr>
                <w:kern w:val="0"/>
              </w:rPr>
              <w:t>08</w:t>
            </w:r>
          </w:p>
        </w:tc>
        <w:tc>
          <w:tcPr>
            <w:tcW w:w="3240" w:type="dxa"/>
            <w:vAlign w:val="center"/>
          </w:tcPr>
          <w:p w:rsidR="00A32067" w:rsidRPr="0002085C" w:rsidRDefault="00A32067" w:rsidP="0002085C">
            <w:pPr>
              <w:jc w:val="center"/>
              <w:rPr>
                <w:kern w:val="0"/>
              </w:rPr>
            </w:pPr>
            <w:r w:rsidRPr="0002085C">
              <w:rPr>
                <w:rFonts w:cs="宋体" w:hint="eastAsia"/>
                <w:kern w:val="0"/>
              </w:rPr>
              <w:t>光泽度</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耐沸水</w:t>
            </w:r>
          </w:p>
          <w:p w:rsidR="00A32067" w:rsidRPr="0002085C" w:rsidRDefault="00A32067" w:rsidP="0002085C">
            <w:pPr>
              <w:jc w:val="center"/>
              <w:rPr>
                <w:kern w:val="0"/>
              </w:rPr>
            </w:pPr>
            <w:r w:rsidRPr="0002085C">
              <w:rPr>
                <w:rFonts w:cs="宋体" w:hint="eastAsia"/>
                <w:kern w:val="0"/>
              </w:rPr>
              <w:t>耐酸碱</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耐冲击</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蒸压加气混凝土砌块</w:t>
            </w:r>
          </w:p>
        </w:tc>
        <w:tc>
          <w:tcPr>
            <w:tcW w:w="1260" w:type="dxa"/>
            <w:vMerge w:val="restart"/>
            <w:vAlign w:val="center"/>
          </w:tcPr>
          <w:p w:rsidR="00A32067" w:rsidRPr="0002085C" w:rsidRDefault="00A32067" w:rsidP="0002085C">
            <w:pPr>
              <w:jc w:val="center"/>
              <w:rPr>
                <w:kern w:val="0"/>
              </w:rPr>
            </w:pPr>
            <w:r w:rsidRPr="0002085C">
              <w:rPr>
                <w:kern w:val="0"/>
              </w:rPr>
              <w:t>09</w:t>
            </w:r>
          </w:p>
        </w:tc>
        <w:tc>
          <w:tcPr>
            <w:tcW w:w="3240" w:type="dxa"/>
            <w:vAlign w:val="center"/>
          </w:tcPr>
          <w:p w:rsidR="00A32067" w:rsidRPr="0002085C" w:rsidRDefault="00A32067" w:rsidP="0002085C">
            <w:pPr>
              <w:jc w:val="center"/>
              <w:rPr>
                <w:kern w:val="0"/>
              </w:rPr>
            </w:pPr>
            <w:r w:rsidRPr="0002085C">
              <w:rPr>
                <w:rFonts w:cs="宋体" w:hint="eastAsia"/>
                <w:kern w:val="0"/>
              </w:rPr>
              <w:t>干密度及含水率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吸水率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p w:rsidR="00A32067" w:rsidRPr="0002085C" w:rsidRDefault="00A32067" w:rsidP="0002085C">
            <w:pPr>
              <w:jc w:val="center"/>
              <w:rPr>
                <w:kern w:val="0"/>
              </w:rPr>
            </w:pPr>
            <w:r w:rsidRPr="0002085C">
              <w:rPr>
                <w:rFonts w:cs="宋体" w:hint="eastAsia"/>
                <w:kern w:val="0"/>
              </w:rPr>
              <w:t>轴心抗压强度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劈裂抗拉强度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bl>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H10</w:t>
      </w:r>
      <w:r>
        <w:rPr>
          <w:rFonts w:ascii="Times New Roman" w:hAnsi="Times New Roman" w:hint="eastAsia"/>
          <w:b/>
          <w:bCs/>
          <w:kern w:val="2"/>
        </w:rPr>
        <w:t>～</w:t>
      </w:r>
      <w:r>
        <w:rPr>
          <w:rFonts w:ascii="Times New Roman" w:hAnsi="Times New Roman" w:cs="Times New Roman"/>
          <w:b/>
          <w:bCs/>
          <w:kern w:val="2"/>
        </w:rPr>
        <w:t>11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蒸压加气砼砌块</w:t>
            </w:r>
          </w:p>
        </w:tc>
        <w:tc>
          <w:tcPr>
            <w:tcW w:w="1260" w:type="dxa"/>
            <w:vMerge w:val="restart"/>
            <w:vAlign w:val="center"/>
          </w:tcPr>
          <w:p w:rsidR="00A32067" w:rsidRPr="0002085C" w:rsidRDefault="00A32067" w:rsidP="0002085C">
            <w:pPr>
              <w:jc w:val="center"/>
              <w:rPr>
                <w:kern w:val="0"/>
              </w:rPr>
            </w:pPr>
            <w:r w:rsidRPr="0002085C">
              <w:rPr>
                <w:kern w:val="0"/>
              </w:rPr>
              <w:t>10</w:t>
            </w:r>
          </w:p>
        </w:tc>
        <w:tc>
          <w:tcPr>
            <w:tcW w:w="3240" w:type="dxa"/>
            <w:vAlign w:val="center"/>
          </w:tcPr>
          <w:p w:rsidR="00A32067" w:rsidRPr="0002085C" w:rsidRDefault="00A32067" w:rsidP="0002085C">
            <w:pPr>
              <w:jc w:val="center"/>
              <w:rPr>
                <w:kern w:val="0"/>
              </w:rPr>
            </w:pPr>
            <w:r w:rsidRPr="0002085C">
              <w:rPr>
                <w:rFonts w:cs="宋体" w:hint="eastAsia"/>
                <w:kern w:val="0"/>
              </w:rPr>
              <w:t>抗折强度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弹性模量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干湿循环</w:t>
            </w:r>
          </w:p>
          <w:p w:rsidR="00A32067" w:rsidRPr="0002085C" w:rsidRDefault="00A32067" w:rsidP="0002085C">
            <w:pPr>
              <w:jc w:val="center"/>
              <w:rPr>
                <w:kern w:val="0"/>
              </w:rPr>
            </w:pPr>
            <w:r w:rsidRPr="0002085C">
              <w:rPr>
                <w:rFonts w:cs="宋体" w:hint="eastAsia"/>
                <w:kern w:val="0"/>
              </w:rPr>
              <w:t>收缩</w:t>
            </w:r>
          </w:p>
          <w:p w:rsidR="00A32067" w:rsidRPr="0002085C" w:rsidRDefault="00A32067" w:rsidP="0002085C">
            <w:pPr>
              <w:jc w:val="center"/>
              <w:rPr>
                <w:kern w:val="0"/>
              </w:rPr>
            </w:pPr>
            <w:r w:rsidRPr="0002085C">
              <w:rPr>
                <w:rFonts w:cs="宋体" w:hint="eastAsia"/>
                <w:kern w:val="0"/>
              </w:rPr>
              <w:t>碳化性能</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530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空心砌块</w:t>
            </w:r>
          </w:p>
        </w:tc>
        <w:tc>
          <w:tcPr>
            <w:tcW w:w="1260" w:type="dxa"/>
            <w:vMerge w:val="restart"/>
            <w:vAlign w:val="center"/>
          </w:tcPr>
          <w:p w:rsidR="00A32067" w:rsidRPr="0002085C" w:rsidRDefault="00A32067" w:rsidP="0002085C">
            <w:pPr>
              <w:jc w:val="center"/>
              <w:rPr>
                <w:kern w:val="0"/>
              </w:rPr>
            </w:pPr>
            <w:r w:rsidRPr="0002085C">
              <w:rPr>
                <w:kern w:val="0"/>
              </w:rPr>
              <w:t>11</w:t>
            </w:r>
          </w:p>
        </w:tc>
        <w:tc>
          <w:tcPr>
            <w:tcW w:w="3240" w:type="dxa"/>
            <w:vAlign w:val="center"/>
          </w:tcPr>
          <w:p w:rsidR="00A32067" w:rsidRPr="0002085C" w:rsidRDefault="00A32067" w:rsidP="0002085C">
            <w:pPr>
              <w:jc w:val="center"/>
              <w:rPr>
                <w:kern w:val="0"/>
              </w:rPr>
            </w:pPr>
            <w:r w:rsidRPr="0002085C">
              <w:rPr>
                <w:rFonts w:cs="宋体" w:hint="eastAsia"/>
                <w:kern w:val="0"/>
              </w:rPr>
              <w:t>规格尺寸</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外观质量</w:t>
            </w:r>
          </w:p>
          <w:p w:rsidR="00A32067" w:rsidRPr="0002085C" w:rsidRDefault="00A32067" w:rsidP="0002085C">
            <w:pPr>
              <w:jc w:val="center"/>
              <w:rPr>
                <w:kern w:val="0"/>
              </w:rPr>
            </w:pPr>
            <w:r w:rsidRPr="0002085C">
              <w:rPr>
                <w:rFonts w:cs="宋体" w:hint="eastAsia"/>
                <w:kern w:val="0"/>
              </w:rPr>
              <w:t>抗折强度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密度及空心率</w:t>
            </w:r>
          </w:p>
          <w:p w:rsidR="00A32067" w:rsidRPr="0002085C" w:rsidRDefault="00A32067" w:rsidP="0002085C">
            <w:pPr>
              <w:jc w:val="center"/>
              <w:rPr>
                <w:kern w:val="0"/>
              </w:rPr>
            </w:pPr>
            <w:r w:rsidRPr="0002085C">
              <w:rPr>
                <w:rFonts w:cs="宋体" w:hint="eastAsia"/>
                <w:kern w:val="0"/>
              </w:rPr>
              <w:t>抗渗性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吸水率及相对含水率</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干缩率</w:t>
            </w:r>
          </w:p>
          <w:p w:rsidR="00A32067" w:rsidRPr="0002085C" w:rsidRDefault="00A32067" w:rsidP="0002085C">
            <w:pPr>
              <w:jc w:val="center"/>
              <w:rPr>
                <w:kern w:val="0"/>
              </w:rPr>
            </w:pPr>
            <w:r w:rsidRPr="0002085C">
              <w:rPr>
                <w:rFonts w:cs="宋体" w:hint="eastAsia"/>
                <w:kern w:val="0"/>
              </w:rPr>
              <w:t>软化系数</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抗碳化性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抗冻性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放射性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H12</w:t>
      </w:r>
      <w:r>
        <w:rPr>
          <w:rFonts w:ascii="Times New Roman" w:hAnsi="Times New Roman" w:hint="eastAsia"/>
          <w:b/>
          <w:bCs/>
          <w:kern w:val="2"/>
        </w:rPr>
        <w:t>～</w:t>
      </w:r>
      <w:r>
        <w:rPr>
          <w:rFonts w:ascii="Times New Roman" w:hAnsi="Times New Roman" w:cs="Times New Roman"/>
          <w:b/>
          <w:bCs/>
          <w:kern w:val="2"/>
        </w:rPr>
        <w:t>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260"/>
        <w:gridCol w:w="198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维护结构及构件</w:t>
            </w:r>
          </w:p>
        </w:tc>
        <w:tc>
          <w:tcPr>
            <w:tcW w:w="1260" w:type="dxa"/>
            <w:vMerge w:val="restart"/>
            <w:vAlign w:val="center"/>
          </w:tcPr>
          <w:p w:rsidR="00A32067" w:rsidRPr="0002085C" w:rsidRDefault="00A32067" w:rsidP="0002085C">
            <w:pPr>
              <w:jc w:val="center"/>
              <w:rPr>
                <w:kern w:val="0"/>
              </w:rPr>
            </w:pPr>
            <w:r w:rsidRPr="0002085C">
              <w:rPr>
                <w:kern w:val="0"/>
              </w:rPr>
              <w:t>12</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传热系数及节能效果</w:t>
            </w:r>
          </w:p>
        </w:tc>
        <w:tc>
          <w:tcPr>
            <w:tcW w:w="1296" w:type="dxa"/>
            <w:vAlign w:val="center"/>
          </w:tcPr>
          <w:p w:rsidR="00A32067" w:rsidRPr="0002085C" w:rsidRDefault="00A32067" w:rsidP="0002085C">
            <w:pPr>
              <w:jc w:val="center"/>
              <w:rPr>
                <w:kern w:val="0"/>
              </w:rPr>
            </w:pPr>
            <w:r w:rsidRPr="0002085C">
              <w:rPr>
                <w:rFonts w:cs="宋体" w:hint="eastAsia"/>
                <w:kern w:val="0"/>
              </w:rPr>
              <w:t>点</w:t>
            </w:r>
          </w:p>
        </w:tc>
        <w:tc>
          <w:tcPr>
            <w:tcW w:w="1701" w:type="dxa"/>
            <w:vAlign w:val="center"/>
          </w:tcPr>
          <w:p w:rsidR="00A32067" w:rsidRPr="0002085C" w:rsidRDefault="00A32067" w:rsidP="0002085C">
            <w:pPr>
              <w:jc w:val="center"/>
              <w:rPr>
                <w:kern w:val="0"/>
              </w:rPr>
            </w:pPr>
            <w:r w:rsidRPr="0002085C">
              <w:rPr>
                <w:kern w:val="0"/>
              </w:rPr>
              <w:t>2700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rFonts w:cs="宋体" w:hint="eastAsia"/>
                <w:kern w:val="0"/>
              </w:rPr>
              <w:t>导热系数</w:t>
            </w:r>
          </w:p>
        </w:tc>
        <w:tc>
          <w:tcPr>
            <w:tcW w:w="1980" w:type="dxa"/>
            <w:vAlign w:val="center"/>
          </w:tcPr>
          <w:p w:rsidR="00A32067" w:rsidRPr="0002085C" w:rsidRDefault="00A32067" w:rsidP="0002085C">
            <w:pPr>
              <w:jc w:val="center"/>
              <w:rPr>
                <w:kern w:val="0"/>
              </w:rPr>
            </w:pPr>
            <w:r w:rsidRPr="0002085C">
              <w:rPr>
                <w:kern w:val="0"/>
              </w:rPr>
              <w:t>≤100mm</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隔墙板</w:t>
            </w:r>
          </w:p>
        </w:tc>
        <w:tc>
          <w:tcPr>
            <w:tcW w:w="1260" w:type="dxa"/>
            <w:vMerge w:val="restart"/>
            <w:vAlign w:val="center"/>
          </w:tcPr>
          <w:p w:rsidR="00A32067" w:rsidRPr="0002085C" w:rsidRDefault="00A32067" w:rsidP="0002085C">
            <w:pPr>
              <w:jc w:val="center"/>
              <w:rPr>
                <w:kern w:val="0"/>
              </w:rPr>
            </w:pPr>
            <w:r w:rsidRPr="0002085C">
              <w:rPr>
                <w:kern w:val="0"/>
              </w:rPr>
              <w:t>13</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外观质量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尺寸偏差</w:t>
            </w:r>
          </w:p>
          <w:p w:rsidR="00A32067" w:rsidRPr="0002085C" w:rsidRDefault="00A32067" w:rsidP="0002085C">
            <w:pPr>
              <w:jc w:val="center"/>
              <w:rPr>
                <w:kern w:val="0"/>
              </w:rPr>
            </w:pPr>
            <w:r w:rsidRPr="0002085C">
              <w:rPr>
                <w:rFonts w:cs="宋体" w:hint="eastAsia"/>
                <w:kern w:val="0"/>
              </w:rPr>
              <w:t>燃烧性能</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面密度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干缩值</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抗折力或抗弯荷载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抗冲击性</w:t>
            </w:r>
          </w:p>
          <w:p w:rsidR="00A32067" w:rsidRPr="0002085C" w:rsidRDefault="00A32067" w:rsidP="0002085C">
            <w:pPr>
              <w:jc w:val="center"/>
              <w:rPr>
                <w:kern w:val="0"/>
              </w:rPr>
            </w:pPr>
            <w:r w:rsidRPr="0002085C">
              <w:rPr>
                <w:rFonts w:cs="宋体" w:hint="eastAsia"/>
                <w:kern w:val="0"/>
              </w:rPr>
              <w:t>抗压强度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试件切制</w:t>
            </w:r>
          </w:p>
          <w:p w:rsidR="00A32067" w:rsidRPr="0002085C" w:rsidRDefault="00A32067" w:rsidP="0002085C">
            <w:pPr>
              <w:jc w:val="center"/>
              <w:rPr>
                <w:kern w:val="0"/>
              </w:rPr>
            </w:pPr>
            <w:r w:rsidRPr="0002085C">
              <w:rPr>
                <w:rFonts w:cs="宋体" w:hint="eastAsia"/>
                <w:kern w:val="0"/>
              </w:rPr>
              <w:t>吊挂力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相对含水率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空气隔声量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耐火极限</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3850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尺寸</w:t>
            </w:r>
          </w:p>
        </w:tc>
        <w:tc>
          <w:tcPr>
            <w:tcW w:w="1980" w:type="dxa"/>
            <w:vAlign w:val="center"/>
          </w:tcPr>
          <w:p w:rsidR="00A32067" w:rsidRPr="0002085C" w:rsidRDefault="00A32067" w:rsidP="0002085C">
            <w:pPr>
              <w:jc w:val="center"/>
              <w:rPr>
                <w:kern w:val="0"/>
              </w:rPr>
            </w:pPr>
            <w:r w:rsidRPr="0002085C">
              <w:rPr>
                <w:rFonts w:cs="宋体" w:hint="eastAsia"/>
                <w:kern w:val="0"/>
              </w:rPr>
              <w:t>长度尺寸</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断面尺寸</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平直度</w:t>
            </w:r>
          </w:p>
        </w:tc>
        <w:tc>
          <w:tcPr>
            <w:tcW w:w="1980" w:type="dxa"/>
            <w:vAlign w:val="center"/>
          </w:tcPr>
          <w:p w:rsidR="00A32067" w:rsidRPr="0002085C" w:rsidRDefault="00A32067" w:rsidP="0002085C">
            <w:pPr>
              <w:jc w:val="center"/>
              <w:rPr>
                <w:kern w:val="0"/>
              </w:rPr>
            </w:pPr>
            <w:r w:rsidRPr="0002085C">
              <w:rPr>
                <w:rFonts w:cs="宋体" w:hint="eastAsia"/>
                <w:kern w:val="0"/>
              </w:rPr>
              <w:t>侧面平直度</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15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底面平直度</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外观质量</w:t>
            </w:r>
          </w:p>
          <w:p w:rsidR="00A32067" w:rsidRPr="0002085C" w:rsidRDefault="00A32067" w:rsidP="0002085C">
            <w:pPr>
              <w:jc w:val="center"/>
              <w:rPr>
                <w:kern w:val="0"/>
              </w:rPr>
            </w:pPr>
            <w:r w:rsidRPr="0002085C">
              <w:rPr>
                <w:rFonts w:cs="宋体" w:hint="eastAsia"/>
                <w:kern w:val="0"/>
              </w:rPr>
              <w:t>弯曲内角半径</w:t>
            </w:r>
          </w:p>
          <w:p w:rsidR="00A32067" w:rsidRPr="0002085C" w:rsidRDefault="00A32067" w:rsidP="0002085C">
            <w:pPr>
              <w:jc w:val="center"/>
              <w:rPr>
                <w:kern w:val="0"/>
              </w:rPr>
            </w:pPr>
            <w:r w:rsidRPr="0002085C">
              <w:rPr>
                <w:rFonts w:cs="宋体" w:hint="eastAsia"/>
                <w:kern w:val="0"/>
              </w:rPr>
              <w:t>角度偏差</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H</w:t>
      </w:r>
      <w:r>
        <w:rPr>
          <w:rFonts w:ascii="Times New Roman" w:hAnsi="Times New Roman" w:hint="eastAsia"/>
          <w:b/>
          <w:bCs/>
          <w:kern w:val="2"/>
        </w:rPr>
        <w:t>墙体及装饰材料</w:t>
      </w:r>
      <w:r>
        <w:rPr>
          <w:rFonts w:ascii="Times New Roman" w:hAnsi="Times New Roman" w:cs="Times New Roman"/>
          <w:b/>
          <w:bCs/>
          <w:kern w:val="2"/>
        </w:rPr>
        <w:t xml:space="preserve">                                                  H13</w:t>
      </w:r>
      <w:r>
        <w:rPr>
          <w:rFonts w:ascii="Times New Roman" w:hAnsi="Times New Roman" w:hint="eastAsia"/>
          <w:b/>
          <w:bCs/>
          <w:kern w:val="2"/>
        </w:rPr>
        <w:t>～</w:t>
      </w:r>
      <w:r>
        <w:rPr>
          <w:rFonts w:ascii="Times New Roman" w:hAnsi="Times New Roman" w:cs="Times New Roman"/>
          <w:b/>
          <w:bCs/>
          <w:kern w:val="2"/>
        </w:rPr>
        <w:t>15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隔墙板</w:t>
            </w:r>
          </w:p>
        </w:tc>
        <w:tc>
          <w:tcPr>
            <w:tcW w:w="1260" w:type="dxa"/>
            <w:vMerge w:val="restart"/>
            <w:vAlign w:val="center"/>
          </w:tcPr>
          <w:p w:rsidR="00A32067" w:rsidRPr="0002085C" w:rsidRDefault="00A32067" w:rsidP="0002085C">
            <w:pPr>
              <w:jc w:val="center"/>
              <w:rPr>
                <w:kern w:val="0"/>
              </w:rPr>
            </w:pPr>
            <w:r w:rsidRPr="0002085C">
              <w:rPr>
                <w:kern w:val="0"/>
              </w:rPr>
              <w:t>13</w:t>
            </w:r>
          </w:p>
        </w:tc>
        <w:tc>
          <w:tcPr>
            <w:tcW w:w="3240" w:type="dxa"/>
            <w:vAlign w:val="center"/>
          </w:tcPr>
          <w:p w:rsidR="00A32067" w:rsidRPr="0002085C" w:rsidRDefault="00A32067" w:rsidP="0002085C">
            <w:pPr>
              <w:jc w:val="center"/>
              <w:rPr>
                <w:kern w:val="0"/>
              </w:rPr>
            </w:pPr>
            <w:r w:rsidRPr="0002085C">
              <w:rPr>
                <w:rFonts w:cs="宋体" w:hint="eastAsia"/>
                <w:kern w:val="0"/>
              </w:rPr>
              <w:t>镀锌量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静载试验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抗冲击性试验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覆面龙骨静载试验</w:t>
            </w:r>
          </w:p>
          <w:p w:rsidR="00A32067" w:rsidRPr="0002085C" w:rsidRDefault="00A32067" w:rsidP="0002085C">
            <w:pPr>
              <w:jc w:val="center"/>
              <w:rPr>
                <w:kern w:val="0"/>
              </w:rPr>
            </w:pPr>
            <w:r w:rsidRPr="0002085C">
              <w:rPr>
                <w:rFonts w:cs="宋体" w:hint="eastAsia"/>
                <w:kern w:val="0"/>
              </w:rPr>
              <w:t>承载龙骨静载试验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350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金属夹芯板</w:t>
            </w:r>
          </w:p>
        </w:tc>
        <w:tc>
          <w:tcPr>
            <w:tcW w:w="1260" w:type="dxa"/>
            <w:vMerge w:val="restart"/>
            <w:vAlign w:val="center"/>
          </w:tcPr>
          <w:p w:rsidR="00A32067" w:rsidRPr="0002085C" w:rsidRDefault="00A32067" w:rsidP="0002085C">
            <w:pPr>
              <w:jc w:val="center"/>
              <w:rPr>
                <w:kern w:val="0"/>
              </w:rPr>
            </w:pPr>
            <w:r w:rsidRPr="0002085C">
              <w:rPr>
                <w:kern w:val="0"/>
              </w:rPr>
              <w:t>14</w:t>
            </w:r>
          </w:p>
        </w:tc>
        <w:tc>
          <w:tcPr>
            <w:tcW w:w="324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面密度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粘结强度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195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剥离性能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燃烧性能</w:t>
            </w:r>
          </w:p>
          <w:p w:rsidR="00A32067" w:rsidRPr="0002085C" w:rsidRDefault="00A32067" w:rsidP="0002085C">
            <w:pPr>
              <w:jc w:val="center"/>
              <w:rPr>
                <w:kern w:val="0"/>
              </w:rPr>
            </w:pPr>
            <w:r w:rsidRPr="0002085C">
              <w:rPr>
                <w:rFonts w:cs="宋体" w:hint="eastAsia"/>
                <w:kern w:val="0"/>
              </w:rPr>
              <w:t>结构性能（抗弯承载力）</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360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隔热用泡沫塑料</w:t>
            </w:r>
          </w:p>
        </w:tc>
        <w:tc>
          <w:tcPr>
            <w:tcW w:w="1260" w:type="dxa"/>
            <w:vMerge w:val="restart"/>
            <w:vAlign w:val="center"/>
          </w:tcPr>
          <w:p w:rsidR="00A32067" w:rsidRPr="0002085C" w:rsidRDefault="00A32067" w:rsidP="0002085C">
            <w:pPr>
              <w:jc w:val="center"/>
              <w:rPr>
                <w:kern w:val="0"/>
              </w:rPr>
            </w:pPr>
            <w:r w:rsidRPr="0002085C">
              <w:rPr>
                <w:kern w:val="0"/>
              </w:rPr>
              <w:t>15</w:t>
            </w: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外观</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表面密度</w:t>
            </w:r>
          </w:p>
          <w:p w:rsidR="00A32067" w:rsidRPr="0002085C" w:rsidRDefault="00A32067" w:rsidP="0002085C">
            <w:pPr>
              <w:jc w:val="center"/>
              <w:rPr>
                <w:kern w:val="0"/>
              </w:rPr>
            </w:pPr>
            <w:r w:rsidRPr="0002085C">
              <w:rPr>
                <w:rFonts w:cs="宋体" w:hint="eastAsia"/>
                <w:kern w:val="0"/>
              </w:rPr>
              <w:t>吸水率（泡</w:t>
            </w:r>
            <w:r w:rsidRPr="0002085C">
              <w:rPr>
                <w:kern w:val="0"/>
              </w:rPr>
              <w:t>96h</w:t>
            </w:r>
            <w:r w:rsidRPr="0002085C">
              <w:rPr>
                <w:rFonts w:cs="宋体" w:hint="eastAsia"/>
                <w:kern w:val="0"/>
              </w:rPr>
              <w:t>）</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压缩强度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导热系数</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尺寸变化率（</w:t>
            </w:r>
            <w:r w:rsidRPr="0002085C">
              <w:rPr>
                <w:kern w:val="0"/>
              </w:rPr>
              <w:t>48h</w:t>
            </w:r>
            <w:r w:rsidRPr="0002085C">
              <w:rPr>
                <w:rFonts w:cs="宋体" w:hint="eastAsia"/>
                <w:kern w:val="0"/>
              </w:rPr>
              <w:t>）</w:t>
            </w:r>
          </w:p>
          <w:p w:rsidR="00A32067" w:rsidRPr="0002085C" w:rsidRDefault="00A32067" w:rsidP="0002085C">
            <w:pPr>
              <w:jc w:val="center"/>
              <w:rPr>
                <w:kern w:val="0"/>
              </w:rPr>
            </w:pPr>
            <w:r w:rsidRPr="0002085C">
              <w:rPr>
                <w:rFonts w:cs="宋体" w:hint="eastAsia"/>
                <w:kern w:val="0"/>
              </w:rPr>
              <w:t>熔结性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氧指数</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试件加工</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bl>
    <w:p w:rsidR="00A32067" w:rsidRDefault="00A32067">
      <w:pPr>
        <w:widowControl/>
        <w:adjustRightInd w:val="0"/>
        <w:snapToGrid w:val="0"/>
        <w:spacing w:after="200"/>
        <w:jc w:val="left"/>
        <w:rPr>
          <w:rFonts w:eastAsia="微软雅黑"/>
          <w:kern w:val="0"/>
          <w:sz w:val="24"/>
          <w:szCs w:val="24"/>
        </w:rPr>
      </w:pPr>
    </w:p>
    <w:p w:rsidR="00A32067" w:rsidRDefault="00A32067">
      <w:pPr>
        <w:widowControl/>
        <w:adjustRightInd w:val="0"/>
        <w:snapToGrid w:val="0"/>
        <w:spacing w:after="200"/>
        <w:jc w:val="left"/>
        <w:rPr>
          <w:rFonts w:eastAsia="微软雅黑"/>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I</w:t>
      </w:r>
      <w:r>
        <w:rPr>
          <w:rFonts w:ascii="Times New Roman" w:hAnsi="Times New Roman" w:hint="eastAsia"/>
          <w:b/>
          <w:bCs/>
          <w:kern w:val="2"/>
        </w:rPr>
        <w:t>门窗及型材</w:t>
      </w:r>
      <w:r>
        <w:rPr>
          <w:rFonts w:ascii="Times New Roman" w:hAnsi="Times New Roman" w:cs="Times New Roman"/>
          <w:b/>
          <w:bCs/>
          <w:kern w:val="2"/>
        </w:rPr>
        <w:t xml:space="preserve">                                                             I01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门窗框用塑料型材</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240" w:type="dxa"/>
            <w:vAlign w:val="center"/>
          </w:tcPr>
          <w:p w:rsidR="00A32067" w:rsidRPr="0002085C" w:rsidRDefault="00A32067" w:rsidP="0002085C">
            <w:pPr>
              <w:jc w:val="center"/>
              <w:rPr>
                <w:kern w:val="0"/>
              </w:rPr>
            </w:pPr>
            <w:r w:rsidRPr="0002085C">
              <w:rPr>
                <w:rFonts w:cs="宋体" w:hint="eastAsia"/>
                <w:kern w:val="0"/>
              </w:rPr>
              <w:t>外观与颜色</w:t>
            </w:r>
          </w:p>
          <w:p w:rsidR="00A32067" w:rsidRPr="0002085C" w:rsidRDefault="00A32067" w:rsidP="0002085C">
            <w:pPr>
              <w:jc w:val="center"/>
              <w:rPr>
                <w:kern w:val="0"/>
              </w:rPr>
            </w:pPr>
            <w:r w:rsidRPr="0002085C">
              <w:rPr>
                <w:rFonts w:cs="宋体" w:hint="eastAsia"/>
                <w:kern w:val="0"/>
              </w:rPr>
              <w:t>增强型钢壁厚</w:t>
            </w:r>
          </w:p>
          <w:p w:rsidR="00A32067" w:rsidRPr="0002085C" w:rsidRDefault="00A32067" w:rsidP="0002085C">
            <w:pPr>
              <w:jc w:val="center"/>
              <w:rPr>
                <w:kern w:val="0"/>
              </w:rPr>
            </w:pPr>
            <w:r w:rsidRPr="0002085C">
              <w:rPr>
                <w:rFonts w:cs="宋体" w:hint="eastAsia"/>
                <w:kern w:val="0"/>
              </w:rPr>
              <w:t>构件及型钢质量</w:t>
            </w:r>
          </w:p>
          <w:p w:rsidR="00A32067" w:rsidRPr="0002085C" w:rsidRDefault="00A32067" w:rsidP="0002085C">
            <w:pPr>
              <w:jc w:val="center"/>
              <w:rPr>
                <w:kern w:val="0"/>
              </w:rPr>
            </w:pPr>
            <w:r w:rsidRPr="0002085C">
              <w:rPr>
                <w:rFonts w:cs="宋体" w:hint="eastAsia"/>
                <w:kern w:val="0"/>
              </w:rPr>
              <w:t>氧化膜封孔质量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尺寸偏差</w:t>
            </w:r>
          </w:p>
          <w:p w:rsidR="00A32067" w:rsidRPr="0002085C" w:rsidRDefault="00A32067" w:rsidP="0002085C">
            <w:pPr>
              <w:jc w:val="center"/>
              <w:rPr>
                <w:kern w:val="0"/>
              </w:rPr>
            </w:pPr>
            <w:r w:rsidRPr="0002085C">
              <w:rPr>
                <w:rFonts w:cs="宋体" w:hint="eastAsia"/>
                <w:kern w:val="0"/>
              </w:rPr>
              <w:t>硬度</w:t>
            </w:r>
          </w:p>
          <w:p w:rsidR="00A32067" w:rsidRPr="0002085C" w:rsidRDefault="00A32067" w:rsidP="0002085C">
            <w:pPr>
              <w:jc w:val="center"/>
              <w:rPr>
                <w:kern w:val="0"/>
              </w:rPr>
            </w:pPr>
            <w:r w:rsidRPr="0002085C">
              <w:rPr>
                <w:rFonts w:cs="宋体" w:hint="eastAsia"/>
                <w:kern w:val="0"/>
              </w:rPr>
              <w:t>加热后状态</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表面质量</w:t>
            </w:r>
          </w:p>
          <w:p w:rsidR="00A32067" w:rsidRPr="0002085C" w:rsidRDefault="00A32067" w:rsidP="0002085C">
            <w:pPr>
              <w:jc w:val="center"/>
              <w:rPr>
                <w:kern w:val="0"/>
              </w:rPr>
            </w:pPr>
            <w:r w:rsidRPr="0002085C">
              <w:rPr>
                <w:rFonts w:cs="宋体" w:hint="eastAsia"/>
                <w:kern w:val="0"/>
              </w:rPr>
              <w:t>倍尺</w:t>
            </w:r>
          </w:p>
          <w:p w:rsidR="00A32067" w:rsidRPr="0002085C" w:rsidRDefault="00A32067" w:rsidP="0002085C">
            <w:pPr>
              <w:jc w:val="center"/>
              <w:rPr>
                <w:kern w:val="0"/>
              </w:rPr>
            </w:pPr>
            <w:r w:rsidRPr="0002085C">
              <w:rPr>
                <w:rFonts w:cs="宋体" w:hint="eastAsia"/>
                <w:kern w:val="0"/>
              </w:rPr>
              <w:t>切斜度允许偏差</w:t>
            </w:r>
          </w:p>
          <w:p w:rsidR="00A32067" w:rsidRPr="0002085C" w:rsidRDefault="00A32067" w:rsidP="0002085C">
            <w:pPr>
              <w:jc w:val="center"/>
              <w:rPr>
                <w:kern w:val="0"/>
              </w:rPr>
            </w:pPr>
            <w:r w:rsidRPr="0002085C">
              <w:rPr>
                <w:rFonts w:cs="宋体" w:hint="eastAsia"/>
                <w:kern w:val="0"/>
              </w:rPr>
              <w:t>端头允许变形度</w:t>
            </w:r>
          </w:p>
          <w:p w:rsidR="00A32067" w:rsidRPr="0002085C" w:rsidRDefault="00A32067" w:rsidP="0002085C">
            <w:pPr>
              <w:jc w:val="center"/>
              <w:rPr>
                <w:kern w:val="0"/>
              </w:rPr>
            </w:pPr>
            <w:r w:rsidRPr="0002085C">
              <w:rPr>
                <w:rFonts w:cs="宋体" w:hint="eastAsia"/>
                <w:kern w:val="0"/>
              </w:rPr>
              <w:t>型材角度允许偏差</w:t>
            </w:r>
          </w:p>
          <w:p w:rsidR="00A32067" w:rsidRPr="0002085C" w:rsidRDefault="00A32067" w:rsidP="0002085C">
            <w:pPr>
              <w:jc w:val="center"/>
              <w:rPr>
                <w:kern w:val="0"/>
              </w:rPr>
            </w:pPr>
            <w:r w:rsidRPr="0002085C">
              <w:rPr>
                <w:rFonts w:cs="宋体" w:hint="eastAsia"/>
                <w:kern w:val="0"/>
              </w:rPr>
              <w:t>型材的平面间隙</w:t>
            </w:r>
          </w:p>
          <w:p w:rsidR="00A32067" w:rsidRPr="0002085C" w:rsidRDefault="00A32067" w:rsidP="0002085C">
            <w:pPr>
              <w:jc w:val="center"/>
              <w:rPr>
                <w:kern w:val="0"/>
              </w:rPr>
            </w:pPr>
            <w:r w:rsidRPr="0002085C">
              <w:rPr>
                <w:rFonts w:cs="宋体" w:hint="eastAsia"/>
                <w:kern w:val="0"/>
              </w:rPr>
              <w:t>型材的弯曲度</w:t>
            </w:r>
          </w:p>
          <w:p w:rsidR="00A32067" w:rsidRPr="0002085C" w:rsidRDefault="00A32067" w:rsidP="0002085C">
            <w:pPr>
              <w:jc w:val="center"/>
              <w:rPr>
                <w:kern w:val="0"/>
              </w:rPr>
            </w:pPr>
            <w:r w:rsidRPr="0002085C">
              <w:rPr>
                <w:rFonts w:cs="宋体" w:hint="eastAsia"/>
                <w:kern w:val="0"/>
              </w:rPr>
              <w:t>型材的扭拧度</w:t>
            </w:r>
          </w:p>
          <w:p w:rsidR="00A32067" w:rsidRPr="0002085C" w:rsidRDefault="00A32067" w:rsidP="0002085C">
            <w:pPr>
              <w:jc w:val="center"/>
              <w:rPr>
                <w:kern w:val="0"/>
              </w:rPr>
            </w:pPr>
            <w:r w:rsidRPr="0002085C">
              <w:rPr>
                <w:rFonts w:cs="宋体" w:hint="eastAsia"/>
                <w:kern w:val="0"/>
              </w:rPr>
              <w:t>圆角半径允许偏差</w:t>
            </w:r>
          </w:p>
          <w:p w:rsidR="00A32067" w:rsidRPr="0002085C" w:rsidRDefault="00A32067" w:rsidP="0002085C">
            <w:pPr>
              <w:jc w:val="center"/>
              <w:rPr>
                <w:kern w:val="0"/>
              </w:rPr>
            </w:pPr>
            <w:r w:rsidRPr="0002085C">
              <w:rPr>
                <w:rFonts w:cs="宋体" w:hint="eastAsia"/>
                <w:kern w:val="0"/>
              </w:rPr>
              <w:t>定尺</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拉伸屈服强度</w:t>
            </w:r>
          </w:p>
          <w:p w:rsidR="00A32067" w:rsidRPr="0002085C" w:rsidRDefault="00A32067" w:rsidP="0002085C">
            <w:pPr>
              <w:jc w:val="center"/>
              <w:rPr>
                <w:kern w:val="0"/>
              </w:rPr>
            </w:pPr>
            <w:r w:rsidRPr="0002085C">
              <w:rPr>
                <w:rFonts w:cs="宋体" w:hint="eastAsia"/>
                <w:kern w:val="0"/>
              </w:rPr>
              <w:t>氧化膜</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断裂伸长率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弯曲弹性模量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低温落锤冲击</w:t>
            </w:r>
          </w:p>
          <w:p w:rsidR="00A32067" w:rsidRPr="0002085C" w:rsidRDefault="00A32067" w:rsidP="0002085C">
            <w:pPr>
              <w:jc w:val="center"/>
              <w:rPr>
                <w:kern w:val="0"/>
              </w:rPr>
            </w:pPr>
            <w:r w:rsidRPr="0002085C">
              <w:rPr>
                <w:rFonts w:cs="宋体" w:hint="eastAsia"/>
                <w:kern w:val="0"/>
              </w:rPr>
              <w:t>氧指数</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维卡软化点</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加热后尺寸变化率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高低温反复尺寸变化率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简支梁冲击强度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130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I</w:t>
      </w:r>
      <w:r>
        <w:rPr>
          <w:rFonts w:ascii="Times New Roman" w:hAnsi="Times New Roman" w:hint="eastAsia"/>
          <w:b/>
          <w:bCs/>
          <w:kern w:val="2"/>
        </w:rPr>
        <w:t>门窗及型材</w:t>
      </w:r>
      <w:r>
        <w:rPr>
          <w:rFonts w:ascii="Times New Roman" w:hAnsi="Times New Roman" w:cs="Times New Roman"/>
          <w:b/>
          <w:bCs/>
          <w:kern w:val="2"/>
        </w:rPr>
        <w:t xml:space="preserve">                                                         I01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080"/>
        <w:gridCol w:w="180"/>
        <w:gridCol w:w="198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门窗框用塑料型材</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1080" w:type="dxa"/>
            <w:vMerge w:val="restart"/>
            <w:vAlign w:val="center"/>
          </w:tcPr>
          <w:p w:rsidR="00A32067" w:rsidRPr="0002085C" w:rsidRDefault="00A32067" w:rsidP="0002085C">
            <w:pPr>
              <w:jc w:val="center"/>
              <w:rPr>
                <w:kern w:val="0"/>
              </w:rPr>
            </w:pPr>
            <w:r w:rsidRPr="0002085C">
              <w:rPr>
                <w:rFonts w:cs="宋体" w:hint="eastAsia"/>
                <w:kern w:val="0"/>
              </w:rPr>
              <w:t>耐候性</w:t>
            </w:r>
          </w:p>
        </w:tc>
        <w:tc>
          <w:tcPr>
            <w:tcW w:w="2160" w:type="dxa"/>
            <w:gridSpan w:val="2"/>
            <w:vAlign w:val="center"/>
          </w:tcPr>
          <w:p w:rsidR="00A32067" w:rsidRPr="0002085C" w:rsidRDefault="00A32067" w:rsidP="0002085C">
            <w:pPr>
              <w:jc w:val="center"/>
              <w:rPr>
                <w:kern w:val="0"/>
              </w:rPr>
            </w:pPr>
            <w:r w:rsidRPr="0002085C">
              <w:rPr>
                <w:rFonts w:cs="宋体" w:hint="eastAsia"/>
                <w:kern w:val="0"/>
              </w:rPr>
              <w:t>简支梁冲击强度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2160" w:type="dxa"/>
            <w:gridSpan w:val="2"/>
            <w:vAlign w:val="center"/>
          </w:tcPr>
          <w:p w:rsidR="00A32067" w:rsidRPr="0002085C" w:rsidRDefault="00A32067" w:rsidP="0002085C">
            <w:pPr>
              <w:jc w:val="center"/>
              <w:rPr>
                <w:kern w:val="0"/>
              </w:rPr>
            </w:pPr>
            <w:r w:rsidRPr="0002085C">
              <w:rPr>
                <w:rFonts w:cs="宋体" w:hint="eastAsia"/>
                <w:kern w:val="0"/>
              </w:rPr>
              <w:t>颜色变化</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化学成分</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力学性能（含硬度）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建筑用窗</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1260" w:type="dxa"/>
            <w:gridSpan w:val="2"/>
            <w:vMerge w:val="restart"/>
            <w:vAlign w:val="center"/>
          </w:tcPr>
          <w:p w:rsidR="00A32067" w:rsidRPr="0002085C" w:rsidRDefault="00A32067" w:rsidP="0002085C">
            <w:pPr>
              <w:jc w:val="center"/>
              <w:rPr>
                <w:kern w:val="0"/>
              </w:rPr>
            </w:pPr>
            <w:r w:rsidRPr="0002085C">
              <w:rPr>
                <w:rFonts w:cs="宋体" w:hint="eastAsia"/>
                <w:kern w:val="0"/>
              </w:rPr>
              <w:t>三项物理性能</w:t>
            </w:r>
          </w:p>
        </w:tc>
        <w:tc>
          <w:tcPr>
            <w:tcW w:w="1980" w:type="dxa"/>
            <w:vAlign w:val="center"/>
          </w:tcPr>
          <w:p w:rsidR="00A32067" w:rsidRPr="0002085C" w:rsidRDefault="00A32067" w:rsidP="0002085C">
            <w:pPr>
              <w:jc w:val="center"/>
              <w:rPr>
                <w:kern w:val="0"/>
              </w:rPr>
            </w:pPr>
            <w:r w:rsidRPr="0002085C">
              <w:rPr>
                <w:rFonts w:cs="宋体" w:hint="eastAsia"/>
                <w:kern w:val="0"/>
              </w:rPr>
              <w:t>抗风压性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Merge w:val="restart"/>
            <w:vAlign w:val="center"/>
          </w:tcPr>
          <w:p w:rsidR="00A32067" w:rsidRPr="0002085C" w:rsidRDefault="00A32067" w:rsidP="0002085C">
            <w:pPr>
              <w:jc w:val="center"/>
              <w:rPr>
                <w:kern w:val="0"/>
              </w:rPr>
            </w:pPr>
            <w:r w:rsidRPr="0002085C">
              <w:rPr>
                <w:kern w:val="0"/>
              </w:rPr>
              <w:t>1000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空气渗透性</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gridSpan w:val="2"/>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雨水渗漏性</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窗框厚度及窗洞尺寸规格</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塑钢门、窗角强度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门窗宽度尺寸</w:t>
            </w:r>
          </w:p>
          <w:p w:rsidR="00A32067" w:rsidRPr="0002085C" w:rsidRDefault="00A32067" w:rsidP="0002085C">
            <w:pPr>
              <w:jc w:val="center"/>
              <w:rPr>
                <w:kern w:val="0"/>
              </w:rPr>
            </w:pPr>
            <w:r w:rsidRPr="0002085C">
              <w:rPr>
                <w:rFonts w:cs="宋体" w:hint="eastAsia"/>
                <w:kern w:val="0"/>
              </w:rPr>
              <w:t>门窗高度尺寸</w:t>
            </w:r>
          </w:p>
          <w:p w:rsidR="00A32067" w:rsidRPr="0002085C" w:rsidRDefault="00A32067" w:rsidP="0002085C">
            <w:pPr>
              <w:jc w:val="center"/>
              <w:rPr>
                <w:kern w:val="0"/>
              </w:rPr>
            </w:pPr>
            <w:r w:rsidRPr="0002085C">
              <w:rPr>
                <w:rFonts w:cs="宋体" w:hint="eastAsia"/>
                <w:kern w:val="0"/>
              </w:rPr>
              <w:t>五金件安装</w:t>
            </w:r>
          </w:p>
          <w:p w:rsidR="00A32067" w:rsidRPr="0002085C" w:rsidRDefault="00A32067" w:rsidP="0002085C">
            <w:pPr>
              <w:jc w:val="center"/>
              <w:rPr>
                <w:kern w:val="0"/>
              </w:rPr>
            </w:pPr>
            <w:r w:rsidRPr="0002085C">
              <w:rPr>
                <w:rFonts w:cs="宋体" w:hint="eastAsia"/>
                <w:kern w:val="0"/>
              </w:rPr>
              <w:t>门窗框、扇对角线</w:t>
            </w:r>
          </w:p>
          <w:p w:rsidR="00A32067" w:rsidRPr="0002085C" w:rsidRDefault="00A32067" w:rsidP="0002085C">
            <w:pPr>
              <w:jc w:val="center"/>
              <w:rPr>
                <w:kern w:val="0"/>
              </w:rPr>
            </w:pPr>
            <w:r w:rsidRPr="0002085C">
              <w:rPr>
                <w:rFonts w:cs="宋体" w:hint="eastAsia"/>
                <w:kern w:val="0"/>
              </w:rPr>
              <w:t>铰链部位间隙</w:t>
            </w:r>
          </w:p>
          <w:p w:rsidR="00A32067" w:rsidRPr="0002085C" w:rsidRDefault="00A32067" w:rsidP="0002085C">
            <w:pPr>
              <w:jc w:val="center"/>
              <w:rPr>
                <w:kern w:val="0"/>
              </w:rPr>
            </w:pPr>
            <w:r w:rsidRPr="0002085C">
              <w:rPr>
                <w:rFonts w:cs="宋体" w:hint="eastAsia"/>
                <w:kern w:val="0"/>
              </w:rPr>
              <w:t>搭接量</w:t>
            </w:r>
          </w:p>
          <w:p w:rsidR="00A32067" w:rsidRPr="0002085C" w:rsidRDefault="00A32067" w:rsidP="0002085C">
            <w:pPr>
              <w:jc w:val="center"/>
              <w:rPr>
                <w:kern w:val="0"/>
              </w:rPr>
            </w:pPr>
            <w:r w:rsidRPr="0002085C">
              <w:rPr>
                <w:rFonts w:cs="宋体" w:hint="eastAsia"/>
                <w:kern w:val="0"/>
              </w:rPr>
              <w:t>吊高</w:t>
            </w:r>
          </w:p>
          <w:p w:rsidR="00A32067" w:rsidRPr="0002085C" w:rsidRDefault="00A32067" w:rsidP="0002085C">
            <w:pPr>
              <w:jc w:val="center"/>
              <w:rPr>
                <w:kern w:val="0"/>
              </w:rPr>
            </w:pPr>
            <w:r w:rsidRPr="0002085C">
              <w:rPr>
                <w:rFonts w:cs="宋体" w:hint="eastAsia"/>
                <w:kern w:val="0"/>
              </w:rPr>
              <w:t>压条装配间隙</w:t>
            </w:r>
          </w:p>
          <w:p w:rsidR="00A32067" w:rsidRPr="0002085C" w:rsidRDefault="00A32067" w:rsidP="0002085C">
            <w:pPr>
              <w:jc w:val="center"/>
              <w:rPr>
                <w:kern w:val="0"/>
              </w:rPr>
            </w:pPr>
            <w:r w:rsidRPr="0002085C">
              <w:rPr>
                <w:rFonts w:cs="宋体" w:hint="eastAsia"/>
                <w:kern w:val="0"/>
              </w:rPr>
              <w:t>防震块</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排水槽要求</w:t>
            </w:r>
          </w:p>
          <w:p w:rsidR="00A32067" w:rsidRPr="0002085C" w:rsidRDefault="00A32067" w:rsidP="0002085C">
            <w:pPr>
              <w:jc w:val="center"/>
              <w:rPr>
                <w:kern w:val="0"/>
              </w:rPr>
            </w:pPr>
            <w:r w:rsidRPr="0002085C">
              <w:rPr>
                <w:rFonts w:cs="宋体" w:hint="eastAsia"/>
                <w:kern w:val="0"/>
              </w:rPr>
              <w:t>装配间隙</w:t>
            </w:r>
          </w:p>
          <w:p w:rsidR="00A32067" w:rsidRPr="0002085C" w:rsidRDefault="00A32067" w:rsidP="0002085C">
            <w:pPr>
              <w:jc w:val="center"/>
              <w:rPr>
                <w:kern w:val="0"/>
              </w:rPr>
            </w:pPr>
            <w:r w:rsidRPr="0002085C">
              <w:rPr>
                <w:rFonts w:cs="宋体" w:hint="eastAsia"/>
                <w:kern w:val="0"/>
              </w:rPr>
              <w:t>平面高低差</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3"/>
            <w:vAlign w:val="center"/>
          </w:tcPr>
          <w:p w:rsidR="00A32067" w:rsidRPr="0002085C" w:rsidRDefault="00A32067" w:rsidP="0002085C">
            <w:pPr>
              <w:jc w:val="center"/>
              <w:rPr>
                <w:kern w:val="0"/>
              </w:rPr>
            </w:pPr>
            <w:r w:rsidRPr="0002085C">
              <w:rPr>
                <w:rFonts w:cs="宋体" w:hint="eastAsia"/>
                <w:kern w:val="0"/>
              </w:rPr>
              <w:t>连接件与型钢的连接</w:t>
            </w:r>
          </w:p>
          <w:p w:rsidR="00A32067" w:rsidRPr="0002085C" w:rsidRDefault="00A32067" w:rsidP="0002085C">
            <w:pPr>
              <w:jc w:val="center"/>
              <w:rPr>
                <w:kern w:val="0"/>
              </w:rPr>
            </w:pPr>
            <w:r w:rsidRPr="0002085C">
              <w:rPr>
                <w:rFonts w:cs="宋体" w:hint="eastAsia"/>
                <w:kern w:val="0"/>
              </w:rPr>
              <w:t>开关力</w:t>
            </w:r>
          </w:p>
          <w:p w:rsidR="00A32067" w:rsidRPr="0002085C" w:rsidRDefault="00A32067" w:rsidP="0002085C">
            <w:pPr>
              <w:jc w:val="center"/>
              <w:rPr>
                <w:kern w:val="0"/>
              </w:rPr>
            </w:pPr>
            <w:r w:rsidRPr="0002085C">
              <w:rPr>
                <w:rFonts w:cs="宋体" w:hint="eastAsia"/>
                <w:kern w:val="0"/>
              </w:rPr>
              <w:t>大力关闭</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I</w:t>
      </w:r>
      <w:r>
        <w:rPr>
          <w:rFonts w:ascii="Times New Roman" w:hAnsi="Times New Roman" w:hint="eastAsia"/>
          <w:b/>
          <w:bCs/>
          <w:kern w:val="2"/>
        </w:rPr>
        <w:t>门窗及型材</w:t>
      </w:r>
      <w:r>
        <w:rPr>
          <w:rFonts w:ascii="Times New Roman" w:hAnsi="Times New Roman" w:cs="Times New Roman"/>
          <w:b/>
          <w:bCs/>
          <w:kern w:val="2"/>
        </w:rPr>
        <w:t xml:space="preserve">                                                     I02</w:t>
      </w:r>
      <w:r>
        <w:rPr>
          <w:rFonts w:ascii="Times New Roman" w:hAnsi="Times New Roman" w:hint="eastAsia"/>
          <w:b/>
          <w:bCs/>
          <w:kern w:val="2"/>
        </w:rPr>
        <w:t>～</w:t>
      </w:r>
      <w:r>
        <w:rPr>
          <w:rFonts w:ascii="Times New Roman" w:hAnsi="Times New Roman" w:cs="Times New Roman"/>
          <w:b/>
          <w:bCs/>
          <w:kern w:val="2"/>
        </w:rPr>
        <w:t>04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260"/>
        <w:gridCol w:w="198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建筑用窗</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各部位安装质量</w:t>
            </w:r>
          </w:p>
          <w:p w:rsidR="00A32067" w:rsidRPr="0002085C" w:rsidRDefault="00A32067" w:rsidP="0002085C">
            <w:pPr>
              <w:jc w:val="center"/>
              <w:rPr>
                <w:kern w:val="0"/>
              </w:rPr>
            </w:pPr>
            <w:r w:rsidRPr="0002085C">
              <w:rPr>
                <w:rFonts w:cs="宋体" w:hint="eastAsia"/>
                <w:kern w:val="0"/>
              </w:rPr>
              <w:t>玻璃镶嵌尺寸</w:t>
            </w:r>
          </w:p>
          <w:p w:rsidR="00A32067" w:rsidRPr="0002085C" w:rsidRDefault="00A32067" w:rsidP="0002085C">
            <w:pPr>
              <w:jc w:val="center"/>
              <w:rPr>
                <w:kern w:val="0"/>
              </w:rPr>
            </w:pPr>
            <w:r w:rsidRPr="0002085C">
              <w:rPr>
                <w:rFonts w:cs="宋体" w:hint="eastAsia"/>
                <w:kern w:val="0"/>
              </w:rPr>
              <w:t>翘曲</w:t>
            </w:r>
          </w:p>
          <w:p w:rsidR="00A32067" w:rsidRPr="0002085C" w:rsidRDefault="00A32067" w:rsidP="0002085C">
            <w:pPr>
              <w:jc w:val="center"/>
              <w:rPr>
                <w:kern w:val="0"/>
              </w:rPr>
            </w:pPr>
            <w:r w:rsidRPr="0002085C">
              <w:rPr>
                <w:rFonts w:cs="宋体" w:hint="eastAsia"/>
                <w:kern w:val="0"/>
              </w:rPr>
              <w:t>窗撑试验</w:t>
            </w:r>
          </w:p>
          <w:p w:rsidR="00A32067" w:rsidRPr="0002085C" w:rsidRDefault="00A32067" w:rsidP="0002085C">
            <w:pPr>
              <w:jc w:val="center"/>
              <w:rPr>
                <w:kern w:val="0"/>
              </w:rPr>
            </w:pPr>
            <w:r w:rsidRPr="0002085C">
              <w:rPr>
                <w:rFonts w:cs="宋体" w:hint="eastAsia"/>
                <w:kern w:val="0"/>
              </w:rPr>
              <w:t>弯曲</w:t>
            </w:r>
          </w:p>
          <w:p w:rsidR="00A32067" w:rsidRPr="0002085C" w:rsidRDefault="00A32067" w:rsidP="0002085C">
            <w:pPr>
              <w:jc w:val="center"/>
              <w:rPr>
                <w:kern w:val="0"/>
              </w:rPr>
            </w:pPr>
            <w:r w:rsidRPr="0002085C">
              <w:rPr>
                <w:rFonts w:cs="宋体" w:hint="eastAsia"/>
                <w:kern w:val="0"/>
              </w:rPr>
              <w:t>扭曲</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外观</w:t>
            </w:r>
          </w:p>
          <w:p w:rsidR="00A32067" w:rsidRPr="0002085C" w:rsidRDefault="00A32067" w:rsidP="0002085C">
            <w:pPr>
              <w:jc w:val="center"/>
              <w:rPr>
                <w:kern w:val="0"/>
              </w:rPr>
            </w:pPr>
            <w:r w:rsidRPr="0002085C">
              <w:rPr>
                <w:rFonts w:cs="宋体" w:hint="eastAsia"/>
                <w:kern w:val="0"/>
              </w:rPr>
              <w:t>悬端吊重</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开关疲劳（</w:t>
            </w:r>
            <w:r w:rsidRPr="0002085C">
              <w:rPr>
                <w:kern w:val="0"/>
              </w:rPr>
              <w:t>1</w:t>
            </w:r>
            <w:r w:rsidRPr="0002085C">
              <w:rPr>
                <w:rFonts w:cs="宋体" w:hint="eastAsia"/>
                <w:kern w:val="0"/>
              </w:rPr>
              <w:t>万次）</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建筑幕墙</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三项物理性能</w:t>
            </w:r>
          </w:p>
        </w:tc>
        <w:tc>
          <w:tcPr>
            <w:tcW w:w="1980" w:type="dxa"/>
            <w:vAlign w:val="center"/>
          </w:tcPr>
          <w:p w:rsidR="00A32067" w:rsidRPr="0002085C" w:rsidRDefault="00A32067" w:rsidP="0002085C">
            <w:pPr>
              <w:jc w:val="center"/>
              <w:rPr>
                <w:kern w:val="0"/>
              </w:rPr>
            </w:pPr>
            <w:r w:rsidRPr="0002085C">
              <w:rPr>
                <w:rFonts w:cs="宋体" w:hint="eastAsia"/>
                <w:kern w:val="0"/>
              </w:rPr>
              <w:t>雨水渗漏性能</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5500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抗风压变形性能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7000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空气渗透性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7500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门窗用密封条</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外观质量</w:t>
            </w:r>
          </w:p>
          <w:p w:rsidR="00A32067" w:rsidRPr="0002085C" w:rsidRDefault="00A32067" w:rsidP="0002085C">
            <w:pPr>
              <w:jc w:val="center"/>
              <w:rPr>
                <w:kern w:val="0"/>
              </w:rPr>
            </w:pPr>
            <w:r w:rsidRPr="0002085C">
              <w:rPr>
                <w:rFonts w:cs="宋体" w:hint="eastAsia"/>
                <w:kern w:val="0"/>
              </w:rPr>
              <w:t>外观</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 xml:space="preserve">20 </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空气渗透性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机械性能（</w:t>
            </w:r>
            <w:r w:rsidRPr="0002085C">
              <w:rPr>
                <w:kern w:val="0"/>
              </w:rPr>
              <w:t>2</w:t>
            </w:r>
            <w:r w:rsidRPr="0002085C">
              <w:rPr>
                <w:rFonts w:cs="宋体" w:hint="eastAsia"/>
                <w:kern w:val="0"/>
              </w:rPr>
              <w:t>万次）</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尺寸允许偏差</w:t>
            </w:r>
          </w:p>
          <w:p w:rsidR="00A32067" w:rsidRPr="0002085C" w:rsidRDefault="00A32067" w:rsidP="0002085C">
            <w:pPr>
              <w:jc w:val="center"/>
              <w:rPr>
                <w:kern w:val="0"/>
              </w:rPr>
            </w:pPr>
            <w:r w:rsidRPr="0002085C">
              <w:rPr>
                <w:rFonts w:cs="宋体" w:hint="eastAsia"/>
                <w:kern w:val="0"/>
              </w:rPr>
              <w:t>截面尺寸</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加热收缩率</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kern w:val="0"/>
              </w:rPr>
              <w:t>100%</w:t>
            </w:r>
            <w:r w:rsidRPr="0002085C">
              <w:rPr>
                <w:rFonts w:cs="宋体" w:hint="eastAsia"/>
                <w:kern w:val="0"/>
              </w:rPr>
              <w:t>定伸强度</w:t>
            </w:r>
          </w:p>
          <w:p w:rsidR="00A32067" w:rsidRPr="0002085C" w:rsidRDefault="00A32067" w:rsidP="0002085C">
            <w:pPr>
              <w:jc w:val="center"/>
              <w:rPr>
                <w:kern w:val="0"/>
              </w:rPr>
            </w:pPr>
            <w:r w:rsidRPr="0002085C">
              <w:rPr>
                <w:rFonts w:cs="宋体" w:hint="eastAsia"/>
                <w:kern w:val="0"/>
              </w:rPr>
              <w:t>拉伸断裂强度</w:t>
            </w:r>
          </w:p>
          <w:p w:rsidR="00A32067" w:rsidRPr="0002085C" w:rsidRDefault="00A32067" w:rsidP="0002085C">
            <w:pPr>
              <w:jc w:val="center"/>
              <w:rPr>
                <w:kern w:val="0"/>
              </w:rPr>
            </w:pPr>
            <w:r w:rsidRPr="0002085C">
              <w:rPr>
                <w:rFonts w:cs="宋体" w:hint="eastAsia"/>
                <w:kern w:val="0"/>
              </w:rPr>
              <w:t>拉伸断裂伸长率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热空气老化</w:t>
            </w:r>
          </w:p>
          <w:p w:rsidR="00A32067" w:rsidRPr="0002085C" w:rsidRDefault="00A32067" w:rsidP="0002085C">
            <w:pPr>
              <w:jc w:val="center"/>
              <w:rPr>
                <w:kern w:val="0"/>
              </w:rPr>
            </w:pPr>
            <w:r w:rsidRPr="0002085C">
              <w:rPr>
                <w:rFonts w:cs="宋体" w:hint="eastAsia"/>
                <w:kern w:val="0"/>
              </w:rPr>
              <w:t>压缩永久变形</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210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I</w:t>
      </w:r>
      <w:r>
        <w:rPr>
          <w:rFonts w:ascii="Times New Roman" w:hAnsi="Times New Roman" w:hint="eastAsia"/>
          <w:b/>
          <w:bCs/>
          <w:kern w:val="2"/>
        </w:rPr>
        <w:t>门窗及型材</w:t>
      </w:r>
      <w:r>
        <w:rPr>
          <w:rFonts w:ascii="Times New Roman" w:hAnsi="Times New Roman" w:cs="Times New Roman"/>
          <w:b/>
          <w:bCs/>
          <w:kern w:val="2"/>
        </w:rPr>
        <w:t xml:space="preserve">                                                            I04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260"/>
        <w:gridCol w:w="1980"/>
        <w:gridCol w:w="1296"/>
        <w:gridCol w:w="1701"/>
      </w:tblGrid>
      <w:tr w:rsidR="00A32067">
        <w:trPr>
          <w:trHeight w:hRule="exact" w:val="668"/>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hRule="exact" w:val="56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门窗用密封条</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硬度（邵氏</w:t>
            </w:r>
            <w:r w:rsidRPr="0002085C">
              <w:rPr>
                <w:kern w:val="0"/>
              </w:rPr>
              <w:t>A</w:t>
            </w:r>
            <w:r w:rsidRPr="0002085C">
              <w:rPr>
                <w:rFonts w:cs="宋体" w:hint="eastAsia"/>
                <w:kern w:val="0"/>
              </w:rPr>
              <w:t>型）</w:t>
            </w:r>
          </w:p>
        </w:tc>
        <w:tc>
          <w:tcPr>
            <w:tcW w:w="1980" w:type="dxa"/>
            <w:vAlign w:val="center"/>
          </w:tcPr>
          <w:p w:rsidR="00A32067" w:rsidRPr="0002085C" w:rsidRDefault="00A32067" w:rsidP="0002085C">
            <w:pPr>
              <w:jc w:val="center"/>
              <w:rPr>
                <w:kern w:val="0"/>
              </w:rPr>
            </w:pPr>
            <w:r w:rsidRPr="0002085C">
              <w:rPr>
                <w:kern w:val="0"/>
              </w:rPr>
              <w:t>23</w:t>
            </w:r>
            <w:r w:rsidRPr="0002085C">
              <w:rPr>
                <w:rFonts w:ascii="宋体" w:hAnsi="宋体" w:cs="宋体" w:hint="eastAsia"/>
                <w:kern w:val="0"/>
              </w:rPr>
              <w:t>℃</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hRule="exact" w:val="48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kern w:val="0"/>
              </w:rPr>
              <w:t>0</w:t>
            </w:r>
            <w:r w:rsidRPr="0002085C">
              <w:rPr>
                <w:rFonts w:ascii="宋体" w:hAnsi="宋体" w:cs="宋体" w:hint="eastAsia"/>
                <w:kern w:val="0"/>
              </w:rPr>
              <w:t>℃</w:t>
            </w:r>
            <w:r w:rsidRPr="0002085C">
              <w:rPr>
                <w:rFonts w:cs="宋体" w:hint="eastAsia"/>
                <w:kern w:val="0"/>
              </w:rPr>
              <w:t>、</w:t>
            </w:r>
            <w:r w:rsidRPr="0002085C">
              <w:rPr>
                <w:kern w:val="0"/>
              </w:rPr>
              <w:t>40</w:t>
            </w:r>
            <w:r w:rsidRPr="0002085C">
              <w:rPr>
                <w:rFonts w:ascii="宋体" w:hAnsi="宋体" w:cs="宋体" w:hint="eastAsia"/>
                <w:kern w:val="0"/>
              </w:rPr>
              <w:t>℃</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hRule="exact" w:val="50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脆性温度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hRule="exact" w:val="499"/>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耐臭氧性能</w:t>
            </w:r>
          </w:p>
        </w:tc>
        <w:tc>
          <w:tcPr>
            <w:tcW w:w="1296" w:type="dxa"/>
            <w:vAlign w:val="center"/>
          </w:tcPr>
          <w:p w:rsidR="00A32067" w:rsidRPr="0002085C" w:rsidRDefault="00A32067" w:rsidP="0002085C">
            <w:pPr>
              <w:jc w:val="center"/>
              <w:rPr>
                <w:kern w:val="0"/>
              </w:rPr>
            </w:pPr>
            <w:r w:rsidRPr="0002085C">
              <w:rPr>
                <w:rFonts w:cs="宋体" w:hint="eastAsia"/>
                <w:kern w:val="0"/>
              </w:rPr>
              <w:t>小时</w:t>
            </w:r>
          </w:p>
        </w:tc>
        <w:tc>
          <w:tcPr>
            <w:tcW w:w="1701" w:type="dxa"/>
            <w:vAlign w:val="center"/>
          </w:tcPr>
          <w:p w:rsidR="00A32067" w:rsidRPr="0002085C" w:rsidRDefault="00A32067" w:rsidP="0002085C">
            <w:pPr>
              <w:jc w:val="center"/>
              <w:rPr>
                <w:kern w:val="0"/>
              </w:rPr>
            </w:pPr>
            <w:r w:rsidRPr="0002085C">
              <w:rPr>
                <w:kern w:val="0"/>
              </w:rPr>
              <w:t>15</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J</w:t>
      </w:r>
      <w:r>
        <w:rPr>
          <w:rFonts w:ascii="Times New Roman" w:hAnsi="Times New Roman" w:hint="eastAsia"/>
          <w:b/>
          <w:bCs/>
          <w:kern w:val="2"/>
        </w:rPr>
        <w:t>涂料及胶粘剂</w:t>
      </w:r>
      <w:r>
        <w:rPr>
          <w:rFonts w:ascii="Times New Roman" w:hAnsi="Times New Roman" w:cs="Times New Roman"/>
          <w:b/>
          <w:bCs/>
          <w:kern w:val="2"/>
        </w:rPr>
        <w:t xml:space="preserve">                                                            J01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hRule="exact" w:val="497"/>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hRule="exact" w:val="114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涂料</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240" w:type="dxa"/>
            <w:vAlign w:val="center"/>
          </w:tcPr>
          <w:p w:rsidR="00A32067" w:rsidRPr="0002085C" w:rsidRDefault="00A32067" w:rsidP="0002085C">
            <w:pPr>
              <w:jc w:val="center"/>
              <w:rPr>
                <w:kern w:val="0"/>
              </w:rPr>
            </w:pPr>
            <w:r w:rsidRPr="0002085C">
              <w:rPr>
                <w:rFonts w:cs="宋体" w:hint="eastAsia"/>
                <w:kern w:val="0"/>
              </w:rPr>
              <w:t>容器中的状态</w:t>
            </w:r>
          </w:p>
          <w:p w:rsidR="00A32067" w:rsidRPr="0002085C" w:rsidRDefault="00A32067" w:rsidP="0002085C">
            <w:pPr>
              <w:jc w:val="center"/>
              <w:rPr>
                <w:kern w:val="0"/>
              </w:rPr>
            </w:pPr>
            <w:r w:rsidRPr="0002085C">
              <w:rPr>
                <w:rFonts w:cs="宋体" w:hint="eastAsia"/>
                <w:kern w:val="0"/>
              </w:rPr>
              <w:t>遮盖力</w:t>
            </w:r>
          </w:p>
          <w:p w:rsidR="00A32067" w:rsidRPr="0002085C" w:rsidRDefault="00A32067" w:rsidP="0002085C">
            <w:pPr>
              <w:jc w:val="center"/>
              <w:rPr>
                <w:kern w:val="0"/>
              </w:rPr>
            </w:pPr>
            <w:r w:rsidRPr="0002085C">
              <w:rPr>
                <w:rFonts w:cs="宋体" w:hint="eastAsia"/>
                <w:kern w:val="0"/>
              </w:rPr>
              <w:t>不挥发物含量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35</w:t>
            </w:r>
          </w:p>
        </w:tc>
      </w:tr>
      <w:tr w:rsidR="00A32067">
        <w:trPr>
          <w:trHeight w:hRule="exact" w:val="70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施工性</w:t>
            </w:r>
          </w:p>
          <w:p w:rsidR="00A32067" w:rsidRPr="0002085C" w:rsidRDefault="00A32067" w:rsidP="0002085C">
            <w:pPr>
              <w:jc w:val="center"/>
              <w:rPr>
                <w:kern w:val="0"/>
              </w:rPr>
            </w:pPr>
            <w:r w:rsidRPr="0002085C">
              <w:rPr>
                <w:rFonts w:cs="宋体" w:hint="eastAsia"/>
                <w:kern w:val="0"/>
              </w:rPr>
              <w:t>涂膜外观</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hRule="exact" w:val="433"/>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干燥时间</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hRule="exact" w:val="78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对比性</w:t>
            </w:r>
          </w:p>
          <w:p w:rsidR="00A32067" w:rsidRPr="0002085C" w:rsidRDefault="00A32067" w:rsidP="0002085C">
            <w:pPr>
              <w:jc w:val="center"/>
              <w:rPr>
                <w:kern w:val="0"/>
              </w:rPr>
            </w:pPr>
            <w:r w:rsidRPr="0002085C">
              <w:rPr>
                <w:rFonts w:cs="宋体" w:hint="eastAsia"/>
                <w:kern w:val="0"/>
              </w:rPr>
              <w:t>柔韧性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hRule="exact" w:val="113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耐碱性</w:t>
            </w:r>
          </w:p>
          <w:p w:rsidR="00A32067" w:rsidRPr="0002085C" w:rsidRDefault="00A32067" w:rsidP="0002085C">
            <w:pPr>
              <w:jc w:val="center"/>
              <w:rPr>
                <w:kern w:val="0"/>
              </w:rPr>
            </w:pPr>
            <w:r w:rsidRPr="0002085C">
              <w:rPr>
                <w:rFonts w:cs="宋体" w:hint="eastAsia"/>
                <w:kern w:val="0"/>
              </w:rPr>
              <w:t>耐水性</w:t>
            </w:r>
          </w:p>
          <w:p w:rsidR="00A32067" w:rsidRPr="0002085C" w:rsidRDefault="00A32067" w:rsidP="0002085C">
            <w:pPr>
              <w:jc w:val="center"/>
              <w:rPr>
                <w:kern w:val="0"/>
              </w:rPr>
            </w:pPr>
            <w:r w:rsidRPr="0002085C">
              <w:rPr>
                <w:rFonts w:cs="宋体" w:hint="eastAsia"/>
                <w:kern w:val="0"/>
              </w:rPr>
              <w:t>附着力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hRule="exact" w:val="1138"/>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耐洗刷性</w:t>
            </w:r>
          </w:p>
          <w:p w:rsidR="00A32067" w:rsidRPr="0002085C" w:rsidRDefault="00A32067" w:rsidP="0002085C">
            <w:pPr>
              <w:jc w:val="center"/>
              <w:rPr>
                <w:kern w:val="0"/>
              </w:rPr>
            </w:pPr>
            <w:r w:rsidRPr="0002085C">
              <w:rPr>
                <w:rFonts w:cs="宋体" w:hint="eastAsia"/>
                <w:kern w:val="0"/>
              </w:rPr>
              <w:t>耐燃时间</w:t>
            </w:r>
          </w:p>
          <w:p w:rsidR="00A32067" w:rsidRPr="0002085C" w:rsidRDefault="00A32067" w:rsidP="0002085C">
            <w:pPr>
              <w:jc w:val="center"/>
              <w:rPr>
                <w:kern w:val="0"/>
              </w:rPr>
            </w:pPr>
            <w:r w:rsidRPr="0002085C">
              <w:rPr>
                <w:rFonts w:cs="宋体" w:hint="eastAsia"/>
                <w:kern w:val="0"/>
              </w:rPr>
              <w:t>火焰传播比</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165</w:t>
            </w:r>
          </w:p>
        </w:tc>
      </w:tr>
      <w:tr w:rsidR="00A32067">
        <w:trPr>
          <w:trHeight w:hRule="exact" w:val="483"/>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涂料耐冻融性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215</w:t>
            </w:r>
          </w:p>
        </w:tc>
      </w:tr>
      <w:tr w:rsidR="00A32067">
        <w:trPr>
          <w:trHeight w:hRule="exact" w:val="49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粘度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w:t>
            </w:r>
          </w:p>
        </w:tc>
      </w:tr>
      <w:tr w:rsidR="00A32067">
        <w:trPr>
          <w:trHeight w:hRule="exact" w:val="719"/>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细度</w:t>
            </w:r>
          </w:p>
          <w:p w:rsidR="00A32067" w:rsidRPr="0002085C" w:rsidRDefault="00A32067" w:rsidP="0002085C">
            <w:pPr>
              <w:jc w:val="center"/>
              <w:rPr>
                <w:kern w:val="0"/>
              </w:rPr>
            </w:pPr>
            <w:r w:rsidRPr="0002085C">
              <w:rPr>
                <w:rFonts w:cs="宋体" w:hint="eastAsia"/>
                <w:kern w:val="0"/>
              </w:rPr>
              <w:t>白度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hRule="exact" w:val="467"/>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耐冲击性</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hRule="exact" w:val="99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耐湿热性</w:t>
            </w:r>
          </w:p>
          <w:p w:rsidR="00A32067" w:rsidRPr="0002085C" w:rsidRDefault="00A32067" w:rsidP="0002085C">
            <w:pPr>
              <w:jc w:val="center"/>
              <w:rPr>
                <w:kern w:val="0"/>
              </w:rPr>
            </w:pPr>
            <w:r w:rsidRPr="0002085C">
              <w:rPr>
                <w:rFonts w:cs="宋体" w:hint="eastAsia"/>
                <w:kern w:val="0"/>
              </w:rPr>
              <w:t>失重</w:t>
            </w:r>
          </w:p>
          <w:p w:rsidR="00A32067" w:rsidRPr="0002085C" w:rsidRDefault="00A32067" w:rsidP="0002085C">
            <w:pPr>
              <w:jc w:val="center"/>
              <w:rPr>
                <w:kern w:val="0"/>
              </w:rPr>
            </w:pPr>
            <w:r w:rsidRPr="0002085C">
              <w:rPr>
                <w:rFonts w:cs="宋体" w:hint="eastAsia"/>
                <w:kern w:val="0"/>
              </w:rPr>
              <w:t>炭化体积</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145</w:t>
            </w:r>
          </w:p>
        </w:tc>
      </w:tr>
      <w:tr w:rsidR="00A32067">
        <w:trPr>
          <w:trHeight w:hRule="exac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固体含量</w:t>
            </w:r>
          </w:p>
          <w:p w:rsidR="00A32067" w:rsidRPr="0002085C" w:rsidRDefault="00A32067" w:rsidP="0002085C">
            <w:pPr>
              <w:jc w:val="center"/>
              <w:rPr>
                <w:kern w:val="0"/>
              </w:rPr>
            </w:pPr>
            <w:r w:rsidRPr="0002085C">
              <w:rPr>
                <w:rFonts w:cs="宋体" w:hint="eastAsia"/>
                <w:kern w:val="0"/>
              </w:rPr>
              <w:t>硬度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hRule="exac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耐擦洗</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bl>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J</w:t>
      </w:r>
      <w:r>
        <w:rPr>
          <w:rFonts w:ascii="Times New Roman" w:hAnsi="Times New Roman" w:hint="eastAsia"/>
          <w:b/>
          <w:bCs/>
          <w:kern w:val="2"/>
        </w:rPr>
        <w:t>涂料及胶粘剂</w:t>
      </w:r>
      <w:r>
        <w:rPr>
          <w:rFonts w:ascii="Times New Roman" w:hAnsi="Times New Roman" w:cs="Times New Roman"/>
          <w:b/>
          <w:bCs/>
          <w:kern w:val="2"/>
        </w:rPr>
        <w:t xml:space="preserve">                                                        J02</w:t>
      </w:r>
      <w:r>
        <w:rPr>
          <w:rFonts w:ascii="Times New Roman" w:hAnsi="Times New Roman" w:hint="eastAsia"/>
          <w:b/>
          <w:bCs/>
          <w:kern w:val="2"/>
        </w:rPr>
        <w:t>～</w:t>
      </w:r>
      <w:r>
        <w:rPr>
          <w:rFonts w:ascii="Times New Roman" w:hAnsi="Times New Roman" w:cs="Times New Roman"/>
          <w:b/>
          <w:bCs/>
          <w:kern w:val="2"/>
        </w:rPr>
        <w:t>04</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624"/>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保温隔热砂浆涂料</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240" w:type="dxa"/>
            <w:vAlign w:val="center"/>
          </w:tcPr>
          <w:p w:rsidR="00A32067" w:rsidRPr="0002085C" w:rsidRDefault="00A32067" w:rsidP="0002085C">
            <w:pPr>
              <w:jc w:val="center"/>
              <w:rPr>
                <w:kern w:val="0"/>
              </w:rPr>
            </w:pPr>
            <w:r w:rsidRPr="0002085C">
              <w:rPr>
                <w:rFonts w:cs="宋体" w:hint="eastAsia"/>
                <w:kern w:val="0"/>
              </w:rPr>
              <w:t>外观</w:t>
            </w:r>
          </w:p>
          <w:p w:rsidR="00A32067" w:rsidRPr="0002085C" w:rsidRDefault="00A32067" w:rsidP="0002085C">
            <w:pPr>
              <w:jc w:val="center"/>
              <w:rPr>
                <w:kern w:val="0"/>
              </w:rPr>
            </w:pPr>
            <w:r w:rsidRPr="0002085C">
              <w:rPr>
                <w:rFonts w:cs="宋体" w:hint="eastAsia"/>
                <w:kern w:val="0"/>
              </w:rPr>
              <w:t>浆体密度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kern w:val="0"/>
              </w:rPr>
              <w:t>pH</w:t>
            </w:r>
            <w:r w:rsidRPr="0002085C">
              <w:rPr>
                <w:rFonts w:cs="宋体" w:hint="eastAsia"/>
                <w:kern w:val="0"/>
              </w:rPr>
              <w:t>值</w:t>
            </w:r>
          </w:p>
          <w:p w:rsidR="00A32067" w:rsidRPr="0002085C" w:rsidRDefault="00A32067" w:rsidP="0002085C">
            <w:pPr>
              <w:jc w:val="center"/>
              <w:rPr>
                <w:kern w:val="0"/>
              </w:rPr>
            </w:pPr>
            <w:r w:rsidRPr="0002085C">
              <w:rPr>
                <w:rFonts w:cs="宋体" w:hint="eastAsia"/>
                <w:kern w:val="0"/>
              </w:rPr>
              <w:t>干密度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收缩率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抗拉强度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195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粘结强度</w:t>
            </w:r>
          </w:p>
          <w:p w:rsidR="00A32067" w:rsidRPr="0002085C" w:rsidRDefault="00A32067" w:rsidP="0002085C">
            <w:pPr>
              <w:jc w:val="center"/>
              <w:rPr>
                <w:kern w:val="0"/>
              </w:rPr>
            </w:pPr>
            <w:r w:rsidRPr="0002085C">
              <w:rPr>
                <w:rFonts w:cs="宋体" w:hint="eastAsia"/>
                <w:kern w:val="0"/>
              </w:rPr>
              <w:t>高温后抗拉</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导热系数</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聚氨酯嵌缝胶</w:t>
            </w:r>
          </w:p>
        </w:tc>
        <w:tc>
          <w:tcPr>
            <w:tcW w:w="1260" w:type="dxa"/>
            <w:vMerge w:val="restart"/>
            <w:vAlign w:val="center"/>
          </w:tcPr>
          <w:p w:rsidR="00A32067" w:rsidRPr="0002085C" w:rsidRDefault="00A32067" w:rsidP="0002085C">
            <w:pPr>
              <w:jc w:val="center"/>
              <w:rPr>
                <w:kern w:val="0"/>
              </w:rPr>
            </w:pPr>
            <w:r w:rsidRPr="0002085C">
              <w:rPr>
                <w:kern w:val="0"/>
              </w:rPr>
              <w:t>03</w:t>
            </w:r>
          </w:p>
        </w:tc>
        <w:tc>
          <w:tcPr>
            <w:tcW w:w="3240" w:type="dxa"/>
            <w:vAlign w:val="center"/>
          </w:tcPr>
          <w:p w:rsidR="00A32067" w:rsidRPr="0002085C" w:rsidRDefault="00A32067" w:rsidP="0002085C">
            <w:pPr>
              <w:jc w:val="center"/>
              <w:rPr>
                <w:kern w:val="0"/>
              </w:rPr>
            </w:pPr>
            <w:r w:rsidRPr="0002085C">
              <w:rPr>
                <w:rFonts w:cs="宋体" w:hint="eastAsia"/>
                <w:kern w:val="0"/>
              </w:rPr>
              <w:t>密度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适用性</w:t>
            </w:r>
          </w:p>
          <w:p w:rsidR="00A32067" w:rsidRPr="0002085C" w:rsidRDefault="00A32067" w:rsidP="0002085C">
            <w:pPr>
              <w:jc w:val="center"/>
              <w:rPr>
                <w:kern w:val="0"/>
              </w:rPr>
            </w:pPr>
            <w:r w:rsidRPr="0002085C">
              <w:rPr>
                <w:rFonts w:cs="宋体" w:hint="eastAsia"/>
                <w:kern w:val="0"/>
              </w:rPr>
              <w:t>干燥时间</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175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渗出性指数</w:t>
            </w:r>
          </w:p>
          <w:p w:rsidR="00A32067" w:rsidRPr="0002085C" w:rsidRDefault="00A32067" w:rsidP="0002085C">
            <w:pPr>
              <w:jc w:val="center"/>
              <w:rPr>
                <w:kern w:val="0"/>
              </w:rPr>
            </w:pPr>
            <w:r w:rsidRPr="0002085C">
              <w:rPr>
                <w:rFonts w:cs="宋体" w:hint="eastAsia"/>
                <w:kern w:val="0"/>
              </w:rPr>
              <w:t>伸长率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流平性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低温柔度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拉伸强度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恢复率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呋喃胶泥</w:t>
            </w:r>
          </w:p>
        </w:tc>
        <w:tc>
          <w:tcPr>
            <w:tcW w:w="1260" w:type="dxa"/>
            <w:vMerge w:val="restart"/>
            <w:vAlign w:val="center"/>
          </w:tcPr>
          <w:p w:rsidR="00A32067" w:rsidRPr="0002085C" w:rsidRDefault="00A32067" w:rsidP="0002085C">
            <w:pPr>
              <w:jc w:val="center"/>
              <w:rPr>
                <w:kern w:val="0"/>
              </w:rPr>
            </w:pPr>
            <w:r w:rsidRPr="0002085C">
              <w:rPr>
                <w:kern w:val="0"/>
              </w:rPr>
              <w:t>04</w:t>
            </w:r>
          </w:p>
        </w:tc>
        <w:tc>
          <w:tcPr>
            <w:tcW w:w="3240" w:type="dxa"/>
            <w:vAlign w:val="center"/>
          </w:tcPr>
          <w:p w:rsidR="00A32067" w:rsidRPr="0002085C" w:rsidRDefault="00A32067" w:rsidP="0002085C">
            <w:pPr>
              <w:jc w:val="center"/>
              <w:rPr>
                <w:kern w:val="0"/>
              </w:rPr>
            </w:pPr>
            <w:r w:rsidRPr="0002085C">
              <w:rPr>
                <w:rFonts w:cs="宋体" w:hint="eastAsia"/>
                <w:kern w:val="0"/>
              </w:rPr>
              <w:t>含水率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耐酸率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硬化时间</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270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抗压强度</w:t>
            </w:r>
          </w:p>
          <w:p w:rsidR="00A32067" w:rsidRPr="0002085C" w:rsidRDefault="00A32067" w:rsidP="0002085C">
            <w:pPr>
              <w:jc w:val="center"/>
              <w:rPr>
                <w:kern w:val="0"/>
              </w:rPr>
            </w:pPr>
            <w:r w:rsidRPr="0002085C">
              <w:rPr>
                <w:rFonts w:cs="宋体" w:hint="eastAsia"/>
                <w:kern w:val="0"/>
              </w:rPr>
              <w:t>抗拉强度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砂浆抗渗</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粘结力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耐腐蚀</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J</w:t>
      </w:r>
      <w:r>
        <w:rPr>
          <w:rFonts w:ascii="Times New Roman" w:hAnsi="Times New Roman" w:hint="eastAsia"/>
          <w:b/>
          <w:bCs/>
          <w:kern w:val="2"/>
        </w:rPr>
        <w:t>涂料及胶粘剂</w:t>
      </w:r>
      <w:r>
        <w:rPr>
          <w:rFonts w:ascii="Times New Roman" w:hAnsi="Times New Roman" w:cs="Times New Roman"/>
          <w:b/>
          <w:bCs/>
          <w:kern w:val="2"/>
        </w:rPr>
        <w:t xml:space="preserve">                                                      J05</w:t>
      </w:r>
      <w:r>
        <w:rPr>
          <w:rFonts w:ascii="Times New Roman" w:hAnsi="Times New Roman" w:hint="eastAsia"/>
          <w:b/>
          <w:bCs/>
          <w:kern w:val="2"/>
        </w:rPr>
        <w:t>～</w:t>
      </w:r>
      <w:r>
        <w:rPr>
          <w:rFonts w:ascii="Times New Roman" w:hAnsi="Times New Roman" w:cs="Times New Roman"/>
          <w:b/>
          <w:bCs/>
          <w:kern w:val="2"/>
        </w:rPr>
        <w:t>06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620"/>
        <w:gridCol w:w="162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陶瓷砖地砖胶结剂</w:t>
            </w:r>
          </w:p>
        </w:tc>
        <w:tc>
          <w:tcPr>
            <w:tcW w:w="1260" w:type="dxa"/>
            <w:vMerge w:val="restart"/>
            <w:vAlign w:val="center"/>
          </w:tcPr>
          <w:p w:rsidR="00A32067" w:rsidRPr="0002085C" w:rsidRDefault="00A32067" w:rsidP="0002085C">
            <w:pPr>
              <w:jc w:val="center"/>
              <w:rPr>
                <w:kern w:val="0"/>
              </w:rPr>
            </w:pPr>
            <w:r w:rsidRPr="0002085C">
              <w:rPr>
                <w:kern w:val="0"/>
              </w:rPr>
              <w:t>05</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拉伸强度</w:t>
            </w:r>
          </w:p>
          <w:p w:rsidR="00A32067" w:rsidRPr="0002085C" w:rsidRDefault="00A32067" w:rsidP="0002085C">
            <w:pPr>
              <w:jc w:val="center"/>
              <w:rPr>
                <w:kern w:val="0"/>
              </w:rPr>
            </w:pPr>
            <w:r w:rsidRPr="0002085C">
              <w:rPr>
                <w:rFonts w:cs="宋体" w:hint="eastAsia"/>
                <w:kern w:val="0"/>
              </w:rPr>
              <w:t>压剪强度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收缩</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压缩胶结强度（耐冻融）</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375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晾置时间</w:t>
            </w:r>
          </w:p>
          <w:p w:rsidR="00A32067" w:rsidRPr="0002085C" w:rsidRDefault="00A32067" w:rsidP="0002085C">
            <w:pPr>
              <w:jc w:val="center"/>
              <w:rPr>
                <w:kern w:val="0"/>
              </w:rPr>
            </w:pPr>
            <w:r w:rsidRPr="0002085C">
              <w:rPr>
                <w:rFonts w:cs="宋体" w:hint="eastAsia"/>
                <w:kern w:val="0"/>
              </w:rPr>
              <w:t>调整时间</w:t>
            </w:r>
          </w:p>
          <w:p w:rsidR="00A32067" w:rsidRPr="0002085C" w:rsidRDefault="00A32067" w:rsidP="0002085C">
            <w:pPr>
              <w:jc w:val="center"/>
              <w:rPr>
                <w:kern w:val="0"/>
              </w:rPr>
            </w:pPr>
            <w:r w:rsidRPr="0002085C">
              <w:rPr>
                <w:rFonts w:cs="宋体" w:hint="eastAsia"/>
                <w:kern w:val="0"/>
              </w:rPr>
              <w:t>压缩胶结原强度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290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restart"/>
            <w:vAlign w:val="center"/>
          </w:tcPr>
          <w:p w:rsidR="00A32067" w:rsidRPr="0002085C" w:rsidRDefault="00A32067" w:rsidP="0002085C">
            <w:pPr>
              <w:jc w:val="center"/>
              <w:rPr>
                <w:kern w:val="0"/>
              </w:rPr>
            </w:pPr>
            <w:r w:rsidRPr="0002085C">
              <w:rPr>
                <w:rFonts w:cs="宋体" w:hint="eastAsia"/>
                <w:kern w:val="0"/>
              </w:rPr>
              <w:t>压缩胶结原强度</w:t>
            </w:r>
          </w:p>
        </w:tc>
        <w:tc>
          <w:tcPr>
            <w:tcW w:w="1620" w:type="dxa"/>
            <w:vAlign w:val="center"/>
          </w:tcPr>
          <w:p w:rsidR="00A32067" w:rsidRPr="0002085C" w:rsidRDefault="00A32067" w:rsidP="0002085C">
            <w:pPr>
              <w:jc w:val="center"/>
              <w:rPr>
                <w:kern w:val="0"/>
              </w:rPr>
            </w:pPr>
            <w:r w:rsidRPr="0002085C">
              <w:rPr>
                <w:rFonts w:cs="宋体" w:hint="eastAsia"/>
                <w:kern w:val="0"/>
              </w:rPr>
              <w:t>耐水</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02085C">
            <w:pPr>
              <w:jc w:val="center"/>
              <w:rPr>
                <w:kern w:val="0"/>
              </w:rPr>
            </w:pPr>
          </w:p>
        </w:tc>
        <w:tc>
          <w:tcPr>
            <w:tcW w:w="1620" w:type="dxa"/>
            <w:vAlign w:val="center"/>
          </w:tcPr>
          <w:p w:rsidR="00A32067" w:rsidRPr="0002085C" w:rsidRDefault="00A32067" w:rsidP="0002085C">
            <w:pPr>
              <w:jc w:val="center"/>
              <w:rPr>
                <w:kern w:val="0"/>
              </w:rPr>
            </w:pPr>
            <w:r w:rsidRPr="0002085C">
              <w:rPr>
                <w:rFonts w:cs="宋体" w:hint="eastAsia"/>
                <w:kern w:val="0"/>
              </w:rPr>
              <w:t>耐温</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320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硅酮建筑密封膏</w:t>
            </w:r>
          </w:p>
        </w:tc>
        <w:tc>
          <w:tcPr>
            <w:tcW w:w="1260" w:type="dxa"/>
            <w:vMerge w:val="restart"/>
            <w:vAlign w:val="center"/>
          </w:tcPr>
          <w:p w:rsidR="00A32067" w:rsidRPr="0002085C" w:rsidRDefault="00A32067" w:rsidP="0002085C">
            <w:pPr>
              <w:jc w:val="center"/>
              <w:rPr>
                <w:kern w:val="0"/>
              </w:rPr>
            </w:pPr>
            <w:r w:rsidRPr="0002085C">
              <w:rPr>
                <w:kern w:val="0"/>
              </w:rPr>
              <w:t>06</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外观</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性状</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稠度</w:t>
            </w:r>
          </w:p>
          <w:p w:rsidR="00A32067" w:rsidRPr="0002085C" w:rsidRDefault="00A32067" w:rsidP="0002085C">
            <w:pPr>
              <w:jc w:val="center"/>
              <w:rPr>
                <w:kern w:val="0"/>
              </w:rPr>
            </w:pPr>
            <w:r w:rsidRPr="0002085C">
              <w:rPr>
                <w:rFonts w:cs="宋体" w:hint="eastAsia"/>
                <w:kern w:val="0"/>
              </w:rPr>
              <w:t>柔性</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固体含量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表干</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实干</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140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耐寒性（</w:t>
            </w:r>
            <w:r w:rsidRPr="0002085C">
              <w:rPr>
                <w:kern w:val="0"/>
              </w:rPr>
              <w:t>-40</w:t>
            </w:r>
            <w:r w:rsidRPr="0002085C">
              <w:rPr>
                <w:rFonts w:ascii="宋体" w:hAnsi="宋体" w:cs="宋体" w:hint="eastAsia"/>
                <w:kern w:val="0"/>
              </w:rPr>
              <w:t>℃</w:t>
            </w:r>
            <w:r w:rsidRPr="0002085C">
              <w:rPr>
                <w:rFonts w:cs="宋体" w:hint="eastAsia"/>
                <w:kern w:val="0"/>
              </w:rPr>
              <w:t>）</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受热</w:t>
            </w:r>
          </w:p>
          <w:p w:rsidR="00A32067" w:rsidRPr="0002085C" w:rsidRDefault="00A32067" w:rsidP="0002085C">
            <w:pPr>
              <w:jc w:val="center"/>
              <w:rPr>
                <w:kern w:val="0"/>
              </w:rPr>
            </w:pPr>
            <w:r w:rsidRPr="0002085C">
              <w:rPr>
                <w:rFonts w:cs="宋体" w:hint="eastAsia"/>
                <w:kern w:val="0"/>
              </w:rPr>
              <w:t>拉力</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K</w:t>
      </w:r>
      <w:r>
        <w:rPr>
          <w:rFonts w:ascii="Times New Roman" w:hAnsi="Times New Roman" w:hint="eastAsia"/>
          <w:b/>
          <w:bCs/>
          <w:kern w:val="2"/>
        </w:rPr>
        <w:t>管材</w:t>
      </w:r>
      <w:r>
        <w:rPr>
          <w:rFonts w:ascii="Times New Roman" w:hAnsi="Times New Roman" w:cs="Times New Roman"/>
          <w:b/>
          <w:bCs/>
          <w:kern w:val="2"/>
        </w:rPr>
        <w:t xml:space="preserve">                                                               K01</w:t>
      </w:r>
      <w:r>
        <w:rPr>
          <w:rFonts w:ascii="Times New Roman" w:hAnsi="Times New Roman" w:hint="eastAsia"/>
          <w:b/>
          <w:bCs/>
          <w:kern w:val="2"/>
        </w:rPr>
        <w:t>～</w:t>
      </w:r>
      <w:r>
        <w:rPr>
          <w:rFonts w:ascii="Times New Roman" w:hAnsi="Times New Roman" w:cs="Times New Roman"/>
          <w:b/>
          <w:bCs/>
          <w:kern w:val="2"/>
        </w:rPr>
        <w:t>02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建筑排水用管材</w:t>
            </w:r>
          </w:p>
        </w:tc>
        <w:tc>
          <w:tcPr>
            <w:tcW w:w="1260" w:type="dxa"/>
            <w:vMerge w:val="restart"/>
            <w:vAlign w:val="center"/>
          </w:tcPr>
          <w:p w:rsidR="00A32067" w:rsidRPr="0002085C" w:rsidRDefault="00A32067" w:rsidP="0002085C">
            <w:pPr>
              <w:jc w:val="center"/>
              <w:rPr>
                <w:kern w:val="0"/>
              </w:rPr>
            </w:pPr>
            <w:r w:rsidRPr="0002085C">
              <w:rPr>
                <w:kern w:val="0"/>
              </w:rPr>
              <w:t>01</w:t>
            </w:r>
          </w:p>
        </w:tc>
        <w:tc>
          <w:tcPr>
            <w:tcW w:w="3240" w:type="dxa"/>
            <w:vAlign w:val="center"/>
          </w:tcPr>
          <w:p w:rsidR="00A32067" w:rsidRPr="0002085C" w:rsidRDefault="00A32067" w:rsidP="0002085C">
            <w:pPr>
              <w:jc w:val="center"/>
              <w:rPr>
                <w:kern w:val="0"/>
              </w:rPr>
            </w:pPr>
            <w:r w:rsidRPr="0002085C">
              <w:rPr>
                <w:rFonts w:cs="宋体" w:hint="eastAsia"/>
                <w:kern w:val="0"/>
              </w:rPr>
              <w:t>颜色</w:t>
            </w:r>
          </w:p>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规格尺寸</w:t>
            </w:r>
          </w:p>
          <w:p w:rsidR="00A32067" w:rsidRPr="0002085C" w:rsidRDefault="00A32067" w:rsidP="0002085C">
            <w:pPr>
              <w:jc w:val="center"/>
              <w:rPr>
                <w:kern w:val="0"/>
              </w:rPr>
            </w:pPr>
            <w:r w:rsidRPr="0002085C">
              <w:rPr>
                <w:rFonts w:cs="宋体" w:hint="eastAsia"/>
                <w:kern w:val="0"/>
              </w:rPr>
              <w:t>壁厚及偏差</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表观密度</w:t>
            </w:r>
          </w:p>
          <w:p w:rsidR="00A32067" w:rsidRPr="0002085C" w:rsidRDefault="00A32067" w:rsidP="0002085C">
            <w:pPr>
              <w:jc w:val="center"/>
              <w:rPr>
                <w:kern w:val="0"/>
              </w:rPr>
            </w:pPr>
            <w:r w:rsidRPr="0002085C">
              <w:rPr>
                <w:rFonts w:cs="宋体" w:hint="eastAsia"/>
                <w:kern w:val="0"/>
              </w:rPr>
              <w:t>断裂伸长率</w:t>
            </w:r>
          </w:p>
          <w:p w:rsidR="00A32067" w:rsidRPr="0002085C" w:rsidRDefault="00A32067" w:rsidP="0002085C">
            <w:pPr>
              <w:jc w:val="center"/>
              <w:rPr>
                <w:kern w:val="0"/>
              </w:rPr>
            </w:pPr>
            <w:r w:rsidRPr="0002085C">
              <w:rPr>
                <w:rFonts w:cs="宋体" w:hint="eastAsia"/>
                <w:kern w:val="0"/>
              </w:rPr>
              <w:t>坠落试验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管材弯曲度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拉伸、屈服强度</w:t>
            </w:r>
          </w:p>
          <w:p w:rsidR="00A32067" w:rsidRPr="0002085C" w:rsidRDefault="00A32067" w:rsidP="0002085C">
            <w:pPr>
              <w:jc w:val="center"/>
              <w:rPr>
                <w:kern w:val="0"/>
              </w:rPr>
            </w:pPr>
            <w:r w:rsidRPr="0002085C">
              <w:rPr>
                <w:rFonts w:cs="宋体" w:hint="eastAsia"/>
                <w:kern w:val="0"/>
              </w:rPr>
              <w:t>纵向回缩率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维卡软化温度</w:t>
            </w:r>
          </w:p>
          <w:p w:rsidR="00A32067" w:rsidRPr="0002085C" w:rsidRDefault="00A32067" w:rsidP="0002085C">
            <w:pPr>
              <w:jc w:val="center"/>
              <w:rPr>
                <w:kern w:val="0"/>
              </w:rPr>
            </w:pPr>
            <w:r w:rsidRPr="0002085C">
              <w:rPr>
                <w:rFonts w:cs="宋体" w:hint="eastAsia"/>
                <w:kern w:val="0"/>
              </w:rPr>
              <w:t>落锤冲击试验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扁平试验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液压试验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建筑给水用管材</w:t>
            </w:r>
          </w:p>
        </w:tc>
        <w:tc>
          <w:tcPr>
            <w:tcW w:w="1260" w:type="dxa"/>
            <w:vMerge w:val="restart"/>
            <w:vAlign w:val="center"/>
          </w:tcPr>
          <w:p w:rsidR="00A32067" w:rsidRPr="0002085C" w:rsidRDefault="00A32067" w:rsidP="0002085C">
            <w:pPr>
              <w:jc w:val="center"/>
              <w:rPr>
                <w:kern w:val="0"/>
              </w:rPr>
            </w:pPr>
            <w:r w:rsidRPr="0002085C">
              <w:rPr>
                <w:kern w:val="0"/>
              </w:rPr>
              <w:t>02</w:t>
            </w:r>
          </w:p>
        </w:tc>
        <w:tc>
          <w:tcPr>
            <w:tcW w:w="324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不透光性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平均外径和偏差</w:t>
            </w:r>
          </w:p>
          <w:p w:rsidR="00A32067" w:rsidRPr="0002085C" w:rsidRDefault="00A32067" w:rsidP="0002085C">
            <w:pPr>
              <w:jc w:val="center"/>
              <w:rPr>
                <w:kern w:val="0"/>
              </w:rPr>
            </w:pPr>
            <w:r w:rsidRPr="0002085C">
              <w:rPr>
                <w:rFonts w:cs="宋体" w:hint="eastAsia"/>
                <w:kern w:val="0"/>
              </w:rPr>
              <w:t>不圆度</w:t>
            </w:r>
          </w:p>
          <w:p w:rsidR="00A32067" w:rsidRPr="0002085C" w:rsidRDefault="00A32067" w:rsidP="0002085C">
            <w:pPr>
              <w:jc w:val="center"/>
              <w:rPr>
                <w:kern w:val="0"/>
              </w:rPr>
            </w:pPr>
            <w:r w:rsidRPr="0002085C">
              <w:rPr>
                <w:rFonts w:cs="宋体" w:hint="eastAsia"/>
                <w:kern w:val="0"/>
              </w:rPr>
              <w:t>壁厚</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弯曲度</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管材尺寸</w:t>
            </w:r>
          </w:p>
          <w:p w:rsidR="00A32067" w:rsidRPr="0002085C" w:rsidRDefault="00A32067" w:rsidP="0002085C">
            <w:pPr>
              <w:jc w:val="center"/>
              <w:rPr>
                <w:kern w:val="0"/>
              </w:rPr>
            </w:pPr>
            <w:r w:rsidRPr="0002085C">
              <w:rPr>
                <w:rFonts w:cs="宋体" w:hint="eastAsia"/>
                <w:kern w:val="0"/>
              </w:rPr>
              <w:t>密度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二氯甲烷浸渍试验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130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落锤冲击试验</w:t>
            </w:r>
          </w:p>
          <w:p w:rsidR="00A32067" w:rsidRPr="0002085C" w:rsidRDefault="00A32067" w:rsidP="0002085C">
            <w:pPr>
              <w:jc w:val="center"/>
              <w:rPr>
                <w:kern w:val="0"/>
              </w:rPr>
            </w:pPr>
            <w:r w:rsidRPr="0002085C">
              <w:rPr>
                <w:rFonts w:cs="宋体" w:hint="eastAsia"/>
                <w:kern w:val="0"/>
              </w:rPr>
              <w:t>维卡软化点</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液压试验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vAlign w:val="center"/>
          </w:tcPr>
          <w:p w:rsidR="00A32067" w:rsidRPr="0002085C" w:rsidRDefault="00A32067" w:rsidP="0002085C">
            <w:pPr>
              <w:jc w:val="center"/>
              <w:rPr>
                <w:kern w:val="0"/>
              </w:rPr>
            </w:pPr>
            <w:r w:rsidRPr="0002085C">
              <w:rPr>
                <w:rFonts w:cs="宋体" w:hint="eastAsia"/>
                <w:kern w:val="0"/>
              </w:rPr>
              <w:t>纵向回缩率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K</w:t>
      </w:r>
      <w:r>
        <w:rPr>
          <w:rFonts w:ascii="Times New Roman" w:hAnsi="Times New Roman" w:hint="eastAsia"/>
          <w:b/>
          <w:bCs/>
          <w:kern w:val="2"/>
        </w:rPr>
        <w:t>管材</w:t>
      </w:r>
      <w:r>
        <w:rPr>
          <w:rFonts w:ascii="Times New Roman" w:hAnsi="Times New Roman" w:cs="Times New Roman"/>
          <w:b/>
          <w:bCs/>
          <w:kern w:val="2"/>
        </w:rPr>
        <w:t xml:space="preserve">                                                              K03</w:t>
      </w:r>
      <w:r>
        <w:rPr>
          <w:rFonts w:ascii="Times New Roman" w:hAnsi="Times New Roman" w:hint="eastAsia"/>
          <w:b/>
          <w:bCs/>
          <w:kern w:val="2"/>
        </w:rPr>
        <w:t>～</w:t>
      </w:r>
      <w:r>
        <w:rPr>
          <w:rFonts w:ascii="Times New Roman" w:hAnsi="Times New Roman" w:cs="Times New Roman"/>
          <w:b/>
          <w:bCs/>
          <w:kern w:val="2"/>
        </w:rPr>
        <w:t>06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铝塑复合压力管</w:t>
            </w:r>
          </w:p>
        </w:tc>
        <w:tc>
          <w:tcPr>
            <w:tcW w:w="1080" w:type="dxa"/>
            <w:vMerge w:val="restart"/>
            <w:vAlign w:val="center"/>
          </w:tcPr>
          <w:p w:rsidR="00A32067" w:rsidRPr="0002085C" w:rsidRDefault="00A32067" w:rsidP="0002085C">
            <w:pPr>
              <w:jc w:val="center"/>
              <w:rPr>
                <w:kern w:val="0"/>
              </w:rPr>
            </w:pPr>
            <w:r w:rsidRPr="0002085C">
              <w:rPr>
                <w:kern w:val="0"/>
              </w:rPr>
              <w:t>03</w:t>
            </w:r>
          </w:p>
        </w:tc>
        <w:tc>
          <w:tcPr>
            <w:tcW w:w="3420" w:type="dxa"/>
            <w:vAlign w:val="center"/>
          </w:tcPr>
          <w:p w:rsidR="00A32067" w:rsidRPr="0002085C" w:rsidRDefault="00A32067" w:rsidP="0002085C">
            <w:pPr>
              <w:jc w:val="center"/>
              <w:rPr>
                <w:kern w:val="0"/>
              </w:rPr>
            </w:pPr>
            <w:r w:rsidRPr="0002085C">
              <w:rPr>
                <w:rFonts w:cs="宋体" w:hint="eastAsia"/>
                <w:kern w:val="0"/>
              </w:rPr>
              <w:t>液压试验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交联度试验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材料检验</w:t>
            </w:r>
          </w:p>
          <w:p w:rsidR="00A32067" w:rsidRPr="0002085C" w:rsidRDefault="00A32067" w:rsidP="0002085C">
            <w:pPr>
              <w:jc w:val="center"/>
              <w:rPr>
                <w:kern w:val="0"/>
              </w:rPr>
            </w:pPr>
            <w:r w:rsidRPr="0002085C">
              <w:rPr>
                <w:rFonts w:cs="宋体" w:hint="eastAsia"/>
                <w:kern w:val="0"/>
              </w:rPr>
              <w:t>感官指标检验</w:t>
            </w:r>
          </w:p>
          <w:p w:rsidR="00A32067" w:rsidRPr="0002085C" w:rsidRDefault="00A32067" w:rsidP="0002085C">
            <w:pPr>
              <w:jc w:val="center"/>
              <w:rPr>
                <w:kern w:val="0"/>
              </w:rPr>
            </w:pPr>
            <w:r w:rsidRPr="0002085C">
              <w:rPr>
                <w:rFonts w:cs="宋体" w:hint="eastAsia"/>
                <w:kern w:val="0"/>
              </w:rPr>
              <w:t>工作压力</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结构尺寸</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管环径向拉伸力试验</w:t>
            </w:r>
          </w:p>
          <w:p w:rsidR="00A32067" w:rsidRPr="0002085C" w:rsidRDefault="00A32067" w:rsidP="0002085C">
            <w:pPr>
              <w:jc w:val="center"/>
              <w:rPr>
                <w:kern w:val="0"/>
              </w:rPr>
            </w:pPr>
            <w:r w:rsidRPr="0002085C">
              <w:rPr>
                <w:rFonts w:cs="宋体" w:hint="eastAsia"/>
                <w:kern w:val="0"/>
              </w:rPr>
              <w:t>爆破强度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层间粘合强度试验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260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纵向回缩率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耐化学性能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建筑给排水用管件</w:t>
            </w:r>
          </w:p>
        </w:tc>
        <w:tc>
          <w:tcPr>
            <w:tcW w:w="1080" w:type="dxa"/>
            <w:vMerge w:val="restart"/>
            <w:vAlign w:val="center"/>
          </w:tcPr>
          <w:p w:rsidR="00A32067" w:rsidRPr="0002085C" w:rsidRDefault="00A32067" w:rsidP="0002085C">
            <w:pPr>
              <w:jc w:val="center"/>
              <w:rPr>
                <w:kern w:val="0"/>
              </w:rPr>
            </w:pPr>
            <w:r w:rsidRPr="0002085C">
              <w:rPr>
                <w:kern w:val="0"/>
              </w:rPr>
              <w:t>04</w:t>
            </w:r>
          </w:p>
        </w:tc>
        <w:tc>
          <w:tcPr>
            <w:tcW w:w="342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承口内径</w:t>
            </w:r>
          </w:p>
          <w:p w:rsidR="00A32067" w:rsidRPr="0002085C" w:rsidRDefault="00A32067" w:rsidP="0002085C">
            <w:pPr>
              <w:jc w:val="center"/>
              <w:rPr>
                <w:kern w:val="0"/>
              </w:rPr>
            </w:pPr>
            <w:r w:rsidRPr="0002085C">
              <w:rPr>
                <w:rFonts w:cs="宋体" w:hint="eastAsia"/>
                <w:kern w:val="0"/>
              </w:rPr>
              <w:t>承口深度</w:t>
            </w:r>
          </w:p>
          <w:p w:rsidR="00A32067" w:rsidRPr="0002085C" w:rsidRDefault="00A32067" w:rsidP="0002085C">
            <w:pPr>
              <w:jc w:val="center"/>
              <w:rPr>
                <w:kern w:val="0"/>
              </w:rPr>
            </w:pPr>
            <w:r w:rsidRPr="0002085C">
              <w:rPr>
                <w:rFonts w:cs="宋体" w:hint="eastAsia"/>
                <w:kern w:val="0"/>
              </w:rPr>
              <w:t>壁厚</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烘箱试验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密度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吸水性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玛钢管件</w:t>
            </w:r>
          </w:p>
        </w:tc>
        <w:tc>
          <w:tcPr>
            <w:tcW w:w="1080" w:type="dxa"/>
            <w:vMerge w:val="restart"/>
            <w:vAlign w:val="center"/>
          </w:tcPr>
          <w:p w:rsidR="00A32067" w:rsidRPr="0002085C" w:rsidRDefault="00A32067" w:rsidP="0002085C">
            <w:pPr>
              <w:jc w:val="center"/>
              <w:rPr>
                <w:kern w:val="0"/>
              </w:rPr>
            </w:pPr>
            <w:r w:rsidRPr="0002085C">
              <w:rPr>
                <w:kern w:val="0"/>
              </w:rPr>
              <w:t>05</w:t>
            </w:r>
          </w:p>
        </w:tc>
        <w:tc>
          <w:tcPr>
            <w:tcW w:w="3420" w:type="dxa"/>
            <w:vAlign w:val="center"/>
          </w:tcPr>
          <w:p w:rsidR="00A32067" w:rsidRPr="0002085C" w:rsidRDefault="00A32067" w:rsidP="0002085C">
            <w:pPr>
              <w:jc w:val="center"/>
              <w:rPr>
                <w:kern w:val="0"/>
              </w:rPr>
            </w:pPr>
            <w:r w:rsidRPr="0002085C">
              <w:rPr>
                <w:rFonts w:cs="宋体" w:hint="eastAsia"/>
                <w:kern w:val="0"/>
              </w:rPr>
              <w:t>外观尺寸</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 xml:space="preserve">50 </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压力试验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阀门</w:t>
            </w:r>
          </w:p>
        </w:tc>
        <w:tc>
          <w:tcPr>
            <w:tcW w:w="1080" w:type="dxa"/>
            <w:vMerge w:val="restart"/>
            <w:vAlign w:val="center"/>
          </w:tcPr>
          <w:p w:rsidR="00A32067" w:rsidRPr="0002085C" w:rsidRDefault="00A32067" w:rsidP="0002085C">
            <w:pPr>
              <w:jc w:val="center"/>
              <w:rPr>
                <w:kern w:val="0"/>
              </w:rPr>
            </w:pPr>
            <w:r w:rsidRPr="0002085C">
              <w:rPr>
                <w:kern w:val="0"/>
              </w:rPr>
              <w:t>06</w:t>
            </w:r>
          </w:p>
        </w:tc>
        <w:tc>
          <w:tcPr>
            <w:tcW w:w="3420" w:type="dxa"/>
            <w:vAlign w:val="center"/>
          </w:tcPr>
          <w:p w:rsidR="00A32067" w:rsidRPr="0002085C" w:rsidRDefault="00A32067" w:rsidP="0002085C">
            <w:pPr>
              <w:jc w:val="center"/>
              <w:rPr>
                <w:kern w:val="0"/>
              </w:rPr>
            </w:pPr>
            <w:r w:rsidRPr="0002085C">
              <w:rPr>
                <w:rFonts w:cs="宋体" w:hint="eastAsia"/>
                <w:kern w:val="0"/>
              </w:rPr>
              <w:t>壳体试验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压力试验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K</w:t>
      </w:r>
      <w:r>
        <w:rPr>
          <w:rFonts w:ascii="Times New Roman" w:hAnsi="Times New Roman" w:hint="eastAsia"/>
          <w:b/>
          <w:bCs/>
          <w:kern w:val="2"/>
        </w:rPr>
        <w:t>管材</w:t>
      </w:r>
      <w:r>
        <w:rPr>
          <w:rFonts w:ascii="Times New Roman" w:hAnsi="Times New Roman" w:cs="Times New Roman"/>
          <w:b/>
          <w:bCs/>
          <w:kern w:val="2"/>
        </w:rPr>
        <w:t xml:space="preserve">                                                              K07</w:t>
      </w:r>
      <w:r>
        <w:rPr>
          <w:rFonts w:ascii="Times New Roman" w:hAnsi="Times New Roman" w:hint="eastAsia"/>
          <w:b/>
          <w:bCs/>
          <w:kern w:val="2"/>
        </w:rPr>
        <w:t>～</w:t>
      </w:r>
      <w:r>
        <w:rPr>
          <w:rFonts w:ascii="Times New Roman" w:hAnsi="Times New Roman" w:cs="Times New Roman"/>
          <w:b/>
          <w:bCs/>
          <w:kern w:val="2"/>
        </w:rPr>
        <w:t>09</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玻璃纤维氯氧镁水泥通风管道</w:t>
            </w:r>
          </w:p>
        </w:tc>
        <w:tc>
          <w:tcPr>
            <w:tcW w:w="1080" w:type="dxa"/>
            <w:vMerge w:val="restart"/>
            <w:vAlign w:val="center"/>
          </w:tcPr>
          <w:p w:rsidR="00A32067" w:rsidRPr="0002085C" w:rsidRDefault="00A32067" w:rsidP="0002085C">
            <w:pPr>
              <w:jc w:val="center"/>
              <w:rPr>
                <w:kern w:val="0"/>
              </w:rPr>
            </w:pPr>
            <w:r w:rsidRPr="0002085C">
              <w:rPr>
                <w:kern w:val="0"/>
              </w:rPr>
              <w:t>07</w:t>
            </w:r>
          </w:p>
        </w:tc>
        <w:tc>
          <w:tcPr>
            <w:tcW w:w="3420" w:type="dxa"/>
            <w:vAlign w:val="center"/>
          </w:tcPr>
          <w:p w:rsidR="00A32067" w:rsidRPr="0002085C" w:rsidRDefault="00A32067" w:rsidP="0002085C">
            <w:pPr>
              <w:jc w:val="center"/>
              <w:rPr>
                <w:kern w:val="0"/>
              </w:rPr>
            </w:pPr>
            <w:r w:rsidRPr="0002085C">
              <w:rPr>
                <w:rFonts w:cs="宋体" w:hint="eastAsia"/>
                <w:kern w:val="0"/>
              </w:rPr>
              <w:t>外观质量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规格尺寸</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表观密度</w:t>
            </w:r>
          </w:p>
          <w:p w:rsidR="00A32067" w:rsidRPr="0002085C" w:rsidRDefault="00A32067" w:rsidP="0002085C">
            <w:pPr>
              <w:jc w:val="center"/>
              <w:rPr>
                <w:kern w:val="0"/>
              </w:rPr>
            </w:pPr>
            <w:r w:rsidRPr="0002085C">
              <w:rPr>
                <w:rFonts w:cs="宋体" w:hint="eastAsia"/>
                <w:kern w:val="0"/>
              </w:rPr>
              <w:t>抗冲击性</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吸水率</w:t>
            </w:r>
          </w:p>
          <w:p w:rsidR="00A32067" w:rsidRPr="0002085C" w:rsidRDefault="00A32067" w:rsidP="0002085C">
            <w:pPr>
              <w:jc w:val="center"/>
              <w:rPr>
                <w:kern w:val="0"/>
              </w:rPr>
            </w:pPr>
            <w:r w:rsidRPr="0002085C">
              <w:rPr>
                <w:rFonts w:cs="宋体" w:hint="eastAsia"/>
                <w:kern w:val="0"/>
              </w:rPr>
              <w:t>燃烧性能</w:t>
            </w:r>
          </w:p>
          <w:p w:rsidR="00A32067" w:rsidRPr="0002085C" w:rsidRDefault="00A32067" w:rsidP="0002085C">
            <w:pPr>
              <w:jc w:val="center"/>
              <w:rPr>
                <w:kern w:val="0"/>
              </w:rPr>
            </w:pPr>
            <w:r w:rsidRPr="0002085C">
              <w:rPr>
                <w:rFonts w:cs="宋体" w:hint="eastAsia"/>
                <w:kern w:val="0"/>
              </w:rPr>
              <w:t>出产含水率</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抗弯强度</w:t>
            </w:r>
          </w:p>
          <w:p w:rsidR="00A32067" w:rsidRPr="0002085C" w:rsidRDefault="00A32067" w:rsidP="0002085C">
            <w:pPr>
              <w:jc w:val="center"/>
              <w:rPr>
                <w:kern w:val="0"/>
              </w:rPr>
            </w:pPr>
            <w:r w:rsidRPr="0002085C">
              <w:rPr>
                <w:rFonts w:cs="宋体" w:hint="eastAsia"/>
                <w:kern w:val="0"/>
              </w:rPr>
              <w:t>垂直承载</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建筑用绝缘电工套管及配件</w:t>
            </w:r>
          </w:p>
        </w:tc>
        <w:tc>
          <w:tcPr>
            <w:tcW w:w="1080" w:type="dxa"/>
            <w:vMerge w:val="restart"/>
            <w:vAlign w:val="center"/>
          </w:tcPr>
          <w:p w:rsidR="00A32067" w:rsidRPr="0002085C" w:rsidRDefault="00A32067" w:rsidP="0002085C">
            <w:pPr>
              <w:jc w:val="center"/>
              <w:rPr>
                <w:kern w:val="0"/>
              </w:rPr>
            </w:pPr>
            <w:r w:rsidRPr="0002085C">
              <w:rPr>
                <w:kern w:val="0"/>
              </w:rPr>
              <w:t>08</w:t>
            </w:r>
          </w:p>
        </w:tc>
        <w:tc>
          <w:tcPr>
            <w:tcW w:w="3420" w:type="dxa"/>
            <w:vAlign w:val="center"/>
          </w:tcPr>
          <w:p w:rsidR="00A32067" w:rsidRPr="0002085C" w:rsidRDefault="00A32067" w:rsidP="0002085C">
            <w:pPr>
              <w:jc w:val="center"/>
              <w:rPr>
                <w:kern w:val="0"/>
              </w:rPr>
            </w:pPr>
            <w:r w:rsidRPr="0002085C">
              <w:rPr>
                <w:rFonts w:cs="宋体" w:hint="eastAsia"/>
                <w:kern w:val="0"/>
              </w:rPr>
              <w:t>外观及规格尺寸</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套管抗压性能</w:t>
            </w:r>
          </w:p>
          <w:p w:rsidR="00A32067" w:rsidRPr="0002085C" w:rsidRDefault="00A32067" w:rsidP="0002085C">
            <w:pPr>
              <w:jc w:val="center"/>
              <w:rPr>
                <w:kern w:val="0"/>
              </w:rPr>
            </w:pPr>
            <w:r w:rsidRPr="0002085C">
              <w:rPr>
                <w:rFonts w:cs="宋体" w:hint="eastAsia"/>
                <w:kern w:val="0"/>
              </w:rPr>
              <w:t>套管弯曲性能</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套管抗冲击性能</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阻燃性测定</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氧指数测定</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绝缘强度</w:t>
            </w:r>
          </w:p>
          <w:p w:rsidR="00A32067" w:rsidRPr="0002085C" w:rsidRDefault="00A32067" w:rsidP="0002085C">
            <w:pPr>
              <w:jc w:val="center"/>
              <w:rPr>
                <w:kern w:val="0"/>
              </w:rPr>
            </w:pPr>
            <w:r w:rsidRPr="0002085C">
              <w:rPr>
                <w:rFonts w:cs="宋体" w:hint="eastAsia"/>
                <w:kern w:val="0"/>
              </w:rPr>
              <w:t>绝缘电阻</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散热器</w:t>
            </w:r>
          </w:p>
        </w:tc>
        <w:tc>
          <w:tcPr>
            <w:tcW w:w="1080" w:type="dxa"/>
            <w:vMerge w:val="restart"/>
            <w:vAlign w:val="center"/>
          </w:tcPr>
          <w:p w:rsidR="00A32067" w:rsidRPr="0002085C" w:rsidRDefault="00A32067" w:rsidP="0002085C">
            <w:pPr>
              <w:jc w:val="center"/>
              <w:rPr>
                <w:kern w:val="0"/>
              </w:rPr>
            </w:pPr>
            <w:r w:rsidRPr="0002085C">
              <w:rPr>
                <w:kern w:val="0"/>
              </w:rPr>
              <w:t>09</w:t>
            </w:r>
          </w:p>
        </w:tc>
        <w:tc>
          <w:tcPr>
            <w:tcW w:w="3420" w:type="dxa"/>
            <w:vAlign w:val="center"/>
          </w:tcPr>
          <w:p w:rsidR="00A32067" w:rsidRPr="0002085C" w:rsidRDefault="00A32067" w:rsidP="0002085C">
            <w:pPr>
              <w:jc w:val="center"/>
              <w:rPr>
                <w:kern w:val="0"/>
              </w:rPr>
            </w:pPr>
            <w:r w:rsidRPr="0002085C">
              <w:rPr>
                <w:rFonts w:cs="宋体" w:hint="eastAsia"/>
                <w:kern w:val="0"/>
              </w:rPr>
              <w:t>压力试验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中心距</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螺纹精度</w:t>
            </w:r>
          </w:p>
          <w:p w:rsidR="00A32067" w:rsidRPr="0002085C" w:rsidRDefault="00A32067" w:rsidP="0002085C">
            <w:pPr>
              <w:jc w:val="center"/>
              <w:rPr>
                <w:kern w:val="0"/>
              </w:rPr>
            </w:pPr>
            <w:r w:rsidRPr="0002085C">
              <w:rPr>
                <w:rFonts w:cs="宋体" w:hint="eastAsia"/>
                <w:kern w:val="0"/>
              </w:rPr>
              <w:t>外观尺寸重量</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K</w:t>
      </w:r>
      <w:r>
        <w:rPr>
          <w:rFonts w:ascii="Times New Roman" w:hAnsi="Times New Roman" w:hint="eastAsia"/>
          <w:b/>
          <w:bCs/>
          <w:kern w:val="2"/>
        </w:rPr>
        <w:t>管材</w:t>
      </w:r>
      <w:r>
        <w:rPr>
          <w:rFonts w:ascii="Times New Roman" w:hAnsi="Times New Roman" w:cs="Times New Roman"/>
          <w:b/>
          <w:bCs/>
          <w:kern w:val="2"/>
        </w:rPr>
        <w:t xml:space="preserve">                                                               K10</w:t>
      </w:r>
      <w:r>
        <w:rPr>
          <w:rFonts w:ascii="Times New Roman" w:hAnsi="Times New Roman" w:hint="eastAsia"/>
          <w:b/>
          <w:bCs/>
          <w:kern w:val="2"/>
        </w:rPr>
        <w:t>～</w:t>
      </w:r>
      <w:r>
        <w:rPr>
          <w:rFonts w:ascii="Times New Roman" w:hAnsi="Times New Roman" w:cs="Times New Roman"/>
          <w:b/>
          <w:bCs/>
          <w:kern w:val="2"/>
        </w:rPr>
        <w:t>11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620"/>
        <w:gridCol w:w="180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混凝土排水管</w:t>
            </w:r>
          </w:p>
        </w:tc>
        <w:tc>
          <w:tcPr>
            <w:tcW w:w="1080" w:type="dxa"/>
            <w:vMerge w:val="restart"/>
            <w:vAlign w:val="center"/>
          </w:tcPr>
          <w:p w:rsidR="00A32067" w:rsidRPr="0002085C" w:rsidRDefault="00A32067" w:rsidP="0002085C">
            <w:pPr>
              <w:jc w:val="center"/>
              <w:rPr>
                <w:kern w:val="0"/>
              </w:rPr>
            </w:pPr>
            <w:r w:rsidRPr="0002085C">
              <w:rPr>
                <w:kern w:val="0"/>
              </w:rPr>
              <w:t>10</w:t>
            </w:r>
          </w:p>
        </w:tc>
        <w:tc>
          <w:tcPr>
            <w:tcW w:w="1620" w:type="dxa"/>
            <w:vMerge w:val="restart"/>
            <w:vAlign w:val="center"/>
          </w:tcPr>
          <w:p w:rsidR="00A32067" w:rsidRPr="0002085C" w:rsidRDefault="00A32067" w:rsidP="0002085C">
            <w:pPr>
              <w:jc w:val="center"/>
              <w:rPr>
                <w:kern w:val="0"/>
              </w:rPr>
            </w:pPr>
            <w:r w:rsidRPr="0002085C">
              <w:rPr>
                <w:rFonts w:cs="宋体" w:hint="eastAsia"/>
                <w:kern w:val="0"/>
              </w:rPr>
              <w:t>外压荷载</w:t>
            </w:r>
          </w:p>
        </w:tc>
        <w:tc>
          <w:tcPr>
            <w:tcW w:w="1800" w:type="dxa"/>
            <w:vAlign w:val="center"/>
          </w:tcPr>
          <w:p w:rsidR="00A32067" w:rsidRPr="0002085C" w:rsidRDefault="00A32067" w:rsidP="0002085C">
            <w:pPr>
              <w:jc w:val="center"/>
              <w:rPr>
                <w:kern w:val="0"/>
              </w:rPr>
            </w:pPr>
            <w:r w:rsidRPr="0002085C">
              <w:rPr>
                <w:kern w:val="0"/>
              </w:rPr>
              <w:t>≤500mm</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根</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rFonts w:cs="宋体" w:hint="eastAsia"/>
                <w:kern w:val="0"/>
              </w:rPr>
              <w:t>＜</w:t>
            </w:r>
            <w:r w:rsidRPr="0002085C">
              <w:rPr>
                <w:kern w:val="0"/>
              </w:rPr>
              <w:t>1000mm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400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620" w:type="dxa"/>
            <w:vMerge/>
            <w:vAlign w:val="center"/>
          </w:tcPr>
          <w:p w:rsidR="00A32067" w:rsidRPr="0002085C" w:rsidRDefault="00A32067" w:rsidP="0002085C">
            <w:pPr>
              <w:jc w:val="center"/>
              <w:rPr>
                <w:kern w:val="0"/>
              </w:rPr>
            </w:pPr>
          </w:p>
        </w:tc>
        <w:tc>
          <w:tcPr>
            <w:tcW w:w="1800" w:type="dxa"/>
            <w:vAlign w:val="center"/>
          </w:tcPr>
          <w:p w:rsidR="00A32067" w:rsidRPr="0002085C" w:rsidRDefault="00A32067" w:rsidP="0002085C">
            <w:pPr>
              <w:jc w:val="center"/>
              <w:rPr>
                <w:kern w:val="0"/>
              </w:rPr>
            </w:pPr>
            <w:r w:rsidRPr="0002085C">
              <w:rPr>
                <w:kern w:val="0"/>
              </w:rPr>
              <w:t>≥1000mm</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给水管材有害杂质</w:t>
            </w:r>
          </w:p>
        </w:tc>
        <w:tc>
          <w:tcPr>
            <w:tcW w:w="1080" w:type="dxa"/>
            <w:vMerge w:val="restart"/>
            <w:vAlign w:val="center"/>
          </w:tcPr>
          <w:p w:rsidR="00A32067" w:rsidRPr="0002085C" w:rsidRDefault="00A32067" w:rsidP="0002085C">
            <w:pPr>
              <w:jc w:val="center"/>
              <w:rPr>
                <w:kern w:val="0"/>
              </w:rPr>
            </w:pPr>
            <w:r w:rsidRPr="0002085C">
              <w:rPr>
                <w:kern w:val="0"/>
              </w:rPr>
              <w:t>11</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铅含量</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汞含量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铬含量</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sz w:val="24"/>
                <w:szCs w:val="24"/>
              </w:rPr>
            </w:pPr>
          </w:p>
        </w:tc>
        <w:tc>
          <w:tcPr>
            <w:tcW w:w="1080" w:type="dxa"/>
            <w:vMerge/>
            <w:vAlign w:val="center"/>
          </w:tcPr>
          <w:p w:rsidR="00A32067" w:rsidRPr="0002085C" w:rsidRDefault="00A32067" w:rsidP="0002085C">
            <w:pPr>
              <w:jc w:val="center"/>
              <w:rPr>
                <w:kern w:val="0"/>
                <w:sz w:val="24"/>
                <w:szCs w:val="24"/>
              </w:rPr>
            </w:pPr>
          </w:p>
        </w:tc>
        <w:tc>
          <w:tcPr>
            <w:tcW w:w="3420" w:type="dxa"/>
            <w:gridSpan w:val="2"/>
            <w:vAlign w:val="center"/>
          </w:tcPr>
          <w:p w:rsidR="00A32067" w:rsidRPr="0002085C" w:rsidRDefault="00A32067" w:rsidP="0002085C">
            <w:pPr>
              <w:jc w:val="center"/>
              <w:rPr>
                <w:kern w:val="0"/>
                <w:sz w:val="24"/>
                <w:szCs w:val="24"/>
              </w:rPr>
            </w:pPr>
            <w:r w:rsidRPr="0002085C">
              <w:rPr>
                <w:rFonts w:cs="宋体" w:hint="eastAsia"/>
                <w:kern w:val="0"/>
              </w:rPr>
              <w:t>镉含量</w:t>
            </w:r>
          </w:p>
        </w:tc>
        <w:tc>
          <w:tcPr>
            <w:tcW w:w="1296" w:type="dxa"/>
            <w:vMerge/>
            <w:vAlign w:val="center"/>
          </w:tcPr>
          <w:p w:rsidR="00A32067" w:rsidRPr="0002085C" w:rsidRDefault="00A32067" w:rsidP="0002085C">
            <w:pPr>
              <w:jc w:val="center"/>
              <w:rPr>
                <w:kern w:val="0"/>
                <w:sz w:val="24"/>
                <w:szCs w:val="24"/>
              </w:rPr>
            </w:pPr>
          </w:p>
        </w:tc>
        <w:tc>
          <w:tcPr>
            <w:tcW w:w="1701" w:type="dxa"/>
            <w:vMerge/>
            <w:vAlign w:val="center"/>
          </w:tcPr>
          <w:p w:rsidR="00A32067" w:rsidRPr="0002085C" w:rsidRDefault="00A32067" w:rsidP="0002085C">
            <w:pPr>
              <w:jc w:val="center"/>
              <w:rPr>
                <w:kern w:val="0"/>
                <w:sz w:val="24"/>
                <w:szCs w:val="24"/>
              </w:rPr>
            </w:pP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L</w:t>
      </w:r>
      <w:r>
        <w:rPr>
          <w:rFonts w:ascii="Times New Roman" w:hAnsi="Times New Roman" w:hint="eastAsia"/>
          <w:b/>
          <w:bCs/>
          <w:kern w:val="2"/>
        </w:rPr>
        <w:t>水质分析</w:t>
      </w:r>
      <w:r>
        <w:rPr>
          <w:rFonts w:ascii="Times New Roman" w:hAnsi="Times New Roman" w:cs="Times New Roman"/>
          <w:b/>
          <w:bCs/>
          <w:kern w:val="2"/>
        </w:rPr>
        <w:t xml:space="preserve">                                                              L01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680"/>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80"/>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砼拌合水分析</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3420" w:type="dxa"/>
            <w:vAlign w:val="center"/>
          </w:tcPr>
          <w:p w:rsidR="00A32067" w:rsidRPr="0002085C" w:rsidRDefault="00A32067" w:rsidP="0002085C">
            <w:pPr>
              <w:jc w:val="center"/>
              <w:rPr>
                <w:kern w:val="0"/>
              </w:rPr>
            </w:pPr>
            <w:r w:rsidRPr="0002085C">
              <w:rPr>
                <w:kern w:val="0"/>
              </w:rPr>
              <w:t>pH</w:t>
            </w:r>
            <w:r w:rsidRPr="0002085C">
              <w:rPr>
                <w:rFonts w:cs="宋体" w:hint="eastAsia"/>
                <w:kern w:val="0"/>
              </w:rPr>
              <w:t>值</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不溶物含量</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可溶物含量</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100</w:t>
            </w: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氧化物含量</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硫酸盐含量</w:t>
            </w:r>
          </w:p>
        </w:tc>
        <w:tc>
          <w:tcPr>
            <w:tcW w:w="1296" w:type="dxa"/>
            <w:vMerge/>
            <w:vAlign w:val="center"/>
          </w:tcPr>
          <w:p w:rsidR="00A32067" w:rsidRPr="0002085C" w:rsidRDefault="00A32067" w:rsidP="0002085C">
            <w:pPr>
              <w:jc w:val="center"/>
              <w:rPr>
                <w:kern w:val="0"/>
              </w:rPr>
            </w:pPr>
          </w:p>
        </w:tc>
        <w:tc>
          <w:tcPr>
            <w:tcW w:w="1701" w:type="dxa"/>
            <w:vMerge/>
            <w:vAlign w:val="center"/>
          </w:tcPr>
          <w:p w:rsidR="00A32067" w:rsidRPr="0002085C" w:rsidRDefault="00A32067" w:rsidP="0002085C">
            <w:pPr>
              <w:jc w:val="center"/>
              <w:rPr>
                <w:kern w:val="0"/>
              </w:rPr>
            </w:pPr>
          </w:p>
        </w:tc>
      </w:tr>
      <w:tr w:rsidR="00A32067">
        <w:trPr>
          <w:trHeight w:val="680"/>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硫化物含量</w:t>
            </w:r>
          </w:p>
        </w:tc>
        <w:tc>
          <w:tcPr>
            <w:tcW w:w="1296" w:type="dxa"/>
            <w:vMerge/>
            <w:vAlign w:val="center"/>
          </w:tcPr>
          <w:p w:rsidR="00A32067" w:rsidRPr="0002085C" w:rsidRDefault="00A32067" w:rsidP="0002085C">
            <w:pPr>
              <w:jc w:val="center"/>
              <w:rPr>
                <w:kern w:val="0"/>
              </w:rPr>
            </w:pPr>
          </w:p>
        </w:tc>
        <w:tc>
          <w:tcPr>
            <w:tcW w:w="1701" w:type="dxa"/>
            <w:vMerge w:val="restart"/>
            <w:vAlign w:val="center"/>
          </w:tcPr>
          <w:p w:rsidR="00A32067" w:rsidRPr="0002085C" w:rsidRDefault="00A32067" w:rsidP="0002085C">
            <w:pPr>
              <w:jc w:val="center"/>
              <w:rPr>
                <w:kern w:val="0"/>
              </w:rPr>
            </w:pPr>
            <w:r w:rsidRPr="0002085C">
              <w:rPr>
                <w:kern w:val="0"/>
              </w:rPr>
              <w:t>200</w:t>
            </w:r>
          </w:p>
        </w:tc>
      </w:tr>
      <w:tr w:rsidR="00A32067">
        <w:trPr>
          <w:trHeight w:val="680"/>
          <w:jc w:val="center"/>
        </w:trPr>
        <w:tc>
          <w:tcPr>
            <w:tcW w:w="1008" w:type="dxa"/>
            <w:vMerge/>
            <w:vAlign w:val="center"/>
          </w:tcPr>
          <w:p w:rsidR="00A32067" w:rsidRPr="0002085C" w:rsidRDefault="00A32067" w:rsidP="0002085C">
            <w:pPr>
              <w:jc w:val="center"/>
              <w:rPr>
                <w:kern w:val="0"/>
                <w:sz w:val="24"/>
                <w:szCs w:val="24"/>
              </w:rPr>
            </w:pPr>
          </w:p>
        </w:tc>
        <w:tc>
          <w:tcPr>
            <w:tcW w:w="1080" w:type="dxa"/>
            <w:vMerge/>
            <w:vAlign w:val="center"/>
          </w:tcPr>
          <w:p w:rsidR="00A32067" w:rsidRPr="0002085C" w:rsidRDefault="00A32067" w:rsidP="0002085C">
            <w:pPr>
              <w:jc w:val="center"/>
              <w:rPr>
                <w:kern w:val="0"/>
                <w:sz w:val="24"/>
                <w:szCs w:val="24"/>
              </w:rPr>
            </w:pPr>
          </w:p>
        </w:tc>
        <w:tc>
          <w:tcPr>
            <w:tcW w:w="3420" w:type="dxa"/>
            <w:vAlign w:val="center"/>
          </w:tcPr>
          <w:p w:rsidR="00A32067" w:rsidRPr="0002085C" w:rsidRDefault="00A32067" w:rsidP="0002085C">
            <w:pPr>
              <w:jc w:val="center"/>
              <w:rPr>
                <w:kern w:val="0"/>
                <w:sz w:val="24"/>
                <w:szCs w:val="24"/>
              </w:rPr>
            </w:pPr>
            <w:r w:rsidRPr="0002085C">
              <w:rPr>
                <w:rFonts w:cs="宋体" w:hint="eastAsia"/>
                <w:kern w:val="0"/>
              </w:rPr>
              <w:t>镉含量</w:t>
            </w:r>
          </w:p>
        </w:tc>
        <w:tc>
          <w:tcPr>
            <w:tcW w:w="1296" w:type="dxa"/>
            <w:vMerge/>
            <w:vAlign w:val="center"/>
          </w:tcPr>
          <w:p w:rsidR="00A32067" w:rsidRPr="0002085C" w:rsidRDefault="00A32067" w:rsidP="0002085C">
            <w:pPr>
              <w:jc w:val="center"/>
              <w:rPr>
                <w:kern w:val="0"/>
                <w:sz w:val="24"/>
                <w:szCs w:val="24"/>
              </w:rPr>
            </w:pPr>
          </w:p>
        </w:tc>
        <w:tc>
          <w:tcPr>
            <w:tcW w:w="1701" w:type="dxa"/>
            <w:vMerge/>
            <w:vAlign w:val="center"/>
          </w:tcPr>
          <w:p w:rsidR="00A32067" w:rsidRPr="0002085C" w:rsidRDefault="00A32067" w:rsidP="0002085C">
            <w:pPr>
              <w:jc w:val="center"/>
              <w:rPr>
                <w:kern w:val="0"/>
                <w:sz w:val="24"/>
                <w:szCs w:val="24"/>
              </w:rPr>
            </w:pP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M</w:t>
      </w:r>
      <w:r>
        <w:rPr>
          <w:rFonts w:ascii="Times New Roman" w:hAnsi="Times New Roman" w:hint="eastAsia"/>
          <w:b/>
          <w:bCs/>
          <w:kern w:val="2"/>
        </w:rPr>
        <w:t>电线及电料</w:t>
      </w:r>
      <w:r>
        <w:rPr>
          <w:rFonts w:ascii="Times New Roman" w:hAnsi="Times New Roman" w:cs="Times New Roman"/>
          <w:b/>
          <w:bCs/>
          <w:kern w:val="2"/>
        </w:rPr>
        <w:t xml:space="preserve">                                                      M01</w:t>
      </w:r>
      <w:r>
        <w:rPr>
          <w:rFonts w:ascii="Times New Roman" w:hAnsi="Times New Roman" w:hint="eastAsia"/>
          <w:b/>
          <w:bCs/>
          <w:kern w:val="2"/>
        </w:rPr>
        <w:t>～</w:t>
      </w:r>
      <w:r>
        <w:rPr>
          <w:rFonts w:ascii="Times New Roman" w:hAnsi="Times New Roman" w:cs="Times New Roman"/>
          <w:b/>
          <w:bCs/>
          <w:kern w:val="2"/>
        </w:rPr>
        <w:t>03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440"/>
        <w:gridCol w:w="1980"/>
        <w:gridCol w:w="1296"/>
        <w:gridCol w:w="1701"/>
      </w:tblGrid>
      <w:tr w:rsidR="00A32067">
        <w:trPr>
          <w:trHeight w:val="624"/>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裸电线</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尺寸偏差</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拉力试验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扭转试验</w:t>
            </w:r>
          </w:p>
          <w:p w:rsidR="00A32067" w:rsidRPr="0002085C" w:rsidRDefault="00A32067" w:rsidP="0002085C">
            <w:pPr>
              <w:jc w:val="center"/>
              <w:rPr>
                <w:kern w:val="0"/>
              </w:rPr>
            </w:pPr>
            <w:r w:rsidRPr="0002085C">
              <w:rPr>
                <w:rFonts w:cs="宋体" w:hint="eastAsia"/>
                <w:kern w:val="0"/>
              </w:rPr>
              <w:t>镀层连续性试验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vMerge w:val="restart"/>
            <w:vAlign w:val="center"/>
          </w:tcPr>
          <w:p w:rsidR="00A32067" w:rsidRPr="0002085C" w:rsidRDefault="00A32067" w:rsidP="0002085C">
            <w:pPr>
              <w:jc w:val="center"/>
              <w:rPr>
                <w:kern w:val="0"/>
              </w:rPr>
            </w:pPr>
            <w:r w:rsidRPr="0002085C">
              <w:rPr>
                <w:rFonts w:cs="宋体" w:hint="eastAsia"/>
                <w:kern w:val="0"/>
              </w:rPr>
              <w:t>弯曲试验</w:t>
            </w:r>
          </w:p>
        </w:tc>
        <w:tc>
          <w:tcPr>
            <w:tcW w:w="1980" w:type="dxa"/>
            <w:vAlign w:val="center"/>
          </w:tcPr>
          <w:p w:rsidR="00A32067" w:rsidRPr="0002085C" w:rsidRDefault="00A32067" w:rsidP="0002085C">
            <w:pPr>
              <w:jc w:val="center"/>
              <w:rPr>
                <w:kern w:val="0"/>
              </w:rPr>
            </w:pPr>
            <w:r w:rsidRPr="0002085C">
              <w:rPr>
                <w:rFonts w:cs="宋体" w:hint="eastAsia"/>
                <w:kern w:val="0"/>
              </w:rPr>
              <w:t>反复弯曲</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单向弯曲</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卷绕试验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硬度试验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镀层附着性试验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镀层可焊性试验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绕组线尺寸测量</w:t>
            </w:r>
          </w:p>
        </w:tc>
        <w:tc>
          <w:tcPr>
            <w:tcW w:w="1080" w:type="dxa"/>
            <w:vMerge w:val="restart"/>
            <w:vAlign w:val="center"/>
          </w:tcPr>
          <w:p w:rsidR="00A32067" w:rsidRPr="0002085C" w:rsidRDefault="00A32067" w:rsidP="0002085C">
            <w:pPr>
              <w:jc w:val="center"/>
              <w:rPr>
                <w:kern w:val="0"/>
              </w:rPr>
            </w:pPr>
            <w:r w:rsidRPr="0002085C">
              <w:rPr>
                <w:kern w:val="0"/>
              </w:rPr>
              <w:t>02</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导体尺寸</w:t>
            </w:r>
          </w:p>
          <w:p w:rsidR="00A32067" w:rsidRPr="0002085C" w:rsidRDefault="00A32067" w:rsidP="0002085C">
            <w:pPr>
              <w:jc w:val="center"/>
              <w:rPr>
                <w:kern w:val="0"/>
              </w:rPr>
            </w:pPr>
            <w:r w:rsidRPr="0002085C">
              <w:rPr>
                <w:rFonts w:cs="宋体" w:hint="eastAsia"/>
                <w:kern w:val="0"/>
              </w:rPr>
              <w:t>绝缘厚度</w:t>
            </w:r>
          </w:p>
          <w:p w:rsidR="00A32067" w:rsidRPr="0002085C" w:rsidRDefault="00A32067" w:rsidP="0002085C">
            <w:pPr>
              <w:jc w:val="center"/>
              <w:rPr>
                <w:kern w:val="0"/>
              </w:rPr>
            </w:pPr>
            <w:r w:rsidRPr="0002085C">
              <w:rPr>
                <w:rFonts w:cs="宋体" w:hint="eastAsia"/>
                <w:kern w:val="0"/>
              </w:rPr>
              <w:t>漆包圆线自粘层厚度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导体不圆度</w:t>
            </w:r>
          </w:p>
          <w:p w:rsidR="00A32067" w:rsidRPr="0002085C" w:rsidRDefault="00A32067" w:rsidP="0002085C">
            <w:pPr>
              <w:jc w:val="center"/>
              <w:rPr>
                <w:kern w:val="0"/>
              </w:rPr>
            </w:pPr>
            <w:r w:rsidRPr="0002085C">
              <w:rPr>
                <w:rFonts w:cs="宋体" w:hint="eastAsia"/>
                <w:kern w:val="0"/>
              </w:rPr>
              <w:t>扁线圆角</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外形尺寸</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绕组线机械性能</w:t>
            </w:r>
          </w:p>
        </w:tc>
        <w:tc>
          <w:tcPr>
            <w:tcW w:w="1080" w:type="dxa"/>
            <w:vMerge w:val="restart"/>
            <w:vAlign w:val="center"/>
          </w:tcPr>
          <w:p w:rsidR="00A32067" w:rsidRPr="0002085C" w:rsidRDefault="00A32067" w:rsidP="0002085C">
            <w:pPr>
              <w:jc w:val="center"/>
              <w:rPr>
                <w:kern w:val="0"/>
              </w:rPr>
            </w:pPr>
            <w:r w:rsidRPr="0002085C">
              <w:rPr>
                <w:kern w:val="0"/>
              </w:rPr>
              <w:t>03</w:t>
            </w:r>
          </w:p>
        </w:tc>
        <w:tc>
          <w:tcPr>
            <w:tcW w:w="3420" w:type="dxa"/>
            <w:gridSpan w:val="2"/>
            <w:vAlign w:val="center"/>
          </w:tcPr>
          <w:p w:rsidR="00A32067" w:rsidRPr="0002085C" w:rsidRDefault="00A32067" w:rsidP="0002085C">
            <w:pPr>
              <w:jc w:val="center"/>
              <w:rPr>
                <w:kern w:val="0"/>
              </w:rPr>
            </w:pPr>
            <w:r w:rsidRPr="0002085C">
              <w:rPr>
                <w:rFonts w:cs="宋体" w:hint="eastAsia"/>
                <w:kern w:val="0"/>
              </w:rPr>
              <w:t>断裂伸长率</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抗张强度</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回弹性</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卷绕试验</w:t>
            </w:r>
          </w:p>
          <w:p w:rsidR="00A32067" w:rsidRPr="0002085C" w:rsidRDefault="00A32067" w:rsidP="0002085C">
            <w:pPr>
              <w:jc w:val="center"/>
              <w:rPr>
                <w:kern w:val="0"/>
              </w:rPr>
            </w:pPr>
            <w:r w:rsidRPr="0002085C">
              <w:rPr>
                <w:rFonts w:cs="宋体" w:hint="eastAsia"/>
                <w:kern w:val="0"/>
              </w:rPr>
              <w:t>附着性试验</w:t>
            </w:r>
          </w:p>
          <w:p w:rsidR="00A32067" w:rsidRPr="0002085C" w:rsidRDefault="00A32067" w:rsidP="0002085C">
            <w:pPr>
              <w:jc w:val="center"/>
              <w:rPr>
                <w:kern w:val="0"/>
              </w:rPr>
            </w:pPr>
            <w:r w:rsidRPr="0002085C">
              <w:rPr>
                <w:rFonts w:cs="宋体" w:hint="eastAsia"/>
                <w:kern w:val="0"/>
              </w:rPr>
              <w:t>扭绞线圈粘结强度</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急拉断试验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剥离试验</w:t>
            </w:r>
          </w:p>
          <w:p w:rsidR="00A32067" w:rsidRPr="0002085C" w:rsidRDefault="00A32067" w:rsidP="0002085C">
            <w:pPr>
              <w:jc w:val="center"/>
              <w:rPr>
                <w:kern w:val="0"/>
              </w:rPr>
            </w:pPr>
            <w:r w:rsidRPr="0002085C">
              <w:rPr>
                <w:rFonts w:cs="宋体" w:hint="eastAsia"/>
                <w:kern w:val="0"/>
              </w:rPr>
              <w:t>耐刮</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gridSpan w:val="2"/>
            <w:vAlign w:val="center"/>
          </w:tcPr>
          <w:p w:rsidR="00A32067" w:rsidRPr="0002085C" w:rsidRDefault="00A32067" w:rsidP="0002085C">
            <w:pPr>
              <w:jc w:val="center"/>
              <w:rPr>
                <w:kern w:val="0"/>
              </w:rPr>
            </w:pPr>
            <w:r w:rsidRPr="0002085C">
              <w:rPr>
                <w:rFonts w:cs="宋体" w:hint="eastAsia"/>
                <w:kern w:val="0"/>
              </w:rPr>
              <w:t>拉伸试验</w:t>
            </w:r>
          </w:p>
          <w:p w:rsidR="00A32067" w:rsidRPr="0002085C" w:rsidRDefault="00A32067" w:rsidP="0002085C">
            <w:pPr>
              <w:jc w:val="center"/>
              <w:rPr>
                <w:kern w:val="0"/>
              </w:rPr>
            </w:pPr>
            <w:r w:rsidRPr="0002085C">
              <w:rPr>
                <w:rFonts w:cs="宋体" w:hint="eastAsia"/>
                <w:kern w:val="0"/>
              </w:rPr>
              <w:t>垂直螺旋线圈的粘结力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M</w:t>
      </w:r>
      <w:r>
        <w:rPr>
          <w:rFonts w:ascii="Times New Roman" w:hAnsi="Times New Roman" w:hint="eastAsia"/>
          <w:b/>
          <w:bCs/>
          <w:kern w:val="2"/>
        </w:rPr>
        <w:t>电线及电料</w:t>
      </w:r>
      <w:r>
        <w:rPr>
          <w:rFonts w:ascii="Times New Roman" w:hAnsi="Times New Roman" w:cs="Times New Roman"/>
          <w:b/>
          <w:bCs/>
          <w:kern w:val="2"/>
        </w:rPr>
        <w:t xml:space="preserve">                                                       M04</w:t>
      </w:r>
      <w:r>
        <w:rPr>
          <w:rFonts w:ascii="Times New Roman" w:hAnsi="Times New Roman" w:hint="eastAsia"/>
          <w:b/>
          <w:bCs/>
          <w:kern w:val="2"/>
        </w:rPr>
        <w:t>～</w:t>
      </w:r>
      <w:r>
        <w:rPr>
          <w:rFonts w:ascii="Times New Roman" w:hAnsi="Times New Roman" w:cs="Times New Roman"/>
          <w:b/>
          <w:bCs/>
          <w:kern w:val="2"/>
        </w:rPr>
        <w:t>07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绕组线化学性能</w:t>
            </w:r>
          </w:p>
        </w:tc>
        <w:tc>
          <w:tcPr>
            <w:tcW w:w="1080" w:type="dxa"/>
            <w:vMerge w:val="restart"/>
            <w:vAlign w:val="center"/>
          </w:tcPr>
          <w:p w:rsidR="00A32067" w:rsidRPr="0002085C" w:rsidRDefault="00A32067" w:rsidP="0002085C">
            <w:pPr>
              <w:jc w:val="center"/>
              <w:rPr>
                <w:kern w:val="0"/>
              </w:rPr>
            </w:pPr>
            <w:r w:rsidRPr="0002085C">
              <w:rPr>
                <w:kern w:val="0"/>
              </w:rPr>
              <w:t>04</w:t>
            </w:r>
          </w:p>
        </w:tc>
        <w:tc>
          <w:tcPr>
            <w:tcW w:w="3420" w:type="dxa"/>
            <w:vAlign w:val="center"/>
          </w:tcPr>
          <w:p w:rsidR="00A32067" w:rsidRPr="0002085C" w:rsidRDefault="00A32067" w:rsidP="0002085C">
            <w:pPr>
              <w:jc w:val="center"/>
              <w:rPr>
                <w:kern w:val="0"/>
              </w:rPr>
            </w:pPr>
            <w:r w:rsidRPr="0002085C">
              <w:rPr>
                <w:rFonts w:cs="宋体" w:hint="eastAsia"/>
                <w:kern w:val="0"/>
              </w:rPr>
              <w:t>耐溶剂</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萃取</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190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击穿电压</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直焊性</w:t>
            </w:r>
          </w:p>
          <w:p w:rsidR="00A32067" w:rsidRPr="0002085C" w:rsidRDefault="00A32067" w:rsidP="0002085C">
            <w:pPr>
              <w:jc w:val="center"/>
              <w:rPr>
                <w:kern w:val="0"/>
              </w:rPr>
            </w:pPr>
            <w:r w:rsidRPr="0002085C">
              <w:rPr>
                <w:rFonts w:cs="宋体" w:hint="eastAsia"/>
                <w:kern w:val="0"/>
              </w:rPr>
              <w:t>耐变压器油</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耐水解</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绕组线电性能</w:t>
            </w:r>
          </w:p>
        </w:tc>
        <w:tc>
          <w:tcPr>
            <w:tcW w:w="1080" w:type="dxa"/>
            <w:vMerge w:val="restart"/>
            <w:vAlign w:val="center"/>
          </w:tcPr>
          <w:p w:rsidR="00A32067" w:rsidRPr="0002085C" w:rsidRDefault="00A32067" w:rsidP="0002085C">
            <w:pPr>
              <w:jc w:val="center"/>
              <w:rPr>
                <w:kern w:val="0"/>
              </w:rPr>
            </w:pPr>
            <w:r w:rsidRPr="0002085C">
              <w:rPr>
                <w:kern w:val="0"/>
              </w:rPr>
              <w:t>05</w:t>
            </w:r>
          </w:p>
        </w:tc>
        <w:tc>
          <w:tcPr>
            <w:tcW w:w="3420" w:type="dxa"/>
            <w:vAlign w:val="center"/>
          </w:tcPr>
          <w:p w:rsidR="00A32067" w:rsidRPr="0002085C" w:rsidRDefault="00A32067" w:rsidP="0002085C">
            <w:pPr>
              <w:jc w:val="center"/>
              <w:rPr>
                <w:kern w:val="0"/>
              </w:rPr>
            </w:pPr>
            <w:r w:rsidRPr="0002085C">
              <w:rPr>
                <w:rFonts w:cs="宋体" w:hint="eastAsia"/>
                <w:kern w:val="0"/>
              </w:rPr>
              <w:t>电阻</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击穿电压</w:t>
            </w:r>
          </w:p>
          <w:p w:rsidR="00A32067" w:rsidRPr="0002085C" w:rsidRDefault="00A32067" w:rsidP="0002085C">
            <w:pPr>
              <w:jc w:val="center"/>
              <w:rPr>
                <w:kern w:val="0"/>
              </w:rPr>
            </w:pPr>
            <w:r w:rsidRPr="0002085C">
              <w:rPr>
                <w:rFonts w:cs="宋体" w:hint="eastAsia"/>
                <w:kern w:val="0"/>
              </w:rPr>
              <w:t>低压连续试验</w:t>
            </w:r>
          </w:p>
          <w:p w:rsidR="00A32067" w:rsidRPr="0002085C" w:rsidRDefault="00A32067" w:rsidP="0002085C">
            <w:pPr>
              <w:jc w:val="center"/>
              <w:rPr>
                <w:kern w:val="0"/>
              </w:rPr>
            </w:pPr>
            <w:r w:rsidRPr="0002085C">
              <w:rPr>
                <w:rFonts w:cs="宋体" w:hint="eastAsia"/>
                <w:kern w:val="0"/>
              </w:rPr>
              <w:t>高压连续性试验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介质损耗系数</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绕组线热性能</w:t>
            </w:r>
          </w:p>
        </w:tc>
        <w:tc>
          <w:tcPr>
            <w:tcW w:w="1080" w:type="dxa"/>
            <w:vMerge w:val="restart"/>
            <w:vAlign w:val="center"/>
          </w:tcPr>
          <w:p w:rsidR="00A32067" w:rsidRPr="0002085C" w:rsidRDefault="00A32067" w:rsidP="0002085C">
            <w:pPr>
              <w:jc w:val="center"/>
              <w:rPr>
                <w:kern w:val="0"/>
              </w:rPr>
            </w:pPr>
            <w:r w:rsidRPr="0002085C">
              <w:rPr>
                <w:kern w:val="0"/>
              </w:rPr>
              <w:t>06</w:t>
            </w:r>
          </w:p>
        </w:tc>
        <w:tc>
          <w:tcPr>
            <w:tcW w:w="3420" w:type="dxa"/>
            <w:vAlign w:val="center"/>
          </w:tcPr>
          <w:p w:rsidR="00A32067" w:rsidRPr="0002085C" w:rsidRDefault="00A32067" w:rsidP="0002085C">
            <w:pPr>
              <w:jc w:val="center"/>
              <w:rPr>
                <w:kern w:val="0"/>
              </w:rPr>
            </w:pPr>
            <w:r w:rsidRPr="0002085C">
              <w:rPr>
                <w:rFonts w:cs="宋体" w:hint="eastAsia"/>
                <w:kern w:val="0"/>
              </w:rPr>
              <w:t>热冲击</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软化击穿</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温度指数</w:t>
            </w:r>
          </w:p>
          <w:p w:rsidR="00A32067" w:rsidRPr="0002085C" w:rsidRDefault="00A32067" w:rsidP="0002085C">
            <w:pPr>
              <w:jc w:val="center"/>
              <w:rPr>
                <w:kern w:val="0"/>
              </w:rPr>
            </w:pPr>
            <w:r w:rsidRPr="0002085C">
              <w:rPr>
                <w:rFonts w:cs="宋体" w:hint="eastAsia"/>
                <w:kern w:val="0"/>
              </w:rPr>
              <w:t>失重</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160</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电线机械性能</w:t>
            </w:r>
          </w:p>
        </w:tc>
        <w:tc>
          <w:tcPr>
            <w:tcW w:w="1080" w:type="dxa"/>
            <w:vMerge w:val="restart"/>
            <w:vAlign w:val="center"/>
          </w:tcPr>
          <w:p w:rsidR="00A32067" w:rsidRPr="0002085C" w:rsidRDefault="00A32067" w:rsidP="0002085C">
            <w:pPr>
              <w:jc w:val="center"/>
              <w:rPr>
                <w:kern w:val="0"/>
              </w:rPr>
            </w:pPr>
            <w:r w:rsidRPr="0002085C">
              <w:rPr>
                <w:kern w:val="0"/>
              </w:rPr>
              <w:t>07</w:t>
            </w:r>
          </w:p>
        </w:tc>
        <w:tc>
          <w:tcPr>
            <w:tcW w:w="3420" w:type="dxa"/>
            <w:vAlign w:val="center"/>
          </w:tcPr>
          <w:p w:rsidR="00A32067" w:rsidRPr="0002085C" w:rsidRDefault="00A32067" w:rsidP="0002085C">
            <w:pPr>
              <w:jc w:val="center"/>
              <w:rPr>
                <w:kern w:val="0"/>
              </w:rPr>
            </w:pPr>
            <w:r w:rsidRPr="0002085C">
              <w:rPr>
                <w:rFonts w:cs="宋体" w:hint="eastAsia"/>
                <w:kern w:val="0"/>
              </w:rPr>
              <w:t>软电线和软电缆曲挠试验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抗撕试验</w:t>
            </w:r>
          </w:p>
          <w:p w:rsidR="00A32067" w:rsidRPr="0002085C" w:rsidRDefault="00A32067" w:rsidP="0002085C">
            <w:pPr>
              <w:jc w:val="center"/>
              <w:rPr>
                <w:kern w:val="0"/>
              </w:rPr>
            </w:pPr>
            <w:r w:rsidRPr="0002085C">
              <w:rPr>
                <w:rFonts w:cs="宋体" w:hint="eastAsia"/>
                <w:kern w:val="0"/>
              </w:rPr>
              <w:t>弯曲试验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M</w:t>
      </w:r>
      <w:r>
        <w:rPr>
          <w:rFonts w:ascii="Times New Roman" w:hAnsi="Times New Roman" w:hint="eastAsia"/>
          <w:b/>
          <w:bCs/>
          <w:kern w:val="2"/>
        </w:rPr>
        <w:t>电线及电料</w:t>
      </w:r>
      <w:r>
        <w:rPr>
          <w:rFonts w:ascii="Times New Roman" w:hAnsi="Times New Roman" w:cs="Times New Roman"/>
          <w:b/>
          <w:bCs/>
          <w:kern w:val="2"/>
        </w:rPr>
        <w:t xml:space="preserve">                                                        M08</w:t>
      </w:r>
      <w:r>
        <w:rPr>
          <w:rFonts w:ascii="Times New Roman" w:hAnsi="Times New Roman" w:hint="eastAsia"/>
          <w:b/>
          <w:bCs/>
          <w:kern w:val="2"/>
        </w:rPr>
        <w:t>～</w:t>
      </w:r>
      <w:r>
        <w:rPr>
          <w:rFonts w:ascii="Times New Roman" w:hAnsi="Times New Roman" w:cs="Times New Roman"/>
          <w:b/>
          <w:bCs/>
          <w:kern w:val="2"/>
        </w:rPr>
        <w:t>10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3420"/>
        <w:gridCol w:w="1296"/>
        <w:gridCol w:w="1701"/>
      </w:tblGrid>
      <w:tr w:rsidR="00A32067">
        <w:trPr>
          <w:trHeight w:val="624"/>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聚氯乙烯绝缘电缆</w:t>
            </w:r>
          </w:p>
        </w:tc>
        <w:tc>
          <w:tcPr>
            <w:tcW w:w="1080" w:type="dxa"/>
            <w:vMerge w:val="restart"/>
            <w:vAlign w:val="center"/>
          </w:tcPr>
          <w:p w:rsidR="00A32067" w:rsidRPr="0002085C" w:rsidRDefault="00A32067" w:rsidP="0002085C">
            <w:pPr>
              <w:jc w:val="center"/>
              <w:rPr>
                <w:kern w:val="0"/>
              </w:rPr>
            </w:pPr>
            <w:r w:rsidRPr="0002085C">
              <w:rPr>
                <w:kern w:val="0"/>
              </w:rPr>
              <w:t>08</w:t>
            </w:r>
          </w:p>
        </w:tc>
        <w:tc>
          <w:tcPr>
            <w:tcW w:w="3420" w:type="dxa"/>
            <w:vAlign w:val="center"/>
          </w:tcPr>
          <w:p w:rsidR="00A32067" w:rsidRPr="0002085C" w:rsidRDefault="00A32067" w:rsidP="0002085C">
            <w:pPr>
              <w:jc w:val="center"/>
              <w:rPr>
                <w:kern w:val="0"/>
              </w:rPr>
            </w:pPr>
            <w:r w:rsidRPr="0002085C">
              <w:rPr>
                <w:rFonts w:cs="宋体" w:hint="eastAsia"/>
                <w:kern w:val="0"/>
              </w:rPr>
              <w:t>绝缘厚度</w:t>
            </w:r>
          </w:p>
          <w:p w:rsidR="00A32067" w:rsidRPr="0002085C" w:rsidRDefault="00A32067" w:rsidP="0002085C">
            <w:pPr>
              <w:jc w:val="center"/>
              <w:rPr>
                <w:kern w:val="0"/>
              </w:rPr>
            </w:pPr>
            <w:r w:rsidRPr="0002085C">
              <w:rPr>
                <w:rFonts w:cs="宋体" w:hint="eastAsia"/>
                <w:kern w:val="0"/>
              </w:rPr>
              <w:t>导体电阻</w:t>
            </w:r>
          </w:p>
          <w:p w:rsidR="00A32067" w:rsidRPr="0002085C" w:rsidRDefault="00A32067" w:rsidP="0002085C">
            <w:pPr>
              <w:jc w:val="center"/>
              <w:rPr>
                <w:kern w:val="0"/>
              </w:rPr>
            </w:pPr>
            <w:r w:rsidRPr="0002085C">
              <w:rPr>
                <w:rFonts w:cs="宋体" w:hint="eastAsia"/>
                <w:kern w:val="0"/>
              </w:rPr>
              <w:t>绝缘电阻</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外形尺寸和椭圆度测量</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成品电缆电压试验</w:t>
            </w:r>
          </w:p>
          <w:p w:rsidR="00A32067" w:rsidRPr="0002085C" w:rsidRDefault="00A32067" w:rsidP="0002085C">
            <w:pPr>
              <w:jc w:val="center"/>
              <w:rPr>
                <w:kern w:val="0"/>
              </w:rPr>
            </w:pPr>
            <w:r w:rsidRPr="0002085C">
              <w:rPr>
                <w:rFonts w:cs="宋体" w:hint="eastAsia"/>
                <w:kern w:val="0"/>
              </w:rPr>
              <w:t>绝缘线芯电压试验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曲挠试验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弯曲试验</w:t>
            </w:r>
          </w:p>
          <w:p w:rsidR="00A32067" w:rsidRPr="0002085C" w:rsidRDefault="00A32067" w:rsidP="0002085C">
            <w:pPr>
              <w:jc w:val="center"/>
              <w:rPr>
                <w:kern w:val="0"/>
              </w:rPr>
            </w:pPr>
            <w:r w:rsidRPr="0002085C">
              <w:rPr>
                <w:rFonts w:cs="宋体" w:hint="eastAsia"/>
                <w:kern w:val="0"/>
              </w:rPr>
              <w:t>绝缘线芯撕离试验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荷重断芯试验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624"/>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电缆电线绝缘盒护套材料</w:t>
            </w:r>
          </w:p>
        </w:tc>
        <w:tc>
          <w:tcPr>
            <w:tcW w:w="1080" w:type="dxa"/>
            <w:vMerge w:val="restart"/>
            <w:vAlign w:val="center"/>
          </w:tcPr>
          <w:p w:rsidR="00A32067" w:rsidRPr="0002085C" w:rsidRDefault="00A32067" w:rsidP="0002085C">
            <w:pPr>
              <w:jc w:val="center"/>
              <w:rPr>
                <w:kern w:val="0"/>
              </w:rPr>
            </w:pPr>
            <w:r w:rsidRPr="0002085C">
              <w:rPr>
                <w:kern w:val="0"/>
              </w:rPr>
              <w:t>09</w:t>
            </w:r>
          </w:p>
        </w:tc>
        <w:tc>
          <w:tcPr>
            <w:tcW w:w="3420" w:type="dxa"/>
            <w:vAlign w:val="center"/>
          </w:tcPr>
          <w:p w:rsidR="00A32067" w:rsidRPr="0002085C" w:rsidRDefault="00A32067" w:rsidP="0002085C">
            <w:pPr>
              <w:jc w:val="center"/>
              <w:rPr>
                <w:kern w:val="0"/>
              </w:rPr>
            </w:pPr>
            <w:r w:rsidRPr="0002085C">
              <w:rPr>
                <w:rFonts w:cs="宋体" w:hint="eastAsia"/>
                <w:kern w:val="0"/>
              </w:rPr>
              <w:t>厚度</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外形尺寸</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90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机械性能（拉力）</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热老化试验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密度</w:t>
            </w:r>
          </w:p>
          <w:p w:rsidR="00A32067" w:rsidRPr="0002085C" w:rsidRDefault="00A32067" w:rsidP="0002085C">
            <w:pPr>
              <w:jc w:val="center"/>
              <w:rPr>
                <w:kern w:val="0"/>
              </w:rPr>
            </w:pPr>
            <w:r w:rsidRPr="0002085C">
              <w:rPr>
                <w:rFonts w:cs="宋体" w:hint="eastAsia"/>
                <w:kern w:val="0"/>
              </w:rPr>
              <w:t>绝缘收缩试验</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吸水试验</w:t>
            </w:r>
          </w:p>
        </w:tc>
        <w:tc>
          <w:tcPr>
            <w:tcW w:w="1296" w:type="dxa"/>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restart"/>
            <w:vAlign w:val="center"/>
          </w:tcPr>
          <w:p w:rsidR="00A32067" w:rsidRPr="0002085C" w:rsidRDefault="00A32067" w:rsidP="0002085C">
            <w:pPr>
              <w:jc w:val="center"/>
              <w:rPr>
                <w:kern w:val="0"/>
              </w:rPr>
            </w:pPr>
            <w:r w:rsidRPr="0002085C">
              <w:rPr>
                <w:kern w:val="0"/>
              </w:rPr>
              <w:t>10</w:t>
            </w:r>
          </w:p>
        </w:tc>
        <w:tc>
          <w:tcPr>
            <w:tcW w:w="3420" w:type="dxa"/>
            <w:vAlign w:val="center"/>
          </w:tcPr>
          <w:p w:rsidR="00A32067" w:rsidRPr="0002085C" w:rsidRDefault="00A32067" w:rsidP="0002085C">
            <w:pPr>
              <w:jc w:val="center"/>
              <w:rPr>
                <w:kern w:val="0"/>
              </w:rPr>
            </w:pPr>
            <w:r w:rsidRPr="0002085C">
              <w:rPr>
                <w:kern w:val="0"/>
              </w:rPr>
              <w:t>PE</w:t>
            </w:r>
            <w:r w:rsidRPr="0002085C">
              <w:rPr>
                <w:rFonts w:cs="宋体" w:hint="eastAsia"/>
                <w:kern w:val="0"/>
              </w:rPr>
              <w:t>护套的收缩试验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105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低温卷绕试验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低温拉伸试验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260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低温冲击试验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240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耐臭氧试验</w:t>
            </w:r>
          </w:p>
        </w:tc>
        <w:tc>
          <w:tcPr>
            <w:tcW w:w="1296" w:type="dxa"/>
            <w:vAlign w:val="center"/>
          </w:tcPr>
          <w:p w:rsidR="00A32067" w:rsidRPr="0002085C" w:rsidRDefault="00A32067" w:rsidP="0002085C">
            <w:pPr>
              <w:jc w:val="center"/>
              <w:rPr>
                <w:kern w:val="0"/>
              </w:rPr>
            </w:pPr>
            <w:r w:rsidRPr="0002085C">
              <w:rPr>
                <w:rFonts w:cs="宋体" w:hint="eastAsia"/>
                <w:kern w:val="0"/>
              </w:rPr>
              <w:t>小时</w:t>
            </w:r>
          </w:p>
        </w:tc>
        <w:tc>
          <w:tcPr>
            <w:tcW w:w="1701" w:type="dxa"/>
            <w:vAlign w:val="center"/>
          </w:tcPr>
          <w:p w:rsidR="00A32067" w:rsidRPr="0002085C" w:rsidRDefault="00A32067" w:rsidP="0002085C">
            <w:pPr>
              <w:jc w:val="center"/>
              <w:rPr>
                <w:kern w:val="0"/>
              </w:rPr>
            </w:pPr>
            <w:r w:rsidRPr="0002085C">
              <w:rPr>
                <w:kern w:val="0"/>
              </w:rPr>
              <w:t>15</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热延伸试验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w:t>
            </w:r>
          </w:p>
        </w:tc>
      </w:tr>
      <w:tr w:rsidR="00A32067">
        <w:trPr>
          <w:trHeight w:val="624"/>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3420" w:type="dxa"/>
            <w:vAlign w:val="center"/>
          </w:tcPr>
          <w:p w:rsidR="00A32067" w:rsidRPr="0002085C" w:rsidRDefault="00A32067" w:rsidP="0002085C">
            <w:pPr>
              <w:jc w:val="center"/>
              <w:rPr>
                <w:kern w:val="0"/>
              </w:rPr>
            </w:pPr>
            <w:r w:rsidRPr="0002085C">
              <w:rPr>
                <w:rFonts w:cs="宋体" w:hint="eastAsia"/>
                <w:kern w:val="0"/>
              </w:rPr>
              <w:t>护套浸矿物油试验</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N</w:t>
      </w:r>
      <w:r>
        <w:rPr>
          <w:rFonts w:ascii="Times New Roman" w:hAnsi="Times New Roman" w:hint="eastAsia"/>
          <w:b/>
          <w:bCs/>
          <w:kern w:val="2"/>
        </w:rPr>
        <w:t>无机结合料</w:t>
      </w:r>
      <w:r>
        <w:rPr>
          <w:rFonts w:ascii="Times New Roman" w:hAnsi="Times New Roman" w:cs="Times New Roman"/>
          <w:b/>
          <w:bCs/>
          <w:kern w:val="2"/>
        </w:rPr>
        <w:t xml:space="preserve">                                                        N01</w:t>
      </w:r>
      <w:r>
        <w:rPr>
          <w:rFonts w:ascii="Times New Roman" w:hAnsi="Times New Roman" w:hint="eastAsia"/>
          <w:b/>
          <w:bCs/>
          <w:kern w:val="2"/>
        </w:rPr>
        <w:t>～</w:t>
      </w:r>
      <w:r>
        <w:rPr>
          <w:rFonts w:ascii="Times New Roman" w:hAnsi="Times New Roman" w:cs="Times New Roman"/>
          <w:b/>
          <w:bCs/>
          <w:kern w:val="2"/>
        </w:rPr>
        <w:t>08</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800"/>
        <w:gridCol w:w="180"/>
        <w:gridCol w:w="1620"/>
        <w:gridCol w:w="111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11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无机结合料</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1980" w:type="dxa"/>
            <w:gridSpan w:val="2"/>
            <w:vMerge w:val="restart"/>
            <w:vAlign w:val="center"/>
          </w:tcPr>
          <w:p w:rsidR="00A32067" w:rsidRPr="0002085C" w:rsidRDefault="00A32067" w:rsidP="0002085C">
            <w:pPr>
              <w:jc w:val="center"/>
              <w:rPr>
                <w:kern w:val="0"/>
              </w:rPr>
            </w:pPr>
            <w:r w:rsidRPr="0002085C">
              <w:rPr>
                <w:rFonts w:cs="宋体" w:hint="eastAsia"/>
                <w:kern w:val="0"/>
              </w:rPr>
              <w:t>重型击实</w:t>
            </w:r>
          </w:p>
        </w:tc>
        <w:tc>
          <w:tcPr>
            <w:tcW w:w="1620" w:type="dxa"/>
            <w:vAlign w:val="center"/>
          </w:tcPr>
          <w:p w:rsidR="00A32067" w:rsidRPr="0002085C" w:rsidRDefault="00A32067" w:rsidP="0002085C">
            <w:pPr>
              <w:jc w:val="center"/>
              <w:rPr>
                <w:kern w:val="0"/>
              </w:rPr>
            </w:pPr>
            <w:r w:rsidRPr="0002085C">
              <w:rPr>
                <w:kern w:val="0"/>
              </w:rPr>
              <w:t>100mm</w:t>
            </w:r>
          </w:p>
        </w:tc>
        <w:tc>
          <w:tcPr>
            <w:tcW w:w="111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980" w:type="dxa"/>
            <w:gridSpan w:val="2"/>
            <w:vMerge/>
            <w:vAlign w:val="center"/>
          </w:tcPr>
          <w:p w:rsidR="00A32067" w:rsidRPr="0002085C" w:rsidRDefault="00A32067" w:rsidP="0002085C">
            <w:pPr>
              <w:jc w:val="center"/>
              <w:rPr>
                <w:kern w:val="0"/>
              </w:rPr>
            </w:pPr>
          </w:p>
        </w:tc>
        <w:tc>
          <w:tcPr>
            <w:tcW w:w="1620" w:type="dxa"/>
            <w:vAlign w:val="center"/>
          </w:tcPr>
          <w:p w:rsidR="00A32067" w:rsidRPr="0002085C" w:rsidRDefault="00A32067" w:rsidP="0002085C">
            <w:pPr>
              <w:jc w:val="center"/>
              <w:rPr>
                <w:kern w:val="0"/>
              </w:rPr>
            </w:pPr>
            <w:r w:rsidRPr="0002085C">
              <w:rPr>
                <w:kern w:val="0"/>
              </w:rPr>
              <w:t>150mm</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02</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灰剂量测定试验</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03</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石灰化学分析</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04</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稳定土的无侧限抗压强度</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550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05</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含水量</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70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06</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劈裂试验</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07</w:t>
            </w:r>
          </w:p>
        </w:tc>
        <w:tc>
          <w:tcPr>
            <w:tcW w:w="3600" w:type="dxa"/>
            <w:gridSpan w:val="3"/>
            <w:vAlign w:val="center"/>
          </w:tcPr>
          <w:p w:rsidR="00A32067" w:rsidRPr="0002085C" w:rsidRDefault="00A32067" w:rsidP="0002085C">
            <w:pPr>
              <w:jc w:val="center"/>
              <w:rPr>
                <w:kern w:val="0"/>
              </w:rPr>
            </w:pPr>
            <w:r w:rsidRPr="0002085C">
              <w:rPr>
                <w:rFonts w:cs="宋体" w:hint="eastAsia"/>
                <w:kern w:val="0"/>
              </w:rPr>
              <w:t>室内抗压回弹模量</w:t>
            </w:r>
          </w:p>
          <w:p w:rsidR="00A32067" w:rsidRPr="0002085C" w:rsidRDefault="00A32067" w:rsidP="0002085C">
            <w:pPr>
              <w:jc w:val="center"/>
              <w:rPr>
                <w:kern w:val="0"/>
              </w:rPr>
            </w:pPr>
            <w:r w:rsidRPr="0002085C">
              <w:rPr>
                <w:rFonts w:cs="宋体" w:hint="eastAsia"/>
                <w:kern w:val="0"/>
              </w:rPr>
              <w:t>承载比试验</w:t>
            </w:r>
          </w:p>
        </w:tc>
        <w:tc>
          <w:tcPr>
            <w:tcW w:w="1116" w:type="dxa"/>
            <w:vAlign w:val="center"/>
          </w:tcPr>
          <w:p w:rsidR="00A32067" w:rsidRPr="0002085C" w:rsidRDefault="00A32067" w:rsidP="0002085C">
            <w:pPr>
              <w:jc w:val="center"/>
              <w:rPr>
                <w:kern w:val="0"/>
              </w:rPr>
            </w:pP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500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restart"/>
            <w:vAlign w:val="center"/>
          </w:tcPr>
          <w:p w:rsidR="00A32067" w:rsidRPr="0002085C" w:rsidRDefault="00A32067" w:rsidP="0002085C">
            <w:pPr>
              <w:jc w:val="center"/>
              <w:rPr>
                <w:kern w:val="0"/>
              </w:rPr>
            </w:pPr>
            <w:r w:rsidRPr="0002085C">
              <w:rPr>
                <w:kern w:val="0"/>
              </w:rPr>
              <w:t>08</w:t>
            </w:r>
          </w:p>
        </w:tc>
        <w:tc>
          <w:tcPr>
            <w:tcW w:w="1800" w:type="dxa"/>
            <w:vMerge w:val="restart"/>
            <w:vAlign w:val="center"/>
          </w:tcPr>
          <w:p w:rsidR="00A32067" w:rsidRPr="0002085C" w:rsidRDefault="00A32067" w:rsidP="0002085C">
            <w:pPr>
              <w:jc w:val="center"/>
              <w:rPr>
                <w:kern w:val="0"/>
              </w:rPr>
            </w:pPr>
            <w:r w:rsidRPr="0002085C">
              <w:rPr>
                <w:rFonts w:cs="宋体" w:hint="eastAsia"/>
                <w:kern w:val="0"/>
              </w:rPr>
              <w:t>综合稳定土配合比设计</w:t>
            </w:r>
          </w:p>
        </w:tc>
        <w:tc>
          <w:tcPr>
            <w:tcW w:w="1800" w:type="dxa"/>
            <w:gridSpan w:val="2"/>
            <w:vAlign w:val="center"/>
          </w:tcPr>
          <w:p w:rsidR="00A32067" w:rsidRPr="0002085C" w:rsidRDefault="00A32067" w:rsidP="0002085C">
            <w:pPr>
              <w:jc w:val="center"/>
              <w:rPr>
                <w:kern w:val="0"/>
              </w:rPr>
            </w:pPr>
            <w:r w:rsidRPr="0002085C">
              <w:rPr>
                <w:rFonts w:cs="宋体" w:hint="eastAsia"/>
                <w:kern w:val="0"/>
              </w:rPr>
              <w:t>细粒土</w:t>
            </w:r>
          </w:p>
        </w:tc>
        <w:tc>
          <w:tcPr>
            <w:tcW w:w="1116" w:type="dxa"/>
            <w:vMerge w:val="restart"/>
            <w:vAlign w:val="center"/>
          </w:tcPr>
          <w:p w:rsidR="00A32067" w:rsidRPr="0002085C" w:rsidRDefault="00A32067" w:rsidP="0002085C">
            <w:pPr>
              <w:jc w:val="center"/>
              <w:rPr>
                <w:kern w:val="0"/>
              </w:rPr>
            </w:pPr>
            <w:r w:rsidRPr="0002085C">
              <w:rPr>
                <w:rFonts w:cs="宋体" w:hint="eastAsia"/>
                <w:kern w:val="0"/>
              </w:rPr>
              <w:t>组</w:t>
            </w:r>
          </w:p>
        </w:tc>
        <w:tc>
          <w:tcPr>
            <w:tcW w:w="1701" w:type="dxa"/>
            <w:vAlign w:val="center"/>
          </w:tcPr>
          <w:p w:rsidR="00A32067" w:rsidRPr="0002085C" w:rsidRDefault="00A32067" w:rsidP="0002085C">
            <w:pPr>
              <w:jc w:val="center"/>
              <w:rPr>
                <w:kern w:val="0"/>
              </w:rPr>
            </w:pPr>
            <w:r w:rsidRPr="0002085C">
              <w:rPr>
                <w:kern w:val="0"/>
              </w:rPr>
              <w:t>800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ign w:val="center"/>
          </w:tcPr>
          <w:p w:rsidR="00A32067" w:rsidRPr="0002085C" w:rsidRDefault="00A32067" w:rsidP="0002085C">
            <w:pPr>
              <w:jc w:val="center"/>
              <w:rPr>
                <w:kern w:val="0"/>
              </w:rPr>
            </w:pPr>
          </w:p>
        </w:tc>
        <w:tc>
          <w:tcPr>
            <w:tcW w:w="1800" w:type="dxa"/>
            <w:gridSpan w:val="2"/>
            <w:vAlign w:val="center"/>
          </w:tcPr>
          <w:p w:rsidR="00A32067" w:rsidRPr="0002085C" w:rsidRDefault="00A32067" w:rsidP="0002085C">
            <w:pPr>
              <w:jc w:val="center"/>
              <w:rPr>
                <w:kern w:val="0"/>
              </w:rPr>
            </w:pPr>
            <w:r w:rsidRPr="0002085C">
              <w:rPr>
                <w:rFonts w:cs="宋体" w:hint="eastAsia"/>
                <w:kern w:val="0"/>
              </w:rPr>
              <w:t>中粒土</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1000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800" w:type="dxa"/>
            <w:vMerge/>
            <w:vAlign w:val="center"/>
          </w:tcPr>
          <w:p w:rsidR="00A32067" w:rsidRPr="0002085C" w:rsidRDefault="00A32067" w:rsidP="0002085C">
            <w:pPr>
              <w:jc w:val="center"/>
              <w:rPr>
                <w:kern w:val="0"/>
              </w:rPr>
            </w:pPr>
          </w:p>
        </w:tc>
        <w:tc>
          <w:tcPr>
            <w:tcW w:w="1800" w:type="dxa"/>
            <w:gridSpan w:val="2"/>
            <w:vAlign w:val="center"/>
          </w:tcPr>
          <w:p w:rsidR="00A32067" w:rsidRPr="0002085C" w:rsidRDefault="00A32067" w:rsidP="0002085C">
            <w:pPr>
              <w:jc w:val="center"/>
              <w:rPr>
                <w:kern w:val="0"/>
              </w:rPr>
            </w:pPr>
            <w:r w:rsidRPr="0002085C">
              <w:rPr>
                <w:rFonts w:cs="宋体" w:hint="eastAsia"/>
                <w:kern w:val="0"/>
              </w:rPr>
              <w:t>粗粒土</w:t>
            </w:r>
          </w:p>
        </w:tc>
        <w:tc>
          <w:tcPr>
            <w:tcW w:w="111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1200</w:t>
            </w:r>
          </w:p>
        </w:tc>
      </w:tr>
    </w:tbl>
    <w:p w:rsidR="00A32067" w:rsidRDefault="00A32067">
      <w:pPr>
        <w:widowControl/>
        <w:adjustRightInd w:val="0"/>
        <w:snapToGrid w:val="0"/>
        <w:spacing w:after="200"/>
        <w:jc w:val="left"/>
        <w:rPr>
          <w:rFonts w:eastAsia="微软雅黑"/>
          <w:kern w:val="0"/>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O</w:t>
      </w:r>
      <w:r>
        <w:rPr>
          <w:rFonts w:ascii="Times New Roman" w:hAnsi="Times New Roman" w:hint="eastAsia"/>
          <w:b/>
          <w:bCs/>
          <w:kern w:val="2"/>
        </w:rPr>
        <w:t>道路工程检测</w:t>
      </w:r>
      <w:r>
        <w:rPr>
          <w:rFonts w:ascii="Times New Roman" w:hAnsi="Times New Roman" w:cs="Times New Roman"/>
          <w:b/>
          <w:bCs/>
          <w:kern w:val="2"/>
        </w:rPr>
        <w:t xml:space="preserve">                                                      O01</w:t>
      </w:r>
      <w:r>
        <w:rPr>
          <w:rFonts w:ascii="Times New Roman" w:hAnsi="Times New Roman" w:hint="eastAsia"/>
          <w:b/>
          <w:bCs/>
          <w:kern w:val="2"/>
        </w:rPr>
        <w:t>～</w:t>
      </w:r>
      <w:r>
        <w:rPr>
          <w:rFonts w:ascii="Times New Roman" w:hAnsi="Times New Roman" w:cs="Times New Roman"/>
          <w:b/>
          <w:bCs/>
          <w:kern w:val="2"/>
        </w:rPr>
        <w:t>08</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0"/>
        <w:gridCol w:w="1260"/>
        <w:gridCol w:w="180"/>
        <w:gridCol w:w="1980"/>
        <w:gridCol w:w="1296"/>
        <w:gridCol w:w="1701"/>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080" w:type="dxa"/>
            <w:vAlign w:val="center"/>
          </w:tcPr>
          <w:p w:rsidR="00A32067" w:rsidRPr="0002085C" w:rsidRDefault="00A32067" w:rsidP="0002085C">
            <w:pPr>
              <w:jc w:val="center"/>
              <w:rPr>
                <w:kern w:val="0"/>
              </w:rPr>
            </w:pPr>
            <w:r w:rsidRPr="0002085C">
              <w:rPr>
                <w:rFonts w:cs="宋体" w:hint="eastAsia"/>
                <w:kern w:val="0"/>
              </w:rPr>
              <w:t>序号</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1701"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道路检测</w:t>
            </w:r>
          </w:p>
        </w:tc>
        <w:tc>
          <w:tcPr>
            <w:tcW w:w="1080" w:type="dxa"/>
            <w:vMerge w:val="restart"/>
            <w:vAlign w:val="center"/>
          </w:tcPr>
          <w:p w:rsidR="00A32067" w:rsidRPr="0002085C" w:rsidRDefault="00A32067" w:rsidP="0002085C">
            <w:pPr>
              <w:jc w:val="center"/>
              <w:rPr>
                <w:kern w:val="0"/>
              </w:rPr>
            </w:pPr>
            <w:r w:rsidRPr="0002085C">
              <w:rPr>
                <w:kern w:val="0"/>
              </w:rPr>
              <w:t>01</w:t>
            </w:r>
          </w:p>
        </w:tc>
        <w:tc>
          <w:tcPr>
            <w:tcW w:w="1440" w:type="dxa"/>
            <w:gridSpan w:val="2"/>
            <w:vMerge w:val="restart"/>
            <w:vAlign w:val="center"/>
          </w:tcPr>
          <w:p w:rsidR="00A32067" w:rsidRPr="0002085C" w:rsidRDefault="00A32067" w:rsidP="0002085C">
            <w:pPr>
              <w:jc w:val="center"/>
              <w:rPr>
                <w:kern w:val="0"/>
              </w:rPr>
            </w:pPr>
            <w:r w:rsidRPr="0002085C">
              <w:rPr>
                <w:rFonts w:cs="宋体" w:hint="eastAsia"/>
                <w:kern w:val="0"/>
              </w:rPr>
              <w:t>压实度</w:t>
            </w:r>
          </w:p>
        </w:tc>
        <w:tc>
          <w:tcPr>
            <w:tcW w:w="1980" w:type="dxa"/>
            <w:vAlign w:val="center"/>
          </w:tcPr>
          <w:p w:rsidR="00A32067" w:rsidRPr="0002085C" w:rsidRDefault="00A32067" w:rsidP="0002085C">
            <w:pPr>
              <w:jc w:val="center"/>
              <w:rPr>
                <w:kern w:val="0"/>
              </w:rPr>
            </w:pPr>
            <w:r w:rsidRPr="0002085C">
              <w:rPr>
                <w:rFonts w:cs="宋体" w:hint="eastAsia"/>
                <w:kern w:val="0"/>
              </w:rPr>
              <w:t>灌砂法</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点</w:t>
            </w:r>
          </w:p>
        </w:tc>
        <w:tc>
          <w:tcPr>
            <w:tcW w:w="1701" w:type="dxa"/>
            <w:vAlign w:val="center"/>
          </w:tcPr>
          <w:p w:rsidR="00A32067" w:rsidRPr="0002085C" w:rsidRDefault="00A32067" w:rsidP="0002085C">
            <w:pPr>
              <w:jc w:val="center"/>
              <w:rPr>
                <w:kern w:val="0"/>
              </w:rPr>
            </w:pPr>
            <w:r w:rsidRPr="0002085C">
              <w:rPr>
                <w:kern w:val="0"/>
              </w:rPr>
              <w:t>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gridSpan w:val="2"/>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环刀法</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440" w:type="dxa"/>
            <w:gridSpan w:val="2"/>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核子密度仪</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02</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回弹弯沉</w:t>
            </w:r>
          </w:p>
        </w:tc>
        <w:tc>
          <w:tcPr>
            <w:tcW w:w="1296" w:type="dxa"/>
            <w:vAlign w:val="center"/>
          </w:tcPr>
          <w:p w:rsidR="00A32067" w:rsidRPr="0002085C" w:rsidRDefault="00A32067" w:rsidP="0002085C">
            <w:pPr>
              <w:jc w:val="center"/>
              <w:rPr>
                <w:kern w:val="0"/>
              </w:rPr>
            </w:pPr>
            <w:r w:rsidRPr="0002085C">
              <w:rPr>
                <w:rFonts w:cs="宋体" w:hint="eastAsia"/>
                <w:kern w:val="0"/>
              </w:rPr>
              <w:t>公里</w:t>
            </w:r>
            <w:r w:rsidRPr="0002085C">
              <w:rPr>
                <w:kern w:val="0"/>
              </w:rPr>
              <w:t>/</w:t>
            </w:r>
            <w:r w:rsidRPr="0002085C">
              <w:rPr>
                <w:rFonts w:cs="宋体" w:hint="eastAsia"/>
                <w:kern w:val="0"/>
              </w:rPr>
              <w:t>车道</w:t>
            </w:r>
          </w:p>
        </w:tc>
        <w:tc>
          <w:tcPr>
            <w:tcW w:w="1701" w:type="dxa"/>
            <w:vAlign w:val="center"/>
          </w:tcPr>
          <w:p w:rsidR="00A32067" w:rsidRPr="0002085C" w:rsidRDefault="00A32067" w:rsidP="0002085C">
            <w:pPr>
              <w:jc w:val="center"/>
              <w:rPr>
                <w:kern w:val="0"/>
              </w:rPr>
            </w:pPr>
            <w:r w:rsidRPr="0002085C">
              <w:rPr>
                <w:kern w:val="0"/>
              </w:rPr>
              <w:t>210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03</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回弹模量</w:t>
            </w:r>
          </w:p>
          <w:p w:rsidR="00A32067" w:rsidRPr="0002085C" w:rsidRDefault="00A32067" w:rsidP="0002085C">
            <w:pPr>
              <w:jc w:val="center"/>
              <w:rPr>
                <w:kern w:val="0"/>
              </w:rPr>
            </w:pPr>
            <w:r w:rsidRPr="0002085C">
              <w:rPr>
                <w:rFonts w:cs="宋体" w:hint="eastAsia"/>
                <w:kern w:val="0"/>
              </w:rPr>
              <w:t>野外承载比</w:t>
            </w:r>
          </w:p>
          <w:p w:rsidR="00A32067" w:rsidRPr="0002085C" w:rsidRDefault="00A32067" w:rsidP="0002085C">
            <w:pPr>
              <w:jc w:val="center"/>
              <w:rPr>
                <w:kern w:val="0"/>
              </w:rPr>
            </w:pPr>
            <w:r w:rsidRPr="0002085C">
              <w:rPr>
                <w:rFonts w:cs="宋体" w:hint="eastAsia"/>
                <w:kern w:val="0"/>
              </w:rPr>
              <w:t>动态弯沉</w:t>
            </w:r>
          </w:p>
        </w:tc>
        <w:tc>
          <w:tcPr>
            <w:tcW w:w="1296" w:type="dxa"/>
            <w:vAlign w:val="center"/>
          </w:tcPr>
          <w:p w:rsidR="00A32067" w:rsidRPr="0002085C" w:rsidRDefault="00A32067" w:rsidP="0002085C">
            <w:pPr>
              <w:jc w:val="center"/>
              <w:rPr>
                <w:kern w:val="0"/>
              </w:rPr>
            </w:pPr>
            <w:r w:rsidRPr="0002085C">
              <w:rPr>
                <w:rFonts w:cs="宋体" w:hint="eastAsia"/>
                <w:kern w:val="0"/>
              </w:rPr>
              <w:t>点</w:t>
            </w:r>
            <w:r w:rsidRPr="0002085C">
              <w:rPr>
                <w:kern w:val="0"/>
              </w:rPr>
              <w:t>/</w:t>
            </w: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110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04</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厚度（雷达测厚仪测）</w:t>
            </w:r>
          </w:p>
        </w:tc>
        <w:tc>
          <w:tcPr>
            <w:tcW w:w="1296" w:type="dxa"/>
            <w:vAlign w:val="center"/>
          </w:tcPr>
          <w:p w:rsidR="00A32067" w:rsidRPr="0002085C" w:rsidRDefault="00A32067" w:rsidP="0002085C">
            <w:pPr>
              <w:jc w:val="center"/>
              <w:rPr>
                <w:kern w:val="0"/>
              </w:rPr>
            </w:pPr>
            <w:r w:rsidRPr="0002085C">
              <w:rPr>
                <w:rFonts w:cs="宋体" w:hint="eastAsia"/>
                <w:kern w:val="0"/>
              </w:rPr>
              <w:t>公里</w:t>
            </w:r>
            <w:r w:rsidRPr="0002085C">
              <w:rPr>
                <w:kern w:val="0"/>
              </w:rPr>
              <w:t>/</w:t>
            </w:r>
            <w:r w:rsidRPr="0002085C">
              <w:rPr>
                <w:rFonts w:cs="宋体" w:hint="eastAsia"/>
                <w:kern w:val="0"/>
              </w:rPr>
              <w:t>车道</w:t>
            </w:r>
          </w:p>
        </w:tc>
        <w:tc>
          <w:tcPr>
            <w:tcW w:w="1701" w:type="dxa"/>
            <w:vAlign w:val="center"/>
          </w:tcPr>
          <w:p w:rsidR="00A32067" w:rsidRPr="0002085C" w:rsidRDefault="00A32067" w:rsidP="0002085C">
            <w:pPr>
              <w:jc w:val="center"/>
              <w:rPr>
                <w:kern w:val="0"/>
              </w:rPr>
            </w:pPr>
            <w:r w:rsidRPr="0002085C">
              <w:rPr>
                <w:kern w:val="0"/>
              </w:rPr>
              <w:t>260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05</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摩擦系数</w:t>
            </w:r>
          </w:p>
          <w:p w:rsidR="00A32067" w:rsidRPr="0002085C" w:rsidRDefault="00A32067" w:rsidP="0002085C">
            <w:pPr>
              <w:jc w:val="center"/>
              <w:rPr>
                <w:kern w:val="0"/>
              </w:rPr>
            </w:pPr>
            <w:r w:rsidRPr="0002085C">
              <w:rPr>
                <w:rFonts w:cs="宋体" w:hint="eastAsia"/>
                <w:kern w:val="0"/>
              </w:rPr>
              <w:t>纹理深度</w:t>
            </w:r>
          </w:p>
        </w:tc>
        <w:tc>
          <w:tcPr>
            <w:tcW w:w="1296" w:type="dxa"/>
            <w:vAlign w:val="center"/>
          </w:tcPr>
          <w:p w:rsidR="00A32067" w:rsidRPr="0002085C" w:rsidRDefault="00A32067" w:rsidP="0002085C">
            <w:pPr>
              <w:jc w:val="center"/>
              <w:rPr>
                <w:kern w:val="0"/>
              </w:rPr>
            </w:pPr>
            <w:r w:rsidRPr="0002085C">
              <w:rPr>
                <w:rFonts w:cs="宋体" w:hint="eastAsia"/>
                <w:kern w:val="0"/>
              </w:rPr>
              <w:t>点</w:t>
            </w:r>
            <w:r w:rsidRPr="0002085C">
              <w:rPr>
                <w:kern w:val="0"/>
              </w:rPr>
              <w:t>/</w:t>
            </w:r>
            <w:r w:rsidRPr="0002085C">
              <w:rPr>
                <w:rFonts w:cs="宋体" w:hint="eastAsia"/>
                <w:kern w:val="0"/>
              </w:rPr>
              <w:t>项</w:t>
            </w:r>
          </w:p>
        </w:tc>
        <w:tc>
          <w:tcPr>
            <w:tcW w:w="1701" w:type="dxa"/>
            <w:vAlign w:val="center"/>
          </w:tcPr>
          <w:p w:rsidR="00A32067" w:rsidRPr="0002085C" w:rsidRDefault="00A32067" w:rsidP="0002085C">
            <w:pPr>
              <w:jc w:val="center"/>
              <w:rPr>
                <w:kern w:val="0"/>
              </w:rPr>
            </w:pPr>
            <w:r w:rsidRPr="0002085C">
              <w:rPr>
                <w:kern w:val="0"/>
              </w:rPr>
              <w:t>25</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restart"/>
            <w:vAlign w:val="center"/>
          </w:tcPr>
          <w:p w:rsidR="00A32067" w:rsidRPr="0002085C" w:rsidRDefault="00A32067" w:rsidP="0002085C">
            <w:pPr>
              <w:jc w:val="center"/>
              <w:rPr>
                <w:kern w:val="0"/>
              </w:rPr>
            </w:pPr>
            <w:r w:rsidRPr="0002085C">
              <w:rPr>
                <w:kern w:val="0"/>
              </w:rPr>
              <w:t>06</w:t>
            </w: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平整度</w:t>
            </w:r>
          </w:p>
        </w:tc>
        <w:tc>
          <w:tcPr>
            <w:tcW w:w="2160" w:type="dxa"/>
            <w:gridSpan w:val="2"/>
            <w:vAlign w:val="center"/>
          </w:tcPr>
          <w:p w:rsidR="00A32067" w:rsidRPr="0002085C" w:rsidRDefault="00A32067" w:rsidP="0002085C">
            <w:pPr>
              <w:jc w:val="center"/>
              <w:rPr>
                <w:kern w:val="0"/>
              </w:rPr>
            </w:pPr>
            <w:r w:rsidRPr="0002085C">
              <w:rPr>
                <w:rFonts w:cs="宋体" w:hint="eastAsia"/>
                <w:kern w:val="0"/>
              </w:rPr>
              <w:t>颠簸仪</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公里</w:t>
            </w:r>
            <w:r w:rsidRPr="0002085C">
              <w:rPr>
                <w:kern w:val="0"/>
              </w:rPr>
              <w:t>/</w:t>
            </w:r>
            <w:r w:rsidRPr="0002085C">
              <w:rPr>
                <w:rFonts w:cs="宋体" w:hint="eastAsia"/>
                <w:kern w:val="0"/>
              </w:rPr>
              <w:t>车道</w:t>
            </w:r>
          </w:p>
        </w:tc>
        <w:tc>
          <w:tcPr>
            <w:tcW w:w="1701"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2160" w:type="dxa"/>
            <w:gridSpan w:val="2"/>
            <w:vAlign w:val="center"/>
          </w:tcPr>
          <w:p w:rsidR="00A32067" w:rsidRPr="0002085C" w:rsidRDefault="00A32067" w:rsidP="0002085C">
            <w:pPr>
              <w:jc w:val="center"/>
              <w:rPr>
                <w:kern w:val="0"/>
              </w:rPr>
            </w:pPr>
            <w:r w:rsidRPr="0002085C">
              <w:rPr>
                <w:rFonts w:cs="宋体" w:hint="eastAsia"/>
                <w:kern w:val="0"/>
              </w:rPr>
              <w:t>连续式平整度仪</w:t>
            </w:r>
          </w:p>
        </w:tc>
        <w:tc>
          <w:tcPr>
            <w:tcW w:w="1296" w:type="dxa"/>
            <w:vMerge/>
            <w:vAlign w:val="center"/>
          </w:tcPr>
          <w:p w:rsidR="00A32067" w:rsidRPr="0002085C" w:rsidRDefault="00A32067" w:rsidP="0002085C">
            <w:pPr>
              <w:jc w:val="center"/>
              <w:rPr>
                <w:kern w:val="0"/>
              </w:rPr>
            </w:pPr>
          </w:p>
        </w:tc>
        <w:tc>
          <w:tcPr>
            <w:tcW w:w="1701" w:type="dxa"/>
            <w:vAlign w:val="center"/>
          </w:tcPr>
          <w:p w:rsidR="00A32067" w:rsidRPr="0002085C" w:rsidRDefault="00A32067" w:rsidP="0002085C">
            <w:pPr>
              <w:jc w:val="center"/>
              <w:rPr>
                <w:kern w:val="0"/>
              </w:rPr>
            </w:pPr>
            <w:r w:rsidRPr="0002085C">
              <w:rPr>
                <w:kern w:val="0"/>
              </w:rPr>
              <w:t>180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07</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沥青砼路面钻芯</w:t>
            </w:r>
          </w:p>
        </w:tc>
        <w:tc>
          <w:tcPr>
            <w:tcW w:w="1296" w:type="dxa"/>
            <w:vAlign w:val="center"/>
          </w:tcPr>
          <w:p w:rsidR="00A32067" w:rsidRPr="0002085C" w:rsidRDefault="00A32067" w:rsidP="0002085C">
            <w:pPr>
              <w:jc w:val="center"/>
              <w:rPr>
                <w:kern w:val="0"/>
              </w:rPr>
            </w:pPr>
            <w:r w:rsidRPr="0002085C">
              <w:rPr>
                <w:rFonts w:cs="宋体" w:hint="eastAsia"/>
                <w:kern w:val="0"/>
              </w:rPr>
              <w:t>个</w:t>
            </w:r>
          </w:p>
        </w:tc>
        <w:tc>
          <w:tcPr>
            <w:tcW w:w="1701"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080" w:type="dxa"/>
            <w:vAlign w:val="center"/>
          </w:tcPr>
          <w:p w:rsidR="00A32067" w:rsidRPr="0002085C" w:rsidRDefault="00A32067" w:rsidP="0002085C">
            <w:pPr>
              <w:jc w:val="center"/>
              <w:rPr>
                <w:kern w:val="0"/>
              </w:rPr>
            </w:pPr>
            <w:r w:rsidRPr="0002085C">
              <w:rPr>
                <w:kern w:val="0"/>
              </w:rPr>
              <w:t>08</w:t>
            </w:r>
          </w:p>
        </w:tc>
        <w:tc>
          <w:tcPr>
            <w:tcW w:w="3420" w:type="dxa"/>
            <w:gridSpan w:val="3"/>
            <w:vAlign w:val="center"/>
          </w:tcPr>
          <w:p w:rsidR="00A32067" w:rsidRPr="0002085C" w:rsidRDefault="00A32067" w:rsidP="0002085C">
            <w:pPr>
              <w:jc w:val="center"/>
              <w:rPr>
                <w:kern w:val="0"/>
              </w:rPr>
            </w:pPr>
            <w:r w:rsidRPr="0002085C">
              <w:rPr>
                <w:rFonts w:cs="宋体" w:hint="eastAsia"/>
                <w:kern w:val="0"/>
              </w:rPr>
              <w:t>注浆材料试验</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1701" w:type="dxa"/>
            <w:vAlign w:val="center"/>
          </w:tcPr>
          <w:p w:rsidR="00A32067" w:rsidRPr="0002085C" w:rsidRDefault="00A32067" w:rsidP="0002085C">
            <w:pPr>
              <w:jc w:val="center"/>
              <w:rPr>
                <w:kern w:val="0"/>
              </w:rPr>
            </w:pPr>
            <w:r w:rsidRPr="0002085C">
              <w:rPr>
                <w:kern w:val="0"/>
              </w:rPr>
              <w:t>300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O</w:t>
      </w:r>
      <w:r>
        <w:rPr>
          <w:rFonts w:ascii="Times New Roman" w:hAnsi="Times New Roman" w:hint="eastAsia"/>
          <w:b/>
          <w:bCs/>
          <w:kern w:val="2"/>
        </w:rPr>
        <w:t>道路工程检测</w:t>
      </w:r>
      <w:r>
        <w:rPr>
          <w:rFonts w:ascii="Times New Roman" w:hAnsi="Times New Roman" w:cs="Times New Roman"/>
          <w:b/>
          <w:bCs/>
          <w:kern w:val="2"/>
        </w:rPr>
        <w:t xml:space="preserve">                                                      O09</w:t>
      </w:r>
      <w:r>
        <w:rPr>
          <w:rFonts w:ascii="Times New Roman" w:hAnsi="Times New Roman" w:hint="eastAsia"/>
          <w:b/>
          <w:bCs/>
          <w:kern w:val="2"/>
        </w:rPr>
        <w:t>～</w:t>
      </w:r>
      <w:r>
        <w:rPr>
          <w:rFonts w:ascii="Times New Roman" w:hAnsi="Times New Roman" w:cs="Times New Roman"/>
          <w:b/>
          <w:bCs/>
          <w:kern w:val="2"/>
        </w:rPr>
        <w:t>21</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3240"/>
        <w:gridCol w:w="1296"/>
        <w:gridCol w:w="2066"/>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2066"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桥梁检测</w:t>
            </w:r>
          </w:p>
        </w:tc>
        <w:tc>
          <w:tcPr>
            <w:tcW w:w="1260" w:type="dxa"/>
            <w:vAlign w:val="center"/>
          </w:tcPr>
          <w:p w:rsidR="00A32067" w:rsidRPr="0002085C" w:rsidRDefault="00A32067" w:rsidP="0002085C">
            <w:pPr>
              <w:jc w:val="center"/>
              <w:rPr>
                <w:kern w:val="0"/>
              </w:rPr>
            </w:pPr>
            <w:r w:rsidRPr="0002085C">
              <w:rPr>
                <w:kern w:val="0"/>
              </w:rPr>
              <w:t>09</w:t>
            </w:r>
          </w:p>
        </w:tc>
        <w:tc>
          <w:tcPr>
            <w:tcW w:w="3240" w:type="dxa"/>
            <w:vAlign w:val="center"/>
          </w:tcPr>
          <w:p w:rsidR="00A32067" w:rsidRPr="0002085C" w:rsidRDefault="00A32067" w:rsidP="0002085C">
            <w:pPr>
              <w:jc w:val="center"/>
              <w:rPr>
                <w:kern w:val="0"/>
              </w:rPr>
            </w:pPr>
            <w:r w:rsidRPr="0002085C">
              <w:rPr>
                <w:rFonts w:cs="宋体" w:hint="eastAsia"/>
                <w:kern w:val="0"/>
              </w:rPr>
              <w:t>高分子防水卷材检测</w:t>
            </w:r>
          </w:p>
        </w:tc>
        <w:tc>
          <w:tcPr>
            <w:tcW w:w="1296" w:type="dxa"/>
            <w:vAlign w:val="center"/>
          </w:tcPr>
          <w:p w:rsidR="00A32067" w:rsidRPr="0002085C" w:rsidRDefault="00A32067" w:rsidP="0002085C">
            <w:pPr>
              <w:jc w:val="center"/>
              <w:rPr>
                <w:kern w:val="0"/>
              </w:rPr>
            </w:pPr>
            <w:r w:rsidRPr="0002085C">
              <w:rPr>
                <w:rFonts w:cs="宋体" w:hint="eastAsia"/>
                <w:kern w:val="0"/>
              </w:rPr>
              <w:t>㎡</w:t>
            </w:r>
          </w:p>
        </w:tc>
        <w:tc>
          <w:tcPr>
            <w:tcW w:w="2066"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10</w:t>
            </w:r>
          </w:p>
        </w:tc>
        <w:tc>
          <w:tcPr>
            <w:tcW w:w="3240" w:type="dxa"/>
            <w:vAlign w:val="center"/>
          </w:tcPr>
          <w:p w:rsidR="00A32067" w:rsidRPr="0002085C" w:rsidRDefault="00A32067" w:rsidP="0002085C">
            <w:pPr>
              <w:jc w:val="center"/>
              <w:rPr>
                <w:kern w:val="0"/>
              </w:rPr>
            </w:pPr>
            <w:r w:rsidRPr="0002085C">
              <w:rPr>
                <w:rFonts w:cs="宋体" w:hint="eastAsia"/>
                <w:kern w:val="0"/>
              </w:rPr>
              <w:t>氯丁胶乳沥青水涤料试验</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2066" w:type="dxa"/>
            <w:vAlign w:val="center"/>
          </w:tcPr>
          <w:p w:rsidR="00A32067" w:rsidRPr="0002085C" w:rsidRDefault="00A32067" w:rsidP="0002085C">
            <w:pPr>
              <w:jc w:val="center"/>
              <w:rPr>
                <w:kern w:val="0"/>
              </w:rPr>
            </w:pPr>
            <w:r w:rsidRPr="0002085C">
              <w:rPr>
                <w:kern w:val="0"/>
              </w:rPr>
              <w:t>250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11</w:t>
            </w:r>
          </w:p>
        </w:tc>
        <w:tc>
          <w:tcPr>
            <w:tcW w:w="3240" w:type="dxa"/>
            <w:vAlign w:val="center"/>
          </w:tcPr>
          <w:p w:rsidR="00A32067" w:rsidRPr="0002085C" w:rsidRDefault="00A32067" w:rsidP="0002085C">
            <w:pPr>
              <w:jc w:val="center"/>
              <w:rPr>
                <w:kern w:val="0"/>
              </w:rPr>
            </w:pPr>
            <w:r w:rsidRPr="0002085C">
              <w:rPr>
                <w:rFonts w:cs="宋体" w:hint="eastAsia"/>
                <w:kern w:val="0"/>
              </w:rPr>
              <w:t>土工织物物理特性检测</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400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12</w:t>
            </w:r>
          </w:p>
        </w:tc>
        <w:tc>
          <w:tcPr>
            <w:tcW w:w="3240" w:type="dxa"/>
            <w:vAlign w:val="center"/>
          </w:tcPr>
          <w:p w:rsidR="00A32067" w:rsidRPr="0002085C" w:rsidRDefault="00A32067" w:rsidP="0002085C">
            <w:pPr>
              <w:jc w:val="center"/>
              <w:rPr>
                <w:kern w:val="0"/>
              </w:rPr>
            </w:pPr>
            <w:r w:rsidRPr="0002085C">
              <w:rPr>
                <w:rFonts w:cs="宋体" w:hint="eastAsia"/>
                <w:kern w:val="0"/>
              </w:rPr>
              <w:t>土工织物的力学特性测试</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13</w:t>
            </w:r>
          </w:p>
        </w:tc>
        <w:tc>
          <w:tcPr>
            <w:tcW w:w="3240" w:type="dxa"/>
            <w:vAlign w:val="center"/>
          </w:tcPr>
          <w:p w:rsidR="00A32067" w:rsidRPr="0002085C" w:rsidRDefault="00A32067" w:rsidP="0002085C">
            <w:pPr>
              <w:jc w:val="center"/>
              <w:rPr>
                <w:kern w:val="0"/>
              </w:rPr>
            </w:pPr>
            <w:r w:rsidRPr="0002085C">
              <w:rPr>
                <w:rFonts w:cs="宋体" w:hint="eastAsia"/>
                <w:kern w:val="0"/>
              </w:rPr>
              <w:t>土工织物的水力学特性试验</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14</w:t>
            </w:r>
          </w:p>
        </w:tc>
        <w:tc>
          <w:tcPr>
            <w:tcW w:w="3240" w:type="dxa"/>
            <w:vAlign w:val="center"/>
          </w:tcPr>
          <w:p w:rsidR="00A32067" w:rsidRPr="0002085C" w:rsidRDefault="00A32067" w:rsidP="0002085C">
            <w:pPr>
              <w:jc w:val="center"/>
              <w:rPr>
                <w:kern w:val="0"/>
              </w:rPr>
            </w:pPr>
            <w:r w:rsidRPr="0002085C">
              <w:rPr>
                <w:rFonts w:cs="宋体" w:hint="eastAsia"/>
                <w:kern w:val="0"/>
              </w:rPr>
              <w:t>防水混凝土抗渗性能试验</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800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15</w:t>
            </w:r>
          </w:p>
        </w:tc>
        <w:tc>
          <w:tcPr>
            <w:tcW w:w="3240" w:type="dxa"/>
            <w:vAlign w:val="center"/>
          </w:tcPr>
          <w:p w:rsidR="00A32067" w:rsidRPr="0002085C" w:rsidRDefault="00A32067" w:rsidP="0002085C">
            <w:pPr>
              <w:jc w:val="center"/>
              <w:rPr>
                <w:kern w:val="0"/>
              </w:rPr>
            </w:pPr>
            <w:r w:rsidRPr="0002085C">
              <w:rPr>
                <w:rFonts w:cs="宋体" w:hint="eastAsia"/>
                <w:kern w:val="0"/>
              </w:rPr>
              <w:t>钢支撑施工质量检测</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16</w:t>
            </w:r>
          </w:p>
        </w:tc>
        <w:tc>
          <w:tcPr>
            <w:tcW w:w="3240" w:type="dxa"/>
            <w:vAlign w:val="center"/>
          </w:tcPr>
          <w:p w:rsidR="00A32067" w:rsidRPr="0002085C" w:rsidRDefault="00A32067" w:rsidP="0002085C">
            <w:pPr>
              <w:jc w:val="center"/>
              <w:rPr>
                <w:kern w:val="0"/>
              </w:rPr>
            </w:pPr>
            <w:r w:rsidRPr="0002085C">
              <w:rPr>
                <w:rFonts w:cs="宋体" w:hint="eastAsia"/>
                <w:kern w:val="0"/>
              </w:rPr>
              <w:t>锚杆质量与安装尺寸检查</w:t>
            </w:r>
          </w:p>
          <w:p w:rsidR="00A32067" w:rsidRPr="0002085C" w:rsidRDefault="00A32067" w:rsidP="0002085C">
            <w:pPr>
              <w:jc w:val="center"/>
              <w:rPr>
                <w:kern w:val="0"/>
              </w:rPr>
            </w:pPr>
            <w:r w:rsidRPr="0002085C">
              <w:rPr>
                <w:rFonts w:cs="宋体" w:hint="eastAsia"/>
                <w:kern w:val="0"/>
              </w:rPr>
              <w:t>砂浆锚杆砂浆注满度检测</w:t>
            </w:r>
          </w:p>
        </w:tc>
        <w:tc>
          <w:tcPr>
            <w:tcW w:w="1296" w:type="dxa"/>
            <w:vAlign w:val="center"/>
          </w:tcPr>
          <w:p w:rsidR="00A32067" w:rsidRPr="0002085C" w:rsidRDefault="00A32067" w:rsidP="0002085C">
            <w:pPr>
              <w:jc w:val="center"/>
              <w:rPr>
                <w:kern w:val="0"/>
              </w:rPr>
            </w:pPr>
            <w:r w:rsidRPr="0002085C">
              <w:rPr>
                <w:rFonts w:cs="宋体" w:hint="eastAsia"/>
                <w:kern w:val="0"/>
              </w:rPr>
              <w:t>项</w:t>
            </w:r>
          </w:p>
        </w:tc>
        <w:tc>
          <w:tcPr>
            <w:tcW w:w="2066" w:type="dxa"/>
            <w:vAlign w:val="center"/>
          </w:tcPr>
          <w:p w:rsidR="00A32067" w:rsidRPr="0002085C" w:rsidRDefault="00A32067" w:rsidP="0002085C">
            <w:pPr>
              <w:jc w:val="center"/>
              <w:rPr>
                <w:kern w:val="0"/>
              </w:rPr>
            </w:pPr>
            <w:r w:rsidRPr="0002085C">
              <w:rPr>
                <w:kern w:val="0"/>
              </w:rPr>
              <w:t>80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17</w:t>
            </w:r>
          </w:p>
        </w:tc>
        <w:tc>
          <w:tcPr>
            <w:tcW w:w="3240" w:type="dxa"/>
            <w:vAlign w:val="center"/>
          </w:tcPr>
          <w:p w:rsidR="00A32067" w:rsidRPr="0002085C" w:rsidRDefault="00A32067" w:rsidP="0002085C">
            <w:pPr>
              <w:jc w:val="center"/>
              <w:rPr>
                <w:kern w:val="0"/>
              </w:rPr>
            </w:pPr>
            <w:r w:rsidRPr="0002085C">
              <w:rPr>
                <w:rFonts w:cs="宋体" w:hint="eastAsia"/>
                <w:kern w:val="0"/>
              </w:rPr>
              <w:t>锚杆拉拔力测试</w:t>
            </w:r>
          </w:p>
        </w:tc>
        <w:tc>
          <w:tcPr>
            <w:tcW w:w="1296" w:type="dxa"/>
            <w:vAlign w:val="center"/>
          </w:tcPr>
          <w:p w:rsidR="00A32067" w:rsidRPr="0002085C" w:rsidRDefault="00A32067" w:rsidP="0002085C">
            <w:pPr>
              <w:jc w:val="center"/>
              <w:rPr>
                <w:kern w:val="0"/>
              </w:rPr>
            </w:pPr>
            <w:r w:rsidRPr="0002085C">
              <w:rPr>
                <w:rFonts w:cs="宋体" w:hint="eastAsia"/>
                <w:kern w:val="0"/>
              </w:rPr>
              <w:t>样</w:t>
            </w:r>
          </w:p>
        </w:tc>
        <w:tc>
          <w:tcPr>
            <w:tcW w:w="2066" w:type="dxa"/>
            <w:vAlign w:val="center"/>
          </w:tcPr>
          <w:p w:rsidR="00A32067" w:rsidRPr="0002085C" w:rsidRDefault="00A32067" w:rsidP="0002085C">
            <w:pPr>
              <w:jc w:val="center"/>
              <w:rPr>
                <w:kern w:val="0"/>
              </w:rPr>
            </w:pPr>
            <w:r w:rsidRPr="0002085C">
              <w:rPr>
                <w:kern w:val="0"/>
              </w:rPr>
              <w:t>150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18</w:t>
            </w:r>
          </w:p>
        </w:tc>
        <w:tc>
          <w:tcPr>
            <w:tcW w:w="3240" w:type="dxa"/>
            <w:vAlign w:val="center"/>
          </w:tcPr>
          <w:p w:rsidR="00A32067" w:rsidRPr="0002085C" w:rsidRDefault="00A32067" w:rsidP="0002085C">
            <w:pPr>
              <w:jc w:val="center"/>
              <w:rPr>
                <w:kern w:val="0"/>
              </w:rPr>
            </w:pPr>
            <w:r w:rsidRPr="0002085C">
              <w:rPr>
                <w:rFonts w:cs="宋体" w:hint="eastAsia"/>
                <w:kern w:val="0"/>
              </w:rPr>
              <w:t>开挖质量检测</w:t>
            </w:r>
          </w:p>
          <w:p w:rsidR="00A32067" w:rsidRPr="0002085C" w:rsidRDefault="00A32067" w:rsidP="0002085C">
            <w:pPr>
              <w:jc w:val="center"/>
              <w:rPr>
                <w:kern w:val="0"/>
              </w:rPr>
            </w:pPr>
            <w:r w:rsidRPr="0002085C">
              <w:rPr>
                <w:rFonts w:cs="宋体" w:hint="eastAsia"/>
                <w:kern w:val="0"/>
              </w:rPr>
              <w:t>端锚杆施工质量无损检测</w:t>
            </w:r>
          </w:p>
          <w:p w:rsidR="00A32067" w:rsidRPr="0002085C" w:rsidRDefault="00A32067" w:rsidP="0002085C">
            <w:pPr>
              <w:jc w:val="center"/>
              <w:rPr>
                <w:kern w:val="0"/>
              </w:rPr>
            </w:pPr>
            <w:r w:rsidRPr="0002085C">
              <w:rPr>
                <w:rFonts w:cs="宋体" w:hint="eastAsia"/>
                <w:kern w:val="0"/>
              </w:rPr>
              <w:t>喷射混凝土质量检测</w:t>
            </w:r>
          </w:p>
          <w:p w:rsidR="00A32067" w:rsidRPr="0002085C" w:rsidRDefault="00A32067" w:rsidP="0002085C">
            <w:pPr>
              <w:jc w:val="center"/>
              <w:rPr>
                <w:kern w:val="0"/>
              </w:rPr>
            </w:pPr>
            <w:r w:rsidRPr="0002085C">
              <w:rPr>
                <w:rFonts w:cs="宋体" w:hint="eastAsia"/>
                <w:kern w:val="0"/>
              </w:rPr>
              <w:t>排水系统施工质量检测</w:t>
            </w:r>
          </w:p>
        </w:tc>
        <w:tc>
          <w:tcPr>
            <w:tcW w:w="1296" w:type="dxa"/>
            <w:vAlign w:val="center"/>
          </w:tcPr>
          <w:p w:rsidR="00A32067" w:rsidRPr="0002085C" w:rsidRDefault="00A32067" w:rsidP="0002085C">
            <w:pPr>
              <w:jc w:val="center"/>
              <w:rPr>
                <w:kern w:val="0"/>
              </w:rPr>
            </w:pPr>
            <w:r w:rsidRPr="0002085C">
              <w:rPr>
                <w:rFonts w:cs="宋体" w:hint="eastAsia"/>
                <w:kern w:val="0"/>
              </w:rPr>
              <w:t>点</w:t>
            </w:r>
            <w:r w:rsidRPr="0002085C">
              <w:rPr>
                <w:kern w:val="0"/>
              </w:rPr>
              <w:t>/</w:t>
            </w:r>
            <w:r w:rsidRPr="0002085C">
              <w:rPr>
                <w:rFonts w:cs="宋体" w:hint="eastAsia"/>
                <w:kern w:val="0"/>
              </w:rPr>
              <w:t>项</w:t>
            </w:r>
          </w:p>
        </w:tc>
        <w:tc>
          <w:tcPr>
            <w:tcW w:w="2066"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19</w:t>
            </w:r>
          </w:p>
        </w:tc>
        <w:tc>
          <w:tcPr>
            <w:tcW w:w="3240" w:type="dxa"/>
            <w:vAlign w:val="center"/>
          </w:tcPr>
          <w:p w:rsidR="00A32067" w:rsidRPr="0002085C" w:rsidRDefault="00A32067" w:rsidP="0002085C">
            <w:pPr>
              <w:jc w:val="center"/>
              <w:rPr>
                <w:kern w:val="0"/>
              </w:rPr>
            </w:pPr>
            <w:r w:rsidRPr="0002085C">
              <w:rPr>
                <w:rFonts w:cs="宋体" w:hint="eastAsia"/>
                <w:kern w:val="0"/>
              </w:rPr>
              <w:t>防水板施工质量检测与检查</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点</w:t>
            </w:r>
          </w:p>
        </w:tc>
        <w:tc>
          <w:tcPr>
            <w:tcW w:w="2066" w:type="dxa"/>
            <w:vAlign w:val="center"/>
          </w:tcPr>
          <w:p w:rsidR="00A32067" w:rsidRPr="0002085C" w:rsidRDefault="00A32067" w:rsidP="0002085C">
            <w:pPr>
              <w:jc w:val="center"/>
              <w:rPr>
                <w:kern w:val="0"/>
              </w:rPr>
            </w:pPr>
            <w:r w:rsidRPr="0002085C">
              <w:rPr>
                <w:kern w:val="0"/>
              </w:rPr>
              <w:t>230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20</w:t>
            </w:r>
          </w:p>
        </w:tc>
        <w:tc>
          <w:tcPr>
            <w:tcW w:w="3240" w:type="dxa"/>
            <w:vAlign w:val="center"/>
          </w:tcPr>
          <w:p w:rsidR="00A32067" w:rsidRPr="0002085C" w:rsidRDefault="00A32067" w:rsidP="0002085C">
            <w:pPr>
              <w:jc w:val="center"/>
              <w:rPr>
                <w:kern w:val="0"/>
              </w:rPr>
            </w:pPr>
            <w:r w:rsidRPr="0002085C">
              <w:rPr>
                <w:rFonts w:cs="宋体" w:hint="eastAsia"/>
                <w:kern w:val="0"/>
              </w:rPr>
              <w:t>止水带检查</w:t>
            </w:r>
          </w:p>
        </w:tc>
        <w:tc>
          <w:tcPr>
            <w:tcW w:w="1296" w:type="dxa"/>
            <w:vMerge/>
            <w:vAlign w:val="center"/>
          </w:tcPr>
          <w:p w:rsidR="00A32067" w:rsidRPr="0002085C" w:rsidRDefault="00A32067" w:rsidP="0002085C">
            <w:pPr>
              <w:jc w:val="center"/>
              <w:rPr>
                <w:kern w:val="0"/>
              </w:rPr>
            </w:pPr>
          </w:p>
        </w:tc>
        <w:tc>
          <w:tcPr>
            <w:tcW w:w="2066"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21</w:t>
            </w:r>
          </w:p>
        </w:tc>
        <w:tc>
          <w:tcPr>
            <w:tcW w:w="3240" w:type="dxa"/>
            <w:vAlign w:val="center"/>
          </w:tcPr>
          <w:p w:rsidR="00A32067" w:rsidRPr="0002085C" w:rsidRDefault="00A32067" w:rsidP="0002085C">
            <w:pPr>
              <w:jc w:val="center"/>
              <w:rPr>
                <w:kern w:val="0"/>
              </w:rPr>
            </w:pPr>
            <w:r w:rsidRPr="0002085C">
              <w:rPr>
                <w:rFonts w:cs="宋体" w:hint="eastAsia"/>
                <w:kern w:val="0"/>
              </w:rPr>
              <w:t>围岩周边位移量测</w:t>
            </w:r>
          </w:p>
          <w:p w:rsidR="00A32067" w:rsidRPr="0002085C" w:rsidRDefault="00A32067" w:rsidP="0002085C">
            <w:pPr>
              <w:jc w:val="center"/>
              <w:rPr>
                <w:kern w:val="0"/>
              </w:rPr>
            </w:pPr>
            <w:r w:rsidRPr="0002085C">
              <w:rPr>
                <w:rFonts w:cs="宋体" w:hint="eastAsia"/>
                <w:kern w:val="0"/>
              </w:rPr>
              <w:t>拱顶下沉量测</w:t>
            </w:r>
          </w:p>
        </w:tc>
        <w:tc>
          <w:tcPr>
            <w:tcW w:w="1296" w:type="dxa"/>
            <w:vAlign w:val="center"/>
          </w:tcPr>
          <w:p w:rsidR="00A32067" w:rsidRPr="0002085C" w:rsidRDefault="00A32067" w:rsidP="0002085C">
            <w:pPr>
              <w:jc w:val="center"/>
              <w:rPr>
                <w:kern w:val="0"/>
              </w:rPr>
            </w:pPr>
            <w:r w:rsidRPr="0002085C">
              <w:rPr>
                <w:rFonts w:cs="宋体" w:hint="eastAsia"/>
                <w:kern w:val="0"/>
              </w:rPr>
              <w:t>点</w:t>
            </w:r>
            <w:r w:rsidRPr="0002085C">
              <w:rPr>
                <w:kern w:val="0"/>
              </w:rPr>
              <w:t>/</w:t>
            </w:r>
            <w:r w:rsidRPr="0002085C">
              <w:rPr>
                <w:rFonts w:cs="宋体" w:hint="eastAsia"/>
                <w:kern w:val="0"/>
              </w:rPr>
              <w:t>项</w:t>
            </w:r>
          </w:p>
        </w:tc>
        <w:tc>
          <w:tcPr>
            <w:tcW w:w="2066" w:type="dxa"/>
            <w:vAlign w:val="center"/>
          </w:tcPr>
          <w:p w:rsidR="00A32067" w:rsidRPr="0002085C" w:rsidRDefault="00A32067" w:rsidP="0002085C">
            <w:pPr>
              <w:jc w:val="center"/>
              <w:rPr>
                <w:kern w:val="0"/>
              </w:rPr>
            </w:pPr>
            <w:r w:rsidRPr="0002085C">
              <w:rPr>
                <w:kern w:val="0"/>
              </w:rPr>
              <w:t>120</w:t>
            </w:r>
          </w:p>
        </w:tc>
      </w:tr>
    </w:tbl>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widowControl/>
        <w:adjustRightInd w:val="0"/>
        <w:snapToGrid w:val="0"/>
        <w:spacing w:after="200"/>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O</w:t>
      </w:r>
      <w:r>
        <w:rPr>
          <w:rFonts w:ascii="Times New Roman" w:hAnsi="Times New Roman" w:hint="eastAsia"/>
          <w:b/>
          <w:bCs/>
          <w:kern w:val="2"/>
        </w:rPr>
        <w:t>道路工程检测</w:t>
      </w:r>
      <w:r>
        <w:rPr>
          <w:rFonts w:ascii="Times New Roman" w:hAnsi="Times New Roman" w:cs="Times New Roman"/>
          <w:b/>
          <w:bCs/>
          <w:kern w:val="2"/>
        </w:rPr>
        <w:t xml:space="preserve">                                                    O22</w:t>
      </w:r>
      <w:r>
        <w:rPr>
          <w:rFonts w:ascii="Times New Roman" w:hAnsi="Times New Roman" w:hint="eastAsia"/>
          <w:b/>
          <w:bCs/>
          <w:kern w:val="2"/>
        </w:rPr>
        <w:t>～</w:t>
      </w:r>
      <w:r>
        <w:rPr>
          <w:rFonts w:ascii="Times New Roman" w:hAnsi="Times New Roman" w:cs="Times New Roman"/>
          <w:b/>
          <w:bCs/>
          <w:kern w:val="2"/>
        </w:rPr>
        <w:t>29</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260"/>
        <w:gridCol w:w="1980"/>
        <w:gridCol w:w="1296"/>
        <w:gridCol w:w="2085"/>
      </w:tblGrid>
      <w:tr w:rsidR="00A32067">
        <w:trPr>
          <w:trHeight w:val="851"/>
          <w:jc w:val="center"/>
        </w:trPr>
        <w:tc>
          <w:tcPr>
            <w:tcW w:w="1008" w:type="dxa"/>
            <w:vAlign w:val="center"/>
          </w:tcPr>
          <w:p w:rsidR="00A32067" w:rsidRPr="0002085C" w:rsidRDefault="00A32067" w:rsidP="0002085C">
            <w:pPr>
              <w:jc w:val="center"/>
              <w:rPr>
                <w:kern w:val="0"/>
              </w:rPr>
            </w:pPr>
            <w:r w:rsidRPr="0002085C">
              <w:rPr>
                <w:rFonts w:cs="宋体" w:hint="eastAsia"/>
                <w:kern w:val="0"/>
              </w:rPr>
              <w:t>类别</w:t>
            </w:r>
          </w:p>
        </w:tc>
        <w:tc>
          <w:tcPr>
            <w:tcW w:w="1260" w:type="dxa"/>
            <w:vAlign w:val="center"/>
          </w:tcPr>
          <w:p w:rsidR="00A32067" w:rsidRPr="0002085C" w:rsidRDefault="00A32067" w:rsidP="0002085C">
            <w:pPr>
              <w:jc w:val="center"/>
              <w:rPr>
                <w:kern w:val="0"/>
              </w:rPr>
            </w:pPr>
            <w:r w:rsidRPr="0002085C">
              <w:rPr>
                <w:rFonts w:cs="宋体" w:hint="eastAsia"/>
                <w:kern w:val="0"/>
              </w:rPr>
              <w:t>序号</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测试项目</w:t>
            </w:r>
          </w:p>
        </w:tc>
        <w:tc>
          <w:tcPr>
            <w:tcW w:w="1296" w:type="dxa"/>
            <w:vAlign w:val="center"/>
          </w:tcPr>
          <w:p w:rsidR="00A32067" w:rsidRPr="0002085C" w:rsidRDefault="00A32067" w:rsidP="0002085C">
            <w:pPr>
              <w:jc w:val="center"/>
              <w:rPr>
                <w:kern w:val="0"/>
              </w:rPr>
            </w:pPr>
            <w:r w:rsidRPr="0002085C">
              <w:rPr>
                <w:rFonts w:cs="宋体" w:hint="eastAsia"/>
                <w:kern w:val="0"/>
              </w:rPr>
              <w:t>单位</w:t>
            </w:r>
          </w:p>
        </w:tc>
        <w:tc>
          <w:tcPr>
            <w:tcW w:w="2085" w:type="dxa"/>
            <w:vAlign w:val="center"/>
          </w:tcPr>
          <w:p w:rsidR="00A32067" w:rsidRPr="0002085C" w:rsidRDefault="00A32067" w:rsidP="0002085C">
            <w:pPr>
              <w:jc w:val="center"/>
              <w:rPr>
                <w:kern w:val="0"/>
              </w:rPr>
            </w:pPr>
            <w:r w:rsidRPr="0002085C">
              <w:rPr>
                <w:rFonts w:cs="宋体" w:hint="eastAsia"/>
                <w:kern w:val="0"/>
              </w:rPr>
              <w:t>费用（元）</w:t>
            </w:r>
          </w:p>
        </w:tc>
      </w:tr>
      <w:tr w:rsidR="00A32067">
        <w:trPr>
          <w:trHeight w:val="851"/>
          <w:jc w:val="center"/>
        </w:trPr>
        <w:tc>
          <w:tcPr>
            <w:tcW w:w="1008" w:type="dxa"/>
            <w:vMerge w:val="restart"/>
            <w:vAlign w:val="center"/>
          </w:tcPr>
          <w:p w:rsidR="00A32067" w:rsidRPr="0002085C" w:rsidRDefault="00A32067" w:rsidP="0002085C">
            <w:pPr>
              <w:jc w:val="center"/>
              <w:rPr>
                <w:kern w:val="0"/>
              </w:rPr>
            </w:pPr>
            <w:r w:rsidRPr="0002085C">
              <w:rPr>
                <w:rFonts w:cs="宋体" w:hint="eastAsia"/>
                <w:kern w:val="0"/>
              </w:rPr>
              <w:t>隧道检测</w:t>
            </w:r>
          </w:p>
        </w:tc>
        <w:tc>
          <w:tcPr>
            <w:tcW w:w="1260" w:type="dxa"/>
            <w:vAlign w:val="center"/>
          </w:tcPr>
          <w:p w:rsidR="00A32067" w:rsidRPr="0002085C" w:rsidRDefault="00A32067" w:rsidP="0002085C">
            <w:pPr>
              <w:jc w:val="center"/>
              <w:rPr>
                <w:kern w:val="0"/>
              </w:rPr>
            </w:pPr>
            <w:r w:rsidRPr="0002085C">
              <w:rPr>
                <w:kern w:val="0"/>
              </w:rPr>
              <w:t>22</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地表下沉量测</w:t>
            </w:r>
          </w:p>
          <w:p w:rsidR="00A32067" w:rsidRPr="0002085C" w:rsidRDefault="00A32067" w:rsidP="0002085C">
            <w:pPr>
              <w:jc w:val="center"/>
              <w:rPr>
                <w:kern w:val="0"/>
              </w:rPr>
            </w:pPr>
            <w:r w:rsidRPr="0002085C">
              <w:rPr>
                <w:rFonts w:cs="宋体" w:hint="eastAsia"/>
                <w:kern w:val="0"/>
              </w:rPr>
              <w:t>围岩内部位移量测</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点</w:t>
            </w:r>
            <w:r w:rsidRPr="0002085C">
              <w:rPr>
                <w:kern w:val="0"/>
              </w:rPr>
              <w:t>/</w:t>
            </w:r>
            <w:r w:rsidRPr="0002085C">
              <w:rPr>
                <w:rFonts w:cs="宋体" w:hint="eastAsia"/>
                <w:kern w:val="0"/>
              </w:rPr>
              <w:t>项</w:t>
            </w:r>
          </w:p>
        </w:tc>
        <w:tc>
          <w:tcPr>
            <w:tcW w:w="2085" w:type="dxa"/>
            <w:vAlign w:val="center"/>
          </w:tcPr>
          <w:p w:rsidR="00A32067" w:rsidRPr="0002085C" w:rsidRDefault="00A32067" w:rsidP="0002085C">
            <w:pPr>
              <w:jc w:val="center"/>
              <w:rPr>
                <w:kern w:val="0"/>
              </w:rPr>
            </w:pPr>
            <w:r w:rsidRPr="0002085C">
              <w:rPr>
                <w:kern w:val="0"/>
              </w:rPr>
              <w:t>120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23</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锚杆轴力量测</w:t>
            </w:r>
          </w:p>
          <w:p w:rsidR="00A32067" w:rsidRPr="0002085C" w:rsidRDefault="00A32067" w:rsidP="0002085C">
            <w:pPr>
              <w:jc w:val="center"/>
              <w:rPr>
                <w:kern w:val="0"/>
              </w:rPr>
            </w:pPr>
            <w:r w:rsidRPr="0002085C">
              <w:rPr>
                <w:rFonts w:cs="宋体" w:hint="eastAsia"/>
                <w:kern w:val="0"/>
              </w:rPr>
              <w:t>钢支撑压力量测</w:t>
            </w:r>
          </w:p>
          <w:p w:rsidR="00A32067" w:rsidRPr="0002085C" w:rsidRDefault="00A32067" w:rsidP="0002085C">
            <w:pPr>
              <w:jc w:val="center"/>
              <w:rPr>
                <w:kern w:val="0"/>
              </w:rPr>
            </w:pPr>
            <w:r w:rsidRPr="0002085C">
              <w:rPr>
                <w:rFonts w:cs="宋体" w:hint="eastAsia"/>
                <w:kern w:val="0"/>
              </w:rPr>
              <w:t>衬砌应力量测</w:t>
            </w:r>
          </w:p>
        </w:tc>
        <w:tc>
          <w:tcPr>
            <w:tcW w:w="1296" w:type="dxa"/>
            <w:vMerge/>
            <w:vAlign w:val="center"/>
          </w:tcPr>
          <w:p w:rsidR="00A32067" w:rsidRPr="0002085C" w:rsidRDefault="00A32067" w:rsidP="0002085C">
            <w:pPr>
              <w:jc w:val="center"/>
              <w:rPr>
                <w:kern w:val="0"/>
              </w:rPr>
            </w:pPr>
          </w:p>
        </w:tc>
        <w:tc>
          <w:tcPr>
            <w:tcW w:w="2085"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24</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衬砌混凝土施工检查</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w:t>
            </w:r>
          </w:p>
        </w:tc>
        <w:tc>
          <w:tcPr>
            <w:tcW w:w="2085" w:type="dxa"/>
            <w:vMerge w:val="restart"/>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kern w:val="0"/>
              </w:rPr>
              <w:t>25</w:t>
            </w:r>
          </w:p>
        </w:tc>
        <w:tc>
          <w:tcPr>
            <w:tcW w:w="1260" w:type="dxa"/>
            <w:vMerge w:val="restart"/>
            <w:vAlign w:val="center"/>
          </w:tcPr>
          <w:p w:rsidR="00A32067" w:rsidRPr="0002085C" w:rsidRDefault="00A32067" w:rsidP="0002085C">
            <w:pPr>
              <w:jc w:val="center"/>
              <w:rPr>
                <w:kern w:val="0"/>
              </w:rPr>
            </w:pPr>
            <w:r w:rsidRPr="0002085C">
              <w:rPr>
                <w:rFonts w:cs="宋体" w:hint="eastAsia"/>
                <w:kern w:val="0"/>
              </w:rPr>
              <w:t>砼强度检测</w:t>
            </w:r>
          </w:p>
        </w:tc>
        <w:tc>
          <w:tcPr>
            <w:tcW w:w="1980" w:type="dxa"/>
            <w:vAlign w:val="center"/>
          </w:tcPr>
          <w:p w:rsidR="00A32067" w:rsidRPr="0002085C" w:rsidRDefault="00A32067" w:rsidP="0002085C">
            <w:pPr>
              <w:jc w:val="center"/>
              <w:rPr>
                <w:kern w:val="0"/>
              </w:rPr>
            </w:pPr>
            <w:r w:rsidRPr="0002085C">
              <w:rPr>
                <w:rFonts w:cs="宋体" w:hint="eastAsia"/>
                <w:kern w:val="0"/>
              </w:rPr>
              <w:t>回弹法</w:t>
            </w:r>
          </w:p>
        </w:tc>
        <w:tc>
          <w:tcPr>
            <w:tcW w:w="1296" w:type="dxa"/>
            <w:vMerge/>
            <w:vAlign w:val="center"/>
          </w:tcPr>
          <w:p w:rsidR="00A32067" w:rsidRPr="0002085C" w:rsidRDefault="00A32067" w:rsidP="0002085C">
            <w:pPr>
              <w:jc w:val="center"/>
              <w:rPr>
                <w:kern w:val="0"/>
              </w:rPr>
            </w:pPr>
          </w:p>
        </w:tc>
        <w:tc>
          <w:tcPr>
            <w:tcW w:w="2085" w:type="dxa"/>
            <w:vMerge/>
            <w:vAlign w:val="center"/>
          </w:tcPr>
          <w:p w:rsidR="00A32067" w:rsidRPr="0002085C" w:rsidRDefault="00A32067" w:rsidP="0002085C">
            <w:pPr>
              <w:jc w:val="center"/>
              <w:rPr>
                <w:kern w:val="0"/>
              </w:rPr>
            </w:pP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超声法</w:t>
            </w:r>
          </w:p>
        </w:tc>
        <w:tc>
          <w:tcPr>
            <w:tcW w:w="1296" w:type="dxa"/>
            <w:vMerge/>
            <w:vAlign w:val="center"/>
          </w:tcPr>
          <w:p w:rsidR="00A32067" w:rsidRPr="0002085C" w:rsidRDefault="00A32067" w:rsidP="0002085C">
            <w:pPr>
              <w:jc w:val="center"/>
              <w:rPr>
                <w:kern w:val="0"/>
              </w:rPr>
            </w:pPr>
          </w:p>
        </w:tc>
        <w:tc>
          <w:tcPr>
            <w:tcW w:w="2085"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1980" w:type="dxa"/>
            <w:vAlign w:val="center"/>
          </w:tcPr>
          <w:p w:rsidR="00A32067" w:rsidRPr="0002085C" w:rsidRDefault="00A32067" w:rsidP="0002085C">
            <w:pPr>
              <w:jc w:val="center"/>
              <w:rPr>
                <w:kern w:val="0"/>
              </w:rPr>
            </w:pPr>
            <w:r w:rsidRPr="0002085C">
              <w:rPr>
                <w:rFonts w:cs="宋体" w:hint="eastAsia"/>
                <w:kern w:val="0"/>
              </w:rPr>
              <w:t>回弹超声综合法</w:t>
            </w:r>
          </w:p>
        </w:tc>
        <w:tc>
          <w:tcPr>
            <w:tcW w:w="1296" w:type="dxa"/>
            <w:vMerge/>
            <w:vAlign w:val="center"/>
          </w:tcPr>
          <w:p w:rsidR="00A32067" w:rsidRPr="0002085C" w:rsidRDefault="00A32067" w:rsidP="0002085C">
            <w:pPr>
              <w:jc w:val="center"/>
              <w:rPr>
                <w:kern w:val="0"/>
              </w:rPr>
            </w:pPr>
          </w:p>
        </w:tc>
        <w:tc>
          <w:tcPr>
            <w:tcW w:w="2085" w:type="dxa"/>
            <w:vMerge w:val="restart"/>
            <w:vAlign w:val="center"/>
          </w:tcPr>
          <w:p w:rsidR="00A32067" w:rsidRPr="0002085C" w:rsidRDefault="00A32067" w:rsidP="0002085C">
            <w:pPr>
              <w:jc w:val="center"/>
              <w:rPr>
                <w:kern w:val="0"/>
              </w:rPr>
            </w:pPr>
            <w:r w:rsidRPr="0002085C">
              <w:rPr>
                <w:kern w:val="0"/>
              </w:rPr>
              <w:t>300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26</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混凝土裂缝及缺陷检测</w:t>
            </w:r>
          </w:p>
        </w:tc>
        <w:tc>
          <w:tcPr>
            <w:tcW w:w="1296" w:type="dxa"/>
            <w:vMerge/>
            <w:vAlign w:val="center"/>
          </w:tcPr>
          <w:p w:rsidR="00A32067" w:rsidRPr="0002085C" w:rsidRDefault="00A32067" w:rsidP="0002085C">
            <w:pPr>
              <w:jc w:val="center"/>
              <w:rPr>
                <w:kern w:val="0"/>
              </w:rPr>
            </w:pPr>
          </w:p>
        </w:tc>
        <w:tc>
          <w:tcPr>
            <w:tcW w:w="2085" w:type="dxa"/>
            <w:vMerge/>
            <w:vAlign w:val="center"/>
          </w:tcPr>
          <w:p w:rsidR="00A32067" w:rsidRPr="0002085C" w:rsidRDefault="00A32067" w:rsidP="0002085C">
            <w:pPr>
              <w:jc w:val="center"/>
              <w:rPr>
                <w:kern w:val="0"/>
              </w:rPr>
            </w:pP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27</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粉尘浓度静检测</w:t>
            </w:r>
          </w:p>
          <w:p w:rsidR="00A32067" w:rsidRPr="0002085C" w:rsidRDefault="00A32067" w:rsidP="0002085C">
            <w:pPr>
              <w:jc w:val="center"/>
              <w:rPr>
                <w:kern w:val="0"/>
              </w:rPr>
            </w:pPr>
            <w:r w:rsidRPr="0002085C">
              <w:rPr>
                <w:rFonts w:cs="宋体" w:hint="eastAsia"/>
                <w:kern w:val="0"/>
              </w:rPr>
              <w:t>瓦斯监测</w:t>
            </w:r>
          </w:p>
          <w:p w:rsidR="00A32067" w:rsidRPr="0002085C" w:rsidRDefault="00A32067" w:rsidP="0002085C">
            <w:pPr>
              <w:jc w:val="center"/>
              <w:rPr>
                <w:kern w:val="0"/>
              </w:rPr>
            </w:pPr>
            <w:r w:rsidRPr="0002085C">
              <w:rPr>
                <w:rFonts w:cs="宋体" w:hint="eastAsia"/>
                <w:kern w:val="0"/>
              </w:rPr>
              <w:t>一氧化碳检测</w:t>
            </w:r>
          </w:p>
          <w:p w:rsidR="00A32067" w:rsidRPr="0002085C" w:rsidRDefault="00A32067" w:rsidP="0002085C">
            <w:pPr>
              <w:jc w:val="center"/>
              <w:rPr>
                <w:kern w:val="0"/>
              </w:rPr>
            </w:pPr>
            <w:r w:rsidRPr="0002085C">
              <w:rPr>
                <w:rFonts w:cs="宋体" w:hint="eastAsia"/>
                <w:kern w:val="0"/>
              </w:rPr>
              <w:t>煤烟浓度检测</w:t>
            </w:r>
          </w:p>
          <w:p w:rsidR="00A32067" w:rsidRPr="0002085C" w:rsidRDefault="00A32067" w:rsidP="0002085C">
            <w:pPr>
              <w:jc w:val="center"/>
              <w:rPr>
                <w:kern w:val="0"/>
              </w:rPr>
            </w:pPr>
            <w:r w:rsidRPr="0002085C">
              <w:rPr>
                <w:rFonts w:cs="宋体" w:hint="eastAsia"/>
                <w:kern w:val="0"/>
              </w:rPr>
              <w:t>隧道风压检测</w:t>
            </w:r>
          </w:p>
          <w:p w:rsidR="00A32067" w:rsidRPr="0002085C" w:rsidRDefault="00A32067" w:rsidP="0002085C">
            <w:pPr>
              <w:jc w:val="center"/>
              <w:rPr>
                <w:kern w:val="0"/>
              </w:rPr>
            </w:pPr>
            <w:r w:rsidRPr="0002085C">
              <w:rPr>
                <w:rFonts w:cs="宋体" w:hint="eastAsia"/>
                <w:kern w:val="0"/>
              </w:rPr>
              <w:t>隧道风速检测</w:t>
            </w:r>
          </w:p>
        </w:tc>
        <w:tc>
          <w:tcPr>
            <w:tcW w:w="1296" w:type="dxa"/>
            <w:vMerge w:val="restart"/>
            <w:vAlign w:val="center"/>
          </w:tcPr>
          <w:p w:rsidR="00A32067" w:rsidRPr="0002085C" w:rsidRDefault="00A32067" w:rsidP="0002085C">
            <w:pPr>
              <w:jc w:val="center"/>
              <w:rPr>
                <w:kern w:val="0"/>
              </w:rPr>
            </w:pPr>
            <w:r w:rsidRPr="0002085C">
              <w:rPr>
                <w:rFonts w:cs="宋体" w:hint="eastAsia"/>
                <w:kern w:val="0"/>
              </w:rPr>
              <w:t>项</w:t>
            </w:r>
          </w:p>
        </w:tc>
        <w:tc>
          <w:tcPr>
            <w:tcW w:w="2085" w:type="dxa"/>
            <w:vAlign w:val="center"/>
          </w:tcPr>
          <w:p w:rsidR="00A32067" w:rsidRPr="0002085C" w:rsidRDefault="00A32067" w:rsidP="0002085C">
            <w:pPr>
              <w:jc w:val="center"/>
              <w:rPr>
                <w:kern w:val="0"/>
              </w:rPr>
            </w:pPr>
            <w:r w:rsidRPr="0002085C">
              <w:rPr>
                <w:kern w:val="0"/>
              </w:rPr>
              <w:t>100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Align w:val="center"/>
          </w:tcPr>
          <w:p w:rsidR="00A32067" w:rsidRPr="0002085C" w:rsidRDefault="00A32067" w:rsidP="0002085C">
            <w:pPr>
              <w:jc w:val="center"/>
              <w:rPr>
                <w:kern w:val="0"/>
              </w:rPr>
            </w:pPr>
            <w:r w:rsidRPr="0002085C">
              <w:rPr>
                <w:kern w:val="0"/>
              </w:rPr>
              <w:t>28</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光度检测</w:t>
            </w:r>
          </w:p>
          <w:p w:rsidR="00A32067" w:rsidRPr="0002085C" w:rsidRDefault="00A32067" w:rsidP="0002085C">
            <w:pPr>
              <w:jc w:val="center"/>
              <w:rPr>
                <w:kern w:val="0"/>
              </w:rPr>
            </w:pPr>
            <w:r w:rsidRPr="0002085C">
              <w:rPr>
                <w:rFonts w:cs="宋体" w:hint="eastAsia"/>
                <w:kern w:val="0"/>
              </w:rPr>
              <w:t>照明器光强分布量检测</w:t>
            </w:r>
          </w:p>
          <w:p w:rsidR="00A32067" w:rsidRPr="0002085C" w:rsidRDefault="00A32067" w:rsidP="0002085C">
            <w:pPr>
              <w:jc w:val="center"/>
              <w:rPr>
                <w:kern w:val="0"/>
              </w:rPr>
            </w:pPr>
            <w:r w:rsidRPr="0002085C">
              <w:rPr>
                <w:rFonts w:cs="宋体" w:hint="eastAsia"/>
                <w:kern w:val="0"/>
              </w:rPr>
              <w:t>现场照明度亮度检测</w:t>
            </w:r>
          </w:p>
          <w:p w:rsidR="00A32067" w:rsidRPr="0002085C" w:rsidRDefault="00A32067" w:rsidP="0002085C">
            <w:pPr>
              <w:jc w:val="center"/>
              <w:rPr>
                <w:kern w:val="0"/>
              </w:rPr>
            </w:pPr>
            <w:r w:rsidRPr="0002085C">
              <w:rPr>
                <w:rFonts w:cs="宋体" w:hint="eastAsia"/>
                <w:kern w:val="0"/>
              </w:rPr>
              <w:t>隧道眩光检测</w:t>
            </w:r>
          </w:p>
        </w:tc>
        <w:tc>
          <w:tcPr>
            <w:tcW w:w="1296" w:type="dxa"/>
            <w:vMerge/>
            <w:vAlign w:val="center"/>
          </w:tcPr>
          <w:p w:rsidR="00A32067" w:rsidRPr="0002085C" w:rsidRDefault="00A32067" w:rsidP="0002085C">
            <w:pPr>
              <w:jc w:val="center"/>
              <w:rPr>
                <w:kern w:val="0"/>
              </w:rPr>
            </w:pPr>
          </w:p>
        </w:tc>
        <w:tc>
          <w:tcPr>
            <w:tcW w:w="2085" w:type="dxa"/>
            <w:vAlign w:val="center"/>
          </w:tcPr>
          <w:p w:rsidR="00A32067" w:rsidRPr="0002085C" w:rsidRDefault="00A32067" w:rsidP="0002085C">
            <w:pPr>
              <w:jc w:val="center"/>
              <w:rPr>
                <w:kern w:val="0"/>
              </w:rPr>
            </w:pPr>
            <w:r w:rsidRPr="0002085C">
              <w:rPr>
                <w:kern w:val="0"/>
              </w:rPr>
              <w:t>260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restart"/>
            <w:vAlign w:val="center"/>
          </w:tcPr>
          <w:p w:rsidR="00A32067" w:rsidRPr="0002085C" w:rsidRDefault="00A32067" w:rsidP="0002085C">
            <w:pPr>
              <w:jc w:val="center"/>
              <w:rPr>
                <w:kern w:val="0"/>
              </w:rPr>
            </w:pPr>
            <w:r w:rsidRPr="0002085C">
              <w:rPr>
                <w:kern w:val="0"/>
              </w:rPr>
              <w:t>29</w:t>
            </w:r>
          </w:p>
        </w:tc>
        <w:tc>
          <w:tcPr>
            <w:tcW w:w="3240" w:type="dxa"/>
            <w:gridSpan w:val="2"/>
            <w:vAlign w:val="center"/>
          </w:tcPr>
          <w:p w:rsidR="00A32067" w:rsidRPr="0002085C" w:rsidRDefault="00A32067" w:rsidP="0002085C">
            <w:pPr>
              <w:jc w:val="center"/>
              <w:rPr>
                <w:kern w:val="0"/>
              </w:rPr>
            </w:pPr>
            <w:r w:rsidRPr="0002085C">
              <w:rPr>
                <w:rFonts w:cs="宋体" w:hint="eastAsia"/>
                <w:kern w:val="0"/>
              </w:rPr>
              <w:t>地基承载力</w:t>
            </w:r>
          </w:p>
        </w:tc>
        <w:tc>
          <w:tcPr>
            <w:tcW w:w="1296" w:type="dxa"/>
            <w:vMerge/>
            <w:vAlign w:val="center"/>
          </w:tcPr>
          <w:p w:rsidR="00A32067" w:rsidRPr="0002085C" w:rsidRDefault="00A32067" w:rsidP="0002085C">
            <w:pPr>
              <w:jc w:val="center"/>
              <w:rPr>
                <w:kern w:val="0"/>
              </w:rPr>
            </w:pPr>
          </w:p>
        </w:tc>
        <w:tc>
          <w:tcPr>
            <w:tcW w:w="2085" w:type="dxa"/>
            <w:vAlign w:val="center"/>
          </w:tcPr>
          <w:p w:rsidR="00A32067" w:rsidRPr="0002085C" w:rsidRDefault="00A32067" w:rsidP="0002085C">
            <w:pPr>
              <w:jc w:val="center"/>
              <w:rPr>
                <w:kern w:val="0"/>
              </w:rPr>
            </w:pPr>
            <w:r w:rsidRPr="0002085C">
              <w:rPr>
                <w:kern w:val="0"/>
              </w:rPr>
              <w:t>200</w:t>
            </w:r>
          </w:p>
        </w:tc>
      </w:tr>
      <w:tr w:rsidR="00A32067">
        <w:trPr>
          <w:trHeight w:val="851"/>
          <w:jc w:val="center"/>
        </w:trPr>
        <w:tc>
          <w:tcPr>
            <w:tcW w:w="1008" w:type="dxa"/>
            <w:vMerge/>
            <w:vAlign w:val="center"/>
          </w:tcPr>
          <w:p w:rsidR="00A32067" w:rsidRPr="0002085C" w:rsidRDefault="00A32067" w:rsidP="0002085C">
            <w:pPr>
              <w:jc w:val="center"/>
              <w:rPr>
                <w:kern w:val="0"/>
              </w:rPr>
            </w:pPr>
          </w:p>
        </w:tc>
        <w:tc>
          <w:tcPr>
            <w:tcW w:w="1260" w:type="dxa"/>
            <w:vMerge/>
            <w:vAlign w:val="center"/>
          </w:tcPr>
          <w:p w:rsidR="00A32067" w:rsidRPr="0002085C" w:rsidRDefault="00A32067" w:rsidP="0002085C">
            <w:pPr>
              <w:jc w:val="center"/>
              <w:rPr>
                <w:kern w:val="0"/>
              </w:rPr>
            </w:pPr>
          </w:p>
        </w:tc>
        <w:tc>
          <w:tcPr>
            <w:tcW w:w="3240" w:type="dxa"/>
            <w:gridSpan w:val="2"/>
            <w:vAlign w:val="center"/>
          </w:tcPr>
          <w:p w:rsidR="00A32067" w:rsidRPr="0002085C" w:rsidRDefault="00A32067" w:rsidP="0002085C">
            <w:pPr>
              <w:jc w:val="center"/>
              <w:rPr>
                <w:kern w:val="0"/>
              </w:rPr>
            </w:pPr>
            <w:r w:rsidRPr="0002085C">
              <w:rPr>
                <w:rFonts w:cs="宋体" w:hint="eastAsia"/>
                <w:kern w:val="0"/>
              </w:rPr>
              <w:t>地基承载力（重力弹触）</w:t>
            </w:r>
          </w:p>
        </w:tc>
        <w:tc>
          <w:tcPr>
            <w:tcW w:w="1296" w:type="dxa"/>
            <w:vMerge/>
            <w:vAlign w:val="center"/>
          </w:tcPr>
          <w:p w:rsidR="00A32067" w:rsidRPr="0002085C" w:rsidRDefault="00A32067" w:rsidP="0002085C">
            <w:pPr>
              <w:jc w:val="center"/>
              <w:rPr>
                <w:kern w:val="0"/>
              </w:rPr>
            </w:pPr>
          </w:p>
        </w:tc>
        <w:tc>
          <w:tcPr>
            <w:tcW w:w="2085" w:type="dxa"/>
            <w:vAlign w:val="center"/>
          </w:tcPr>
          <w:p w:rsidR="00A32067" w:rsidRPr="0002085C" w:rsidRDefault="00A32067" w:rsidP="0002085C">
            <w:pPr>
              <w:jc w:val="center"/>
              <w:rPr>
                <w:kern w:val="0"/>
              </w:rPr>
            </w:pPr>
            <w:r w:rsidRPr="0002085C">
              <w:rPr>
                <w:kern w:val="0"/>
              </w:rPr>
              <w:t>500</w:t>
            </w:r>
          </w:p>
        </w:tc>
      </w:tr>
    </w:tbl>
    <w:p w:rsidR="00A32067" w:rsidRDefault="00A32067">
      <w:pPr>
        <w:widowControl/>
        <w:adjustRightInd w:val="0"/>
        <w:snapToGrid w:val="0"/>
        <w:spacing w:after="200"/>
        <w:jc w:val="left"/>
        <w:rPr>
          <w:rFonts w:eastAsia="微软雅黑"/>
          <w:kern w:val="0"/>
          <w:sz w:val="22"/>
          <w:szCs w:val="22"/>
        </w:rPr>
      </w:pPr>
    </w:p>
    <w:p w:rsidR="00A32067" w:rsidRDefault="00A32067" w:rsidP="005431C7">
      <w:pPr>
        <w:widowControl/>
        <w:adjustRightInd w:val="0"/>
        <w:snapToGrid w:val="0"/>
        <w:spacing w:after="200"/>
        <w:ind w:firstLineChars="100" w:firstLine="31680"/>
        <w:jc w:val="left"/>
        <w:outlineLvl w:val="0"/>
        <w:rPr>
          <w:rFonts w:eastAsia="微软雅黑"/>
          <w:kern w:val="0"/>
          <w:sz w:val="22"/>
          <w:szCs w:val="22"/>
        </w:rPr>
      </w:pPr>
    </w:p>
    <w:p w:rsidR="00A32067" w:rsidRDefault="00A32067">
      <w:pPr>
        <w:widowControl/>
        <w:spacing w:after="200" w:line="220" w:lineRule="atLeast"/>
        <w:jc w:val="left"/>
        <w:rPr>
          <w:rFonts w:eastAsia="微软雅黑"/>
          <w:kern w:val="0"/>
          <w:sz w:val="22"/>
          <w:szCs w:val="22"/>
        </w:rPr>
      </w:pPr>
      <w:r>
        <w:rPr>
          <w:rFonts w:eastAsia="微软雅黑"/>
          <w:kern w:val="0"/>
          <w:sz w:val="22"/>
          <w:szCs w:val="22"/>
        </w:rPr>
        <w:br w:type="page"/>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P01</w:t>
      </w:r>
      <w:r>
        <w:rPr>
          <w:rFonts w:ascii="Times New Roman" w:hAnsi="Times New Roman" w:hint="eastAsia"/>
          <w:b/>
          <w:bCs/>
          <w:kern w:val="2"/>
        </w:rPr>
        <w:t>～</w:t>
      </w:r>
      <w:r>
        <w:rPr>
          <w:rFonts w:ascii="Times New Roman" w:hAnsi="Times New Roman" w:cs="Times New Roman"/>
          <w:b/>
          <w:bCs/>
          <w:kern w:val="2"/>
        </w:rPr>
        <w:t>P07</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723"/>
        <w:gridCol w:w="2268"/>
        <w:gridCol w:w="567"/>
        <w:gridCol w:w="851"/>
        <w:gridCol w:w="1608"/>
        <w:gridCol w:w="2630"/>
      </w:tblGrid>
      <w:tr w:rsidR="00A32067">
        <w:trPr>
          <w:cantSplit/>
          <w:trHeight w:hRule="exact" w:val="737"/>
          <w:jc w:val="center"/>
        </w:trPr>
        <w:tc>
          <w:tcPr>
            <w:tcW w:w="1135"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723"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2268" w:type="dxa"/>
            <w:vMerge w:val="restart"/>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测试项目</w:t>
            </w:r>
          </w:p>
        </w:tc>
        <w:tc>
          <w:tcPr>
            <w:tcW w:w="567" w:type="dxa"/>
            <w:vMerge w:val="restart"/>
            <w:vAlign w:val="center"/>
          </w:tcPr>
          <w:p w:rsidR="00A32067" w:rsidRDefault="00A32067" w:rsidP="00A32067">
            <w:pPr>
              <w:widowControl/>
              <w:adjustRightInd w:val="0"/>
              <w:snapToGrid w:val="0"/>
              <w:spacing w:after="200"/>
              <w:ind w:leftChars="-50" w:left="31680" w:rightChars="-51" w:right="31680" w:hangingChars="50" w:firstLine="31680"/>
              <w:jc w:val="center"/>
              <w:rPr>
                <w:kern w:val="0"/>
              </w:rPr>
            </w:pPr>
            <w:r>
              <w:rPr>
                <w:rFonts w:cs="宋体" w:hint="eastAsia"/>
                <w:kern w:val="0"/>
              </w:rPr>
              <w:t>单位</w:t>
            </w:r>
          </w:p>
        </w:tc>
        <w:tc>
          <w:tcPr>
            <w:tcW w:w="851"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基价（元）</w:t>
            </w:r>
          </w:p>
        </w:tc>
        <w:tc>
          <w:tcPr>
            <w:tcW w:w="4238"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hRule="exact" w:val="224"/>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Merge/>
            <w:vAlign w:val="center"/>
          </w:tcPr>
          <w:p w:rsidR="00A32067" w:rsidRDefault="00A32067">
            <w:pPr>
              <w:widowControl/>
              <w:adjustRightInd w:val="0"/>
              <w:snapToGrid w:val="0"/>
              <w:spacing w:after="200"/>
              <w:jc w:val="center"/>
              <w:rPr>
                <w:kern w:val="0"/>
              </w:rPr>
            </w:pPr>
          </w:p>
        </w:tc>
        <w:tc>
          <w:tcPr>
            <w:tcW w:w="2268" w:type="dxa"/>
            <w:vMerge/>
            <w:vAlign w:val="center"/>
          </w:tcPr>
          <w:p w:rsidR="00A32067" w:rsidRDefault="00A32067">
            <w:pPr>
              <w:widowControl/>
              <w:adjustRightInd w:val="0"/>
              <w:snapToGrid w:val="0"/>
              <w:spacing w:after="200"/>
              <w:jc w:val="center"/>
              <w:rPr>
                <w:kern w:val="0"/>
              </w:rPr>
            </w:pPr>
          </w:p>
        </w:tc>
        <w:tc>
          <w:tcPr>
            <w:tcW w:w="567" w:type="dxa"/>
            <w:vMerge/>
            <w:vAlign w:val="center"/>
          </w:tcPr>
          <w:p w:rsidR="00A32067" w:rsidRDefault="00A32067" w:rsidP="00A32067">
            <w:pPr>
              <w:widowControl/>
              <w:adjustRightInd w:val="0"/>
              <w:snapToGrid w:val="0"/>
              <w:spacing w:after="200"/>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jc w:val="center"/>
              <w:rPr>
                <w:kern w:val="0"/>
              </w:rPr>
            </w:pPr>
          </w:p>
        </w:tc>
        <w:tc>
          <w:tcPr>
            <w:tcW w:w="4238" w:type="dxa"/>
            <w:gridSpan w:val="2"/>
            <w:vMerge/>
            <w:vAlign w:val="center"/>
          </w:tcPr>
          <w:p w:rsidR="00A32067" w:rsidRDefault="00A32067">
            <w:pPr>
              <w:widowControl/>
              <w:adjustRightInd w:val="0"/>
              <w:snapToGrid w:val="0"/>
              <w:spacing w:after="200"/>
              <w:jc w:val="center"/>
              <w:rPr>
                <w:kern w:val="0"/>
              </w:rPr>
            </w:pPr>
          </w:p>
        </w:tc>
      </w:tr>
      <w:tr w:rsidR="00A32067">
        <w:trPr>
          <w:cantSplit/>
          <w:trHeight w:val="440"/>
          <w:jc w:val="center"/>
        </w:trPr>
        <w:tc>
          <w:tcPr>
            <w:tcW w:w="1135"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砼质量检测</w:t>
            </w:r>
          </w:p>
        </w:tc>
        <w:tc>
          <w:tcPr>
            <w:tcW w:w="723" w:type="dxa"/>
            <w:vMerge w:val="restart"/>
            <w:vAlign w:val="center"/>
          </w:tcPr>
          <w:p w:rsidR="00A32067" w:rsidRDefault="00A32067">
            <w:pPr>
              <w:widowControl/>
              <w:adjustRightInd w:val="0"/>
              <w:snapToGrid w:val="0"/>
              <w:spacing w:after="200" w:line="240" w:lineRule="exact"/>
              <w:jc w:val="center"/>
              <w:rPr>
                <w:kern w:val="0"/>
              </w:rPr>
            </w:pPr>
            <w:r>
              <w:rPr>
                <w:kern w:val="0"/>
              </w:rPr>
              <w:t>P01</w:t>
            </w:r>
          </w:p>
        </w:tc>
        <w:tc>
          <w:tcPr>
            <w:tcW w:w="2268" w:type="dxa"/>
            <w:vMerge w:val="restart"/>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砼强度</w:t>
            </w:r>
          </w:p>
        </w:tc>
        <w:tc>
          <w:tcPr>
            <w:tcW w:w="567"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构件</w:t>
            </w:r>
          </w:p>
        </w:tc>
        <w:tc>
          <w:tcPr>
            <w:tcW w:w="851" w:type="dxa"/>
            <w:vMerge w:val="restart"/>
            <w:vAlign w:val="center"/>
          </w:tcPr>
          <w:p w:rsidR="00A32067" w:rsidRDefault="00A32067">
            <w:pPr>
              <w:widowControl/>
              <w:adjustRightInd w:val="0"/>
              <w:snapToGrid w:val="0"/>
              <w:spacing w:after="200" w:line="240" w:lineRule="exact"/>
              <w:jc w:val="center"/>
              <w:rPr>
                <w:kern w:val="0"/>
              </w:rPr>
            </w:pPr>
            <w:r>
              <w:rPr>
                <w:kern w:val="0"/>
              </w:rPr>
              <w:t>300</w:t>
            </w:r>
          </w:p>
        </w:tc>
        <w:tc>
          <w:tcPr>
            <w:tcW w:w="4238" w:type="dxa"/>
            <w:gridSpan w:val="2"/>
            <w:vMerge w:val="restart"/>
            <w:vAlign w:val="center"/>
          </w:tcPr>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拔出法、射钉法</w:t>
            </w:r>
            <w:r>
              <w:rPr>
                <w:kern w:val="0"/>
              </w:rPr>
              <w:t xml:space="preserve">         ξ=1.0</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超声回弹综合法</w:t>
            </w:r>
            <w:r>
              <w:rPr>
                <w:kern w:val="0"/>
              </w:rPr>
              <w:t xml:space="preserve">         ξ=1.3</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回弹法</w:t>
            </w:r>
            <w:r>
              <w:rPr>
                <w:kern w:val="0"/>
              </w:rPr>
              <w:t xml:space="preserve">                 ξ=0.9</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小芯样抗折法</w:t>
            </w:r>
            <w:r>
              <w:rPr>
                <w:kern w:val="0"/>
              </w:rPr>
              <w:t xml:space="preserve">           ξ=1.7</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钻芯法：每个芯样</w:t>
            </w:r>
            <w:r>
              <w:rPr>
                <w:kern w:val="0"/>
              </w:rPr>
              <w:t>300</w:t>
            </w:r>
            <w:r>
              <w:rPr>
                <w:rFonts w:cs="宋体" w:hint="eastAsia"/>
                <w:kern w:val="0"/>
              </w:rPr>
              <w:t>元；</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高强砼</w:t>
            </w:r>
            <w:r>
              <w:rPr>
                <w:kern w:val="0"/>
              </w:rPr>
              <w:t>≥C50            η=1.3</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构件质心</w:t>
            </w:r>
            <w:r>
              <w:rPr>
                <w:kern w:val="0"/>
              </w:rPr>
              <w:t>&gt;3m            η=1.3</w:t>
            </w:r>
            <w:r>
              <w:rPr>
                <w:rFonts w:cs="宋体" w:hint="eastAsia"/>
                <w:kern w:val="0"/>
              </w:rPr>
              <w:t>；</w:t>
            </w:r>
          </w:p>
          <w:p w:rsidR="00A32067" w:rsidRDefault="00A32067">
            <w:pPr>
              <w:widowControl/>
              <w:numPr>
                <w:ilvl w:val="0"/>
                <w:numId w:val="6"/>
              </w:numPr>
              <w:adjustRightInd w:val="0"/>
              <w:snapToGrid w:val="0"/>
              <w:spacing w:after="200" w:line="240" w:lineRule="exact"/>
              <w:jc w:val="left"/>
              <w:rPr>
                <w:kern w:val="0"/>
              </w:rPr>
            </w:pPr>
            <w:r>
              <w:rPr>
                <w:rFonts w:cs="宋体" w:hint="eastAsia"/>
                <w:kern w:val="0"/>
              </w:rPr>
              <w:t>芯样的修补由委托方负责。</w:t>
            </w:r>
          </w:p>
          <w:p w:rsidR="00A32067" w:rsidRDefault="00A32067">
            <w:pPr>
              <w:widowControl/>
              <w:adjustRightInd w:val="0"/>
              <w:snapToGrid w:val="0"/>
              <w:spacing w:after="200" w:line="240" w:lineRule="exact"/>
              <w:jc w:val="left"/>
              <w:rPr>
                <w:kern w:val="0"/>
              </w:rPr>
            </w:pPr>
            <w:r>
              <w:rPr>
                <w:kern w:val="0"/>
              </w:rPr>
              <w:t>ξ</w:t>
            </w:r>
            <w:r>
              <w:rPr>
                <w:rFonts w:cs="宋体" w:hint="eastAsia"/>
                <w:kern w:val="0"/>
              </w:rPr>
              <w:t>：价格修正系数；</w:t>
            </w:r>
          </w:p>
          <w:p w:rsidR="00A32067" w:rsidRDefault="00A32067">
            <w:pPr>
              <w:widowControl/>
              <w:adjustRightInd w:val="0"/>
              <w:snapToGrid w:val="0"/>
              <w:spacing w:after="200" w:line="240" w:lineRule="exact"/>
              <w:jc w:val="left"/>
              <w:rPr>
                <w:kern w:val="0"/>
              </w:rPr>
            </w:pPr>
            <w:r>
              <w:rPr>
                <w:kern w:val="0"/>
              </w:rPr>
              <w:t>η</w:t>
            </w:r>
            <w:r>
              <w:rPr>
                <w:rFonts w:cs="宋体" w:hint="eastAsia"/>
                <w:kern w:val="0"/>
              </w:rPr>
              <w:t>：工作条件修正系数</w:t>
            </w:r>
          </w:p>
        </w:tc>
      </w:tr>
      <w:tr w:rsidR="00A32067">
        <w:trPr>
          <w:cantSplit/>
          <w:trHeight w:hRule="exact" w:val="737"/>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38"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737"/>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38"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val="440"/>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38"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737"/>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38"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847"/>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38"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859"/>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restart"/>
            <w:vAlign w:val="center"/>
          </w:tcPr>
          <w:p w:rsidR="00A32067" w:rsidRDefault="00A32067">
            <w:pPr>
              <w:widowControl/>
              <w:adjustRightInd w:val="0"/>
              <w:snapToGrid w:val="0"/>
              <w:spacing w:after="200" w:line="240" w:lineRule="exact"/>
              <w:jc w:val="center"/>
              <w:rPr>
                <w:kern w:val="0"/>
              </w:rPr>
            </w:pPr>
            <w:r>
              <w:rPr>
                <w:kern w:val="0"/>
              </w:rPr>
              <w:t>P02</w:t>
            </w:r>
          </w:p>
        </w:tc>
        <w:tc>
          <w:tcPr>
            <w:tcW w:w="2268" w:type="dxa"/>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构件</w:t>
            </w:r>
          </w:p>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砼缺陷</w:t>
            </w:r>
          </w:p>
        </w:tc>
        <w:tc>
          <w:tcPr>
            <w:tcW w:w="567"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测线</w:t>
            </w:r>
          </w:p>
        </w:tc>
        <w:tc>
          <w:tcPr>
            <w:tcW w:w="851" w:type="dxa"/>
            <w:vAlign w:val="center"/>
          </w:tcPr>
          <w:p w:rsidR="00A32067" w:rsidRDefault="00A32067">
            <w:pPr>
              <w:widowControl/>
              <w:adjustRightInd w:val="0"/>
              <w:snapToGrid w:val="0"/>
              <w:spacing w:after="200" w:line="240" w:lineRule="exact"/>
              <w:jc w:val="center"/>
              <w:rPr>
                <w:kern w:val="0"/>
              </w:rPr>
            </w:pPr>
            <w:r>
              <w:rPr>
                <w:kern w:val="0"/>
              </w:rPr>
              <w:t>20</w:t>
            </w:r>
          </w:p>
        </w:tc>
        <w:tc>
          <w:tcPr>
            <w:tcW w:w="4238" w:type="dxa"/>
            <w:gridSpan w:val="2"/>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．大体积砼</w:t>
            </w:r>
            <w:r>
              <w:rPr>
                <w:kern w:val="0"/>
              </w:rPr>
              <w:t xml:space="preserve">                ξ=1.2</w:t>
            </w:r>
          </w:p>
          <w:p w:rsidR="00A32067" w:rsidRDefault="00A32067">
            <w:pPr>
              <w:widowControl/>
              <w:adjustRightInd w:val="0"/>
              <w:snapToGrid w:val="0"/>
              <w:spacing w:after="200" w:line="240" w:lineRule="exact"/>
              <w:jc w:val="left"/>
              <w:rPr>
                <w:kern w:val="0"/>
              </w:rPr>
            </w:pPr>
            <w:r>
              <w:rPr>
                <w:kern w:val="0"/>
              </w:rPr>
              <w:t>2</w:t>
            </w:r>
            <w:r>
              <w:rPr>
                <w:rFonts w:cs="宋体" w:hint="eastAsia"/>
                <w:kern w:val="0"/>
              </w:rPr>
              <w:t>．成孔费另计</w:t>
            </w:r>
          </w:p>
        </w:tc>
      </w:tr>
      <w:tr w:rsidR="00A32067">
        <w:trPr>
          <w:cantSplit/>
          <w:trHeight w:hRule="exact" w:val="985"/>
          <w:jc w:val="center"/>
        </w:trPr>
        <w:tc>
          <w:tcPr>
            <w:tcW w:w="1135" w:type="dxa"/>
            <w:vMerge/>
            <w:vAlign w:val="center"/>
          </w:tcPr>
          <w:p w:rsidR="00A32067" w:rsidRDefault="00A32067">
            <w:pPr>
              <w:widowControl/>
              <w:adjustRightInd w:val="0"/>
              <w:snapToGrid w:val="0"/>
              <w:spacing w:after="200" w:line="240" w:lineRule="exact"/>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砼裂缝</w:t>
            </w:r>
          </w:p>
        </w:tc>
        <w:tc>
          <w:tcPr>
            <w:tcW w:w="567"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测线</w:t>
            </w:r>
          </w:p>
        </w:tc>
        <w:tc>
          <w:tcPr>
            <w:tcW w:w="851" w:type="dxa"/>
            <w:vAlign w:val="center"/>
          </w:tcPr>
          <w:p w:rsidR="00A32067" w:rsidRDefault="00A32067">
            <w:pPr>
              <w:widowControl/>
              <w:adjustRightInd w:val="0"/>
              <w:snapToGrid w:val="0"/>
              <w:spacing w:after="200" w:line="240" w:lineRule="exact"/>
              <w:jc w:val="center"/>
              <w:rPr>
                <w:kern w:val="0"/>
              </w:rPr>
            </w:pPr>
            <w:r>
              <w:rPr>
                <w:kern w:val="0"/>
              </w:rPr>
              <w:t>30</w:t>
            </w:r>
          </w:p>
        </w:tc>
        <w:tc>
          <w:tcPr>
            <w:tcW w:w="4238" w:type="dxa"/>
            <w:gridSpan w:val="2"/>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．跨孔深</w:t>
            </w:r>
            <w:r>
              <w:rPr>
                <w:kern w:val="0"/>
              </w:rPr>
              <w:t>&gt;500mm           ξ=1.3</w:t>
            </w:r>
          </w:p>
          <w:p w:rsidR="00A32067" w:rsidRDefault="00A32067">
            <w:pPr>
              <w:widowControl/>
              <w:adjustRightInd w:val="0"/>
              <w:snapToGrid w:val="0"/>
              <w:spacing w:after="200" w:line="240" w:lineRule="exact"/>
              <w:jc w:val="left"/>
              <w:rPr>
                <w:kern w:val="0"/>
              </w:rPr>
            </w:pPr>
            <w:r>
              <w:rPr>
                <w:kern w:val="0"/>
              </w:rPr>
              <w:t>2</w:t>
            </w:r>
            <w:r>
              <w:rPr>
                <w:rFonts w:cs="宋体" w:hint="eastAsia"/>
                <w:kern w:val="0"/>
              </w:rPr>
              <w:t>．成孔费另计，</w:t>
            </w:r>
            <w:r>
              <w:rPr>
                <w:kern w:val="0"/>
              </w:rPr>
              <w:t>φ50</w:t>
            </w:r>
            <w:r>
              <w:rPr>
                <w:rFonts w:cs="宋体" w:hint="eastAsia"/>
                <w:kern w:val="0"/>
              </w:rPr>
              <w:t>成孔费</w:t>
            </w:r>
            <w:r>
              <w:rPr>
                <w:kern w:val="0"/>
              </w:rPr>
              <w:t>260</w:t>
            </w:r>
            <w:r>
              <w:rPr>
                <w:rFonts w:cs="宋体" w:hint="eastAsia"/>
                <w:kern w:val="0"/>
              </w:rPr>
              <w:t>元</w:t>
            </w:r>
            <w:r>
              <w:rPr>
                <w:kern w:val="0"/>
              </w:rPr>
              <w:t>/</w:t>
            </w:r>
            <w:r>
              <w:rPr>
                <w:rFonts w:cs="宋体" w:hint="eastAsia"/>
                <w:kern w:val="0"/>
              </w:rPr>
              <w:t>米（孔深</w:t>
            </w:r>
            <w:r>
              <w:rPr>
                <w:kern w:val="0"/>
              </w:rPr>
              <w:t>&lt;500mm</w:t>
            </w:r>
            <w:r>
              <w:rPr>
                <w:rFonts w:cs="宋体" w:hint="eastAsia"/>
                <w:kern w:val="0"/>
              </w:rPr>
              <w:t>）</w:t>
            </w:r>
          </w:p>
        </w:tc>
      </w:tr>
      <w:tr w:rsidR="00A32067">
        <w:trPr>
          <w:cantSplit/>
          <w:trHeight w:hRule="exact" w:val="856"/>
          <w:jc w:val="center"/>
        </w:trPr>
        <w:tc>
          <w:tcPr>
            <w:tcW w:w="1135" w:type="dxa"/>
            <w:vMerge w:val="restart"/>
            <w:vAlign w:val="center"/>
          </w:tcPr>
          <w:p w:rsidR="00A32067" w:rsidRDefault="00A32067">
            <w:pPr>
              <w:widowControl/>
              <w:adjustRightInd w:val="0"/>
              <w:snapToGrid w:val="0"/>
              <w:spacing w:after="200"/>
              <w:jc w:val="center"/>
              <w:rPr>
                <w:kern w:val="0"/>
              </w:rPr>
            </w:pPr>
            <w:r>
              <w:rPr>
                <w:rFonts w:cs="宋体" w:hint="eastAsia"/>
                <w:kern w:val="0"/>
              </w:rPr>
              <w:t>砼构件性能检验</w:t>
            </w:r>
          </w:p>
        </w:tc>
        <w:tc>
          <w:tcPr>
            <w:tcW w:w="723" w:type="dxa"/>
            <w:vMerge w:val="restart"/>
            <w:vAlign w:val="center"/>
          </w:tcPr>
          <w:p w:rsidR="00A32067" w:rsidRDefault="00A32067">
            <w:pPr>
              <w:widowControl/>
              <w:adjustRightInd w:val="0"/>
              <w:snapToGrid w:val="0"/>
              <w:spacing w:after="200" w:line="240" w:lineRule="exact"/>
              <w:jc w:val="center"/>
              <w:rPr>
                <w:kern w:val="0"/>
              </w:rPr>
            </w:pPr>
            <w:r>
              <w:rPr>
                <w:kern w:val="0"/>
              </w:rPr>
              <w:t>P03</w:t>
            </w:r>
          </w:p>
          <w:p w:rsidR="00A32067" w:rsidRDefault="00A32067">
            <w:pPr>
              <w:widowControl/>
              <w:adjustRightInd w:val="0"/>
              <w:snapToGrid w:val="0"/>
              <w:spacing w:after="200" w:line="240" w:lineRule="exact"/>
              <w:jc w:val="left"/>
              <w:rPr>
                <w:kern w:val="0"/>
              </w:rPr>
            </w:pPr>
          </w:p>
        </w:tc>
        <w:tc>
          <w:tcPr>
            <w:tcW w:w="2268" w:type="dxa"/>
            <w:vMerge w:val="restart"/>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构件结构性能检验</w:t>
            </w:r>
          </w:p>
        </w:tc>
        <w:tc>
          <w:tcPr>
            <w:tcW w:w="567"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jc w:val="left"/>
              <w:rPr>
                <w:kern w:val="0"/>
              </w:rPr>
            </w:pPr>
            <w:r>
              <w:rPr>
                <w:kern w:val="0"/>
              </w:rPr>
              <w:t>450</w:t>
            </w:r>
          </w:p>
        </w:tc>
        <w:tc>
          <w:tcPr>
            <w:tcW w:w="1608" w:type="dxa"/>
            <w:vAlign w:val="center"/>
          </w:tcPr>
          <w:p w:rsidR="00A32067" w:rsidRDefault="00A32067">
            <w:pPr>
              <w:widowControl/>
              <w:adjustRightInd w:val="0"/>
              <w:snapToGrid w:val="0"/>
              <w:spacing w:after="200"/>
              <w:jc w:val="left"/>
              <w:rPr>
                <w:kern w:val="0"/>
              </w:rPr>
            </w:pPr>
            <w:r>
              <w:rPr>
                <w:rFonts w:cs="宋体" w:hint="eastAsia"/>
                <w:kern w:val="0"/>
              </w:rPr>
              <w:t>板</w:t>
            </w:r>
            <w:r>
              <w:rPr>
                <w:kern w:val="0"/>
              </w:rPr>
              <w:t>L≤4.2m</w:t>
            </w:r>
          </w:p>
          <w:p w:rsidR="00A32067" w:rsidRDefault="00A32067">
            <w:pPr>
              <w:widowControl/>
              <w:adjustRightInd w:val="0"/>
              <w:snapToGrid w:val="0"/>
              <w:spacing w:after="200"/>
              <w:jc w:val="left"/>
              <w:rPr>
                <w:kern w:val="0"/>
              </w:rPr>
            </w:pPr>
            <w:r>
              <w:rPr>
                <w:rFonts w:cs="宋体" w:hint="eastAsia"/>
                <w:kern w:val="0"/>
              </w:rPr>
              <w:t>短向园孔板</w:t>
            </w:r>
          </w:p>
        </w:tc>
        <w:tc>
          <w:tcPr>
            <w:tcW w:w="2630" w:type="dxa"/>
            <w:vMerge w:val="restart"/>
            <w:vAlign w:val="center"/>
          </w:tcPr>
          <w:p w:rsidR="00A32067" w:rsidRDefault="00A32067">
            <w:pPr>
              <w:widowControl/>
              <w:adjustRightInd w:val="0"/>
              <w:snapToGrid w:val="0"/>
              <w:spacing w:after="200"/>
              <w:ind w:right="-30" w:hanging="81"/>
              <w:jc w:val="left"/>
              <w:rPr>
                <w:kern w:val="0"/>
              </w:rPr>
            </w:pPr>
            <w:r>
              <w:rPr>
                <w:kern w:val="0"/>
              </w:rPr>
              <w:t>1</w:t>
            </w:r>
            <w:r>
              <w:rPr>
                <w:rFonts w:cs="宋体" w:hint="eastAsia"/>
                <w:kern w:val="0"/>
              </w:rPr>
              <w:t>．委托方提供台座、荷载块、辅助用工；</w:t>
            </w:r>
          </w:p>
          <w:p w:rsidR="00A32067" w:rsidRDefault="00A32067">
            <w:pPr>
              <w:widowControl/>
              <w:adjustRightInd w:val="0"/>
              <w:snapToGrid w:val="0"/>
              <w:spacing w:after="200"/>
              <w:ind w:right="-30" w:hanging="81"/>
              <w:jc w:val="left"/>
              <w:rPr>
                <w:kern w:val="0"/>
              </w:rPr>
            </w:pPr>
            <w:r>
              <w:rPr>
                <w:kern w:val="0"/>
              </w:rPr>
              <w:t>2</w:t>
            </w:r>
            <w:r>
              <w:rPr>
                <w:rFonts w:cs="宋体" w:hint="eastAsia"/>
                <w:kern w:val="0"/>
              </w:rPr>
              <w:t>．当</w:t>
            </w:r>
            <w:r>
              <w:rPr>
                <w:kern w:val="0"/>
              </w:rPr>
              <w:t>095&lt;β&lt;1</w:t>
            </w:r>
            <w:r>
              <w:rPr>
                <w:rFonts w:cs="宋体" w:hint="eastAsia"/>
                <w:kern w:val="0"/>
              </w:rPr>
              <w:t>复验时取费增收</w:t>
            </w:r>
            <w:r>
              <w:rPr>
                <w:kern w:val="0"/>
              </w:rPr>
              <w:t>100</w:t>
            </w:r>
            <w:r>
              <w:rPr>
                <w:rFonts w:cs="宋体" w:hint="eastAsia"/>
                <w:kern w:val="0"/>
              </w:rPr>
              <w:t>％。</w:t>
            </w:r>
          </w:p>
        </w:tc>
      </w:tr>
      <w:tr w:rsidR="00A32067">
        <w:trPr>
          <w:cantSplit/>
          <w:trHeight w:hRule="exact" w:val="1124"/>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left"/>
              <w:rPr>
                <w:kern w:val="0"/>
              </w:rPr>
            </w:pPr>
            <w:r>
              <w:rPr>
                <w:kern w:val="0"/>
              </w:rPr>
              <w:t>700</w:t>
            </w:r>
          </w:p>
        </w:tc>
        <w:tc>
          <w:tcPr>
            <w:tcW w:w="1608" w:type="dxa"/>
            <w:vAlign w:val="center"/>
          </w:tcPr>
          <w:p w:rsidR="00A32067" w:rsidRDefault="00A32067">
            <w:pPr>
              <w:widowControl/>
              <w:adjustRightInd w:val="0"/>
              <w:snapToGrid w:val="0"/>
              <w:spacing w:after="200"/>
              <w:jc w:val="left"/>
              <w:rPr>
                <w:kern w:val="0"/>
              </w:rPr>
            </w:pPr>
            <w:r>
              <w:rPr>
                <w:rFonts w:cs="宋体" w:hint="eastAsia"/>
                <w:kern w:val="0"/>
              </w:rPr>
              <w:t>板</w:t>
            </w:r>
            <w:r>
              <w:rPr>
                <w:kern w:val="0"/>
              </w:rPr>
              <w:t>4..2m&lt;L≤6.0m</w:t>
            </w:r>
          </w:p>
          <w:p w:rsidR="00A32067" w:rsidRDefault="00A32067">
            <w:pPr>
              <w:widowControl/>
              <w:adjustRightInd w:val="0"/>
              <w:snapToGrid w:val="0"/>
              <w:spacing w:after="200"/>
              <w:jc w:val="left"/>
              <w:rPr>
                <w:kern w:val="0"/>
              </w:rPr>
            </w:pPr>
            <w:r>
              <w:rPr>
                <w:rFonts w:cs="宋体" w:hint="eastAsia"/>
                <w:kern w:val="0"/>
              </w:rPr>
              <w:t>长向园孔板</w:t>
            </w:r>
          </w:p>
        </w:tc>
        <w:tc>
          <w:tcPr>
            <w:tcW w:w="2630" w:type="dxa"/>
            <w:vMerge/>
            <w:vAlign w:val="center"/>
          </w:tcPr>
          <w:p w:rsidR="00A32067" w:rsidRDefault="00A32067">
            <w:pPr>
              <w:widowControl/>
              <w:adjustRightInd w:val="0"/>
              <w:snapToGrid w:val="0"/>
              <w:spacing w:after="200"/>
              <w:jc w:val="center"/>
              <w:rPr>
                <w:kern w:val="0"/>
              </w:rPr>
            </w:pPr>
          </w:p>
        </w:tc>
      </w:tr>
      <w:tr w:rsidR="00A32067">
        <w:trPr>
          <w:cantSplit/>
          <w:trHeight w:hRule="exact" w:val="737"/>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Align w:val="center"/>
          </w:tcPr>
          <w:p w:rsidR="00A32067" w:rsidRDefault="00A32067" w:rsidP="00A32067">
            <w:pPr>
              <w:widowControl/>
              <w:adjustRightInd w:val="0"/>
              <w:snapToGrid w:val="0"/>
              <w:spacing w:after="200"/>
              <w:ind w:rightChars="-51" w:right="31680" w:firstLineChars="34" w:firstLine="31680"/>
              <w:jc w:val="left"/>
              <w:rPr>
                <w:kern w:val="0"/>
              </w:rPr>
            </w:pPr>
            <w:r>
              <w:rPr>
                <w:rFonts w:cs="宋体" w:hint="eastAsia"/>
                <w:kern w:val="0"/>
              </w:rPr>
              <w:t>预制构件外观、尺寸检测</w:t>
            </w:r>
          </w:p>
        </w:tc>
        <w:tc>
          <w:tcPr>
            <w:tcW w:w="567"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jc w:val="center"/>
              <w:rPr>
                <w:kern w:val="0"/>
              </w:rPr>
            </w:pPr>
            <w:r>
              <w:rPr>
                <w:kern w:val="0"/>
              </w:rPr>
              <w:t>200</w:t>
            </w:r>
          </w:p>
        </w:tc>
        <w:tc>
          <w:tcPr>
            <w:tcW w:w="4238" w:type="dxa"/>
            <w:gridSpan w:val="2"/>
            <w:vAlign w:val="center"/>
          </w:tcPr>
          <w:p w:rsidR="00A32067" w:rsidRDefault="00A32067">
            <w:pPr>
              <w:widowControl/>
              <w:adjustRightInd w:val="0"/>
              <w:snapToGrid w:val="0"/>
              <w:spacing w:after="200"/>
              <w:ind w:right="-30" w:hanging="81"/>
              <w:jc w:val="center"/>
              <w:rPr>
                <w:kern w:val="0"/>
              </w:rPr>
            </w:pPr>
            <w:r>
              <w:rPr>
                <w:rFonts w:cs="宋体" w:hint="eastAsia"/>
                <w:kern w:val="0"/>
              </w:rPr>
              <w:t>不含强度及隐蔽项目</w:t>
            </w:r>
          </w:p>
        </w:tc>
      </w:tr>
      <w:tr w:rsidR="00A32067">
        <w:trPr>
          <w:cantSplit/>
          <w:trHeight w:hRule="exact" w:val="1108"/>
          <w:jc w:val="center"/>
        </w:trPr>
        <w:tc>
          <w:tcPr>
            <w:tcW w:w="1135" w:type="dxa"/>
            <w:vMerge w:val="restart"/>
            <w:vAlign w:val="center"/>
          </w:tcPr>
          <w:p w:rsidR="00A32067" w:rsidRDefault="00A32067">
            <w:pPr>
              <w:widowControl/>
              <w:adjustRightInd w:val="0"/>
              <w:snapToGrid w:val="0"/>
              <w:spacing w:after="200"/>
              <w:jc w:val="center"/>
              <w:rPr>
                <w:kern w:val="0"/>
              </w:rPr>
            </w:pPr>
            <w:r>
              <w:rPr>
                <w:rFonts w:cs="宋体" w:hint="eastAsia"/>
                <w:kern w:val="0"/>
              </w:rPr>
              <w:t>砼构件原位性能检验</w:t>
            </w:r>
          </w:p>
        </w:tc>
        <w:tc>
          <w:tcPr>
            <w:tcW w:w="723" w:type="dxa"/>
            <w:vMerge w:val="restart"/>
            <w:vAlign w:val="center"/>
          </w:tcPr>
          <w:p w:rsidR="00A32067" w:rsidRDefault="00A32067">
            <w:pPr>
              <w:widowControl/>
              <w:adjustRightInd w:val="0"/>
              <w:snapToGrid w:val="0"/>
              <w:spacing w:after="200" w:line="240" w:lineRule="exact"/>
              <w:jc w:val="center"/>
              <w:rPr>
                <w:kern w:val="0"/>
              </w:rPr>
            </w:pPr>
            <w:r>
              <w:rPr>
                <w:kern w:val="0"/>
              </w:rPr>
              <w:t>P04</w:t>
            </w:r>
          </w:p>
        </w:tc>
        <w:tc>
          <w:tcPr>
            <w:tcW w:w="2268" w:type="dxa"/>
            <w:vMerge w:val="restart"/>
            <w:vAlign w:val="center"/>
          </w:tcPr>
          <w:p w:rsidR="00A32067" w:rsidRDefault="00A32067" w:rsidP="00A32067">
            <w:pPr>
              <w:widowControl/>
              <w:adjustRightInd w:val="0"/>
              <w:snapToGrid w:val="0"/>
              <w:spacing w:after="200" w:line="240" w:lineRule="exact"/>
              <w:ind w:leftChars="-38" w:left="31680" w:rightChars="-51" w:right="31680" w:hangingChars="10" w:firstLine="31680"/>
              <w:jc w:val="center"/>
              <w:rPr>
                <w:kern w:val="0"/>
              </w:rPr>
            </w:pPr>
            <w:r>
              <w:rPr>
                <w:rFonts w:cs="宋体" w:hint="eastAsia"/>
                <w:kern w:val="0"/>
              </w:rPr>
              <w:t>原位结构性能检验</w:t>
            </w:r>
          </w:p>
        </w:tc>
        <w:tc>
          <w:tcPr>
            <w:tcW w:w="567"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jc w:val="center"/>
              <w:rPr>
                <w:kern w:val="0"/>
              </w:rPr>
            </w:pPr>
            <w:r>
              <w:rPr>
                <w:kern w:val="0"/>
              </w:rPr>
              <w:t>3000</w:t>
            </w:r>
          </w:p>
        </w:tc>
        <w:tc>
          <w:tcPr>
            <w:tcW w:w="1608" w:type="dxa"/>
            <w:vAlign w:val="center"/>
          </w:tcPr>
          <w:p w:rsidR="00A32067" w:rsidRDefault="00A32067">
            <w:pPr>
              <w:widowControl/>
              <w:adjustRightInd w:val="0"/>
              <w:snapToGrid w:val="0"/>
              <w:spacing w:after="200"/>
              <w:jc w:val="center"/>
              <w:rPr>
                <w:kern w:val="0"/>
              </w:rPr>
            </w:pPr>
            <w:r>
              <w:rPr>
                <w:rFonts w:cs="宋体" w:hint="eastAsia"/>
                <w:kern w:val="0"/>
              </w:rPr>
              <w:t>挑出阳台板</w:t>
            </w:r>
          </w:p>
          <w:p w:rsidR="00A32067" w:rsidRDefault="00A32067">
            <w:pPr>
              <w:widowControl/>
              <w:adjustRightInd w:val="0"/>
              <w:snapToGrid w:val="0"/>
              <w:spacing w:after="200"/>
              <w:jc w:val="center"/>
              <w:rPr>
                <w:kern w:val="0"/>
              </w:rPr>
            </w:pPr>
            <w:r>
              <w:rPr>
                <w:kern w:val="0"/>
              </w:rPr>
              <w:t>L≤1.2m</w:t>
            </w:r>
            <w:r>
              <w:rPr>
                <w:rFonts w:cs="宋体" w:hint="eastAsia"/>
                <w:kern w:val="0"/>
              </w:rPr>
              <w:t>，</w:t>
            </w:r>
            <w:r>
              <w:rPr>
                <w:kern w:val="0"/>
              </w:rPr>
              <w:t>B≤3.3m</w:t>
            </w:r>
          </w:p>
        </w:tc>
        <w:tc>
          <w:tcPr>
            <w:tcW w:w="2630" w:type="dxa"/>
            <w:vMerge w:val="restart"/>
            <w:vAlign w:val="center"/>
          </w:tcPr>
          <w:p w:rsidR="00A32067" w:rsidRDefault="00A32067">
            <w:pPr>
              <w:widowControl/>
              <w:numPr>
                <w:ilvl w:val="0"/>
                <w:numId w:val="7"/>
              </w:numPr>
              <w:tabs>
                <w:tab w:val="left" w:pos="6"/>
              </w:tabs>
              <w:adjustRightInd w:val="0"/>
              <w:snapToGrid w:val="0"/>
              <w:spacing w:after="200"/>
              <w:ind w:left="6" w:firstLine="0"/>
              <w:jc w:val="left"/>
              <w:rPr>
                <w:kern w:val="0"/>
              </w:rPr>
            </w:pPr>
            <w:r>
              <w:rPr>
                <w:rFonts w:cs="宋体" w:hint="eastAsia"/>
                <w:kern w:val="0"/>
              </w:rPr>
              <w:t>委托方提供安全防护措施、加荷试块、辅助用工，并支付费用。</w:t>
            </w:r>
          </w:p>
          <w:p w:rsidR="00A32067" w:rsidRDefault="00A32067">
            <w:pPr>
              <w:widowControl/>
              <w:numPr>
                <w:ilvl w:val="0"/>
                <w:numId w:val="7"/>
              </w:numPr>
              <w:tabs>
                <w:tab w:val="left" w:pos="-3"/>
              </w:tabs>
              <w:adjustRightInd w:val="0"/>
              <w:snapToGrid w:val="0"/>
              <w:spacing w:after="200"/>
              <w:ind w:left="-3" w:firstLine="0"/>
              <w:jc w:val="left"/>
              <w:rPr>
                <w:kern w:val="0"/>
              </w:rPr>
            </w:pPr>
            <w:r>
              <w:rPr>
                <w:rFonts w:cs="宋体" w:hint="eastAsia"/>
                <w:kern w:val="0"/>
              </w:rPr>
              <w:t>试验项目及终止条件合同中另行规定</w:t>
            </w:r>
          </w:p>
        </w:tc>
      </w:tr>
      <w:tr w:rsidR="00A32067">
        <w:trPr>
          <w:cantSplit/>
          <w:trHeight w:hRule="exact" w:val="523"/>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2000</w:t>
            </w:r>
          </w:p>
        </w:tc>
        <w:tc>
          <w:tcPr>
            <w:tcW w:w="1608" w:type="dxa"/>
            <w:vAlign w:val="center"/>
          </w:tcPr>
          <w:p w:rsidR="00A32067" w:rsidRDefault="00A32067">
            <w:pPr>
              <w:widowControl/>
              <w:adjustRightInd w:val="0"/>
              <w:snapToGrid w:val="0"/>
              <w:spacing w:after="200"/>
              <w:jc w:val="center"/>
              <w:rPr>
                <w:kern w:val="0"/>
              </w:rPr>
            </w:pPr>
            <w:r>
              <w:rPr>
                <w:rFonts w:cs="宋体" w:hint="eastAsia"/>
                <w:kern w:val="0"/>
              </w:rPr>
              <w:t>空心板</w:t>
            </w:r>
            <w:r>
              <w:rPr>
                <w:kern w:val="0"/>
              </w:rPr>
              <w:t>L≤4.2m</w:t>
            </w:r>
          </w:p>
        </w:tc>
        <w:tc>
          <w:tcPr>
            <w:tcW w:w="2630" w:type="dxa"/>
            <w:vMerge/>
            <w:vAlign w:val="center"/>
          </w:tcPr>
          <w:p w:rsidR="00A32067" w:rsidRDefault="00A32067">
            <w:pPr>
              <w:widowControl/>
              <w:adjustRightInd w:val="0"/>
              <w:snapToGrid w:val="0"/>
              <w:spacing w:after="200"/>
              <w:ind w:right="-30" w:hanging="81"/>
              <w:jc w:val="left"/>
              <w:rPr>
                <w:kern w:val="0"/>
              </w:rPr>
            </w:pPr>
          </w:p>
        </w:tc>
      </w:tr>
      <w:tr w:rsidR="00A32067">
        <w:trPr>
          <w:cantSplit/>
          <w:trHeight w:hRule="exact" w:val="492"/>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Merge/>
            <w:vAlign w:val="center"/>
          </w:tcPr>
          <w:p w:rsidR="00A32067" w:rsidRDefault="00A32067">
            <w:pPr>
              <w:widowControl/>
              <w:adjustRightInd w:val="0"/>
              <w:snapToGrid w:val="0"/>
              <w:spacing w:after="200" w:line="240" w:lineRule="exact"/>
              <w:jc w:val="center"/>
              <w:rPr>
                <w:kern w:val="0"/>
              </w:rPr>
            </w:pPr>
          </w:p>
        </w:tc>
        <w:tc>
          <w:tcPr>
            <w:tcW w:w="2268"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567"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3000</w:t>
            </w:r>
          </w:p>
        </w:tc>
        <w:tc>
          <w:tcPr>
            <w:tcW w:w="1608" w:type="dxa"/>
            <w:vAlign w:val="center"/>
          </w:tcPr>
          <w:p w:rsidR="00A32067" w:rsidRDefault="00A32067">
            <w:pPr>
              <w:widowControl/>
              <w:adjustRightInd w:val="0"/>
              <w:snapToGrid w:val="0"/>
              <w:spacing w:after="200"/>
              <w:jc w:val="center"/>
              <w:rPr>
                <w:kern w:val="0"/>
              </w:rPr>
            </w:pPr>
            <w:r>
              <w:rPr>
                <w:rFonts w:cs="宋体" w:hint="eastAsia"/>
                <w:kern w:val="0"/>
              </w:rPr>
              <w:t>砼板</w:t>
            </w:r>
            <w:r>
              <w:rPr>
                <w:kern w:val="0"/>
              </w:rPr>
              <w:t>L≤6.0m</w:t>
            </w:r>
          </w:p>
        </w:tc>
        <w:tc>
          <w:tcPr>
            <w:tcW w:w="2630" w:type="dxa"/>
            <w:vMerge/>
            <w:vAlign w:val="center"/>
          </w:tcPr>
          <w:p w:rsidR="00A32067" w:rsidRDefault="00A32067">
            <w:pPr>
              <w:widowControl/>
              <w:adjustRightInd w:val="0"/>
              <w:snapToGrid w:val="0"/>
              <w:spacing w:after="200"/>
              <w:ind w:right="-30" w:hanging="81"/>
              <w:jc w:val="left"/>
              <w:rPr>
                <w:kern w:val="0"/>
              </w:rPr>
            </w:pPr>
          </w:p>
        </w:tc>
      </w:tr>
      <w:tr w:rsidR="00A32067">
        <w:trPr>
          <w:cantSplit/>
          <w:trHeight w:hRule="exact" w:val="543"/>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Align w:val="center"/>
          </w:tcPr>
          <w:p w:rsidR="00A32067" w:rsidRDefault="00A32067">
            <w:pPr>
              <w:widowControl/>
              <w:adjustRightInd w:val="0"/>
              <w:snapToGrid w:val="0"/>
              <w:spacing w:after="200" w:line="240" w:lineRule="exact"/>
              <w:jc w:val="center"/>
              <w:rPr>
                <w:kern w:val="0"/>
              </w:rPr>
            </w:pPr>
            <w:r>
              <w:rPr>
                <w:kern w:val="0"/>
              </w:rPr>
              <w:t>P05</w:t>
            </w:r>
          </w:p>
        </w:tc>
        <w:tc>
          <w:tcPr>
            <w:tcW w:w="2268"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保护层及配筋检测</w:t>
            </w:r>
          </w:p>
        </w:tc>
        <w:tc>
          <w:tcPr>
            <w:tcW w:w="567"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jc w:val="center"/>
              <w:rPr>
                <w:kern w:val="0"/>
              </w:rPr>
            </w:pPr>
            <w:r>
              <w:rPr>
                <w:kern w:val="0"/>
              </w:rPr>
              <w:t>800</w:t>
            </w:r>
          </w:p>
        </w:tc>
        <w:tc>
          <w:tcPr>
            <w:tcW w:w="4238" w:type="dxa"/>
            <w:gridSpan w:val="2"/>
            <w:vAlign w:val="center"/>
          </w:tcPr>
          <w:p w:rsidR="00A32067" w:rsidRDefault="00A32067">
            <w:pPr>
              <w:widowControl/>
              <w:adjustRightInd w:val="0"/>
              <w:snapToGrid w:val="0"/>
              <w:spacing w:after="200"/>
              <w:jc w:val="left"/>
              <w:rPr>
                <w:kern w:val="0"/>
              </w:rPr>
            </w:pPr>
            <w:r>
              <w:rPr>
                <w:rFonts w:cs="宋体" w:hint="eastAsia"/>
                <w:kern w:val="0"/>
              </w:rPr>
              <w:t>仅检测保护层厚取</w:t>
            </w:r>
            <w:r>
              <w:rPr>
                <w:kern w:val="0"/>
              </w:rPr>
              <w:t>0.25</w:t>
            </w:r>
            <w:r>
              <w:rPr>
                <w:rFonts w:cs="宋体" w:hint="eastAsia"/>
                <w:kern w:val="0"/>
              </w:rPr>
              <w:t>基价</w:t>
            </w:r>
            <w:r>
              <w:rPr>
                <w:kern w:val="0"/>
              </w:rPr>
              <w:t>/</w:t>
            </w:r>
            <w:r>
              <w:rPr>
                <w:rFonts w:cs="宋体" w:hint="eastAsia"/>
                <w:kern w:val="0"/>
              </w:rPr>
              <w:t>件。</w:t>
            </w:r>
          </w:p>
        </w:tc>
      </w:tr>
      <w:tr w:rsidR="00A32067">
        <w:trPr>
          <w:cantSplit/>
          <w:trHeight w:hRule="exact" w:val="569"/>
          <w:jc w:val="center"/>
        </w:trPr>
        <w:tc>
          <w:tcPr>
            <w:tcW w:w="1135" w:type="dxa"/>
            <w:vMerge/>
            <w:vAlign w:val="center"/>
          </w:tcPr>
          <w:p w:rsidR="00A32067" w:rsidRDefault="00A32067">
            <w:pPr>
              <w:widowControl/>
              <w:adjustRightInd w:val="0"/>
              <w:snapToGrid w:val="0"/>
              <w:spacing w:after="200"/>
              <w:jc w:val="center"/>
              <w:rPr>
                <w:kern w:val="0"/>
              </w:rPr>
            </w:pPr>
          </w:p>
        </w:tc>
        <w:tc>
          <w:tcPr>
            <w:tcW w:w="723" w:type="dxa"/>
            <w:vAlign w:val="center"/>
          </w:tcPr>
          <w:p w:rsidR="00A32067" w:rsidRDefault="00A32067" w:rsidP="00A32067">
            <w:pPr>
              <w:widowControl/>
              <w:adjustRightInd w:val="0"/>
              <w:snapToGrid w:val="0"/>
              <w:spacing w:after="200" w:line="240" w:lineRule="exact"/>
              <w:ind w:firstLineChars="50" w:firstLine="31680"/>
              <w:jc w:val="left"/>
              <w:rPr>
                <w:kern w:val="0"/>
              </w:rPr>
            </w:pPr>
            <w:r>
              <w:rPr>
                <w:kern w:val="0"/>
              </w:rPr>
              <w:t>P06</w:t>
            </w:r>
          </w:p>
        </w:tc>
        <w:tc>
          <w:tcPr>
            <w:tcW w:w="2268" w:type="dxa"/>
            <w:vAlign w:val="center"/>
          </w:tcPr>
          <w:p w:rsidR="00A32067" w:rsidRDefault="00A32067" w:rsidP="00A32067">
            <w:pPr>
              <w:widowControl/>
              <w:adjustRightInd w:val="0"/>
              <w:snapToGrid w:val="0"/>
              <w:spacing w:after="200"/>
              <w:ind w:rightChars="-51" w:right="31680"/>
              <w:jc w:val="left"/>
              <w:rPr>
                <w:kern w:val="0"/>
              </w:rPr>
            </w:pPr>
            <w:r>
              <w:rPr>
                <w:rFonts w:cs="宋体" w:hint="eastAsia"/>
                <w:kern w:val="0"/>
              </w:rPr>
              <w:t>构件钢筋锈蚀检测</w:t>
            </w:r>
          </w:p>
        </w:tc>
        <w:tc>
          <w:tcPr>
            <w:tcW w:w="567"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测区</w:t>
            </w:r>
          </w:p>
        </w:tc>
        <w:tc>
          <w:tcPr>
            <w:tcW w:w="851" w:type="dxa"/>
            <w:vAlign w:val="center"/>
          </w:tcPr>
          <w:p w:rsidR="00A32067" w:rsidRDefault="00A32067">
            <w:pPr>
              <w:widowControl/>
              <w:adjustRightInd w:val="0"/>
              <w:snapToGrid w:val="0"/>
              <w:spacing w:after="200"/>
              <w:jc w:val="center"/>
              <w:rPr>
                <w:kern w:val="0"/>
              </w:rPr>
            </w:pPr>
            <w:r>
              <w:rPr>
                <w:kern w:val="0"/>
              </w:rPr>
              <w:t>300</w:t>
            </w:r>
          </w:p>
        </w:tc>
        <w:tc>
          <w:tcPr>
            <w:tcW w:w="4238" w:type="dxa"/>
            <w:gridSpan w:val="2"/>
            <w:vAlign w:val="center"/>
          </w:tcPr>
          <w:p w:rsidR="00A32067" w:rsidRDefault="00A32067">
            <w:pPr>
              <w:widowControl/>
              <w:adjustRightInd w:val="0"/>
              <w:snapToGrid w:val="0"/>
              <w:spacing w:after="200"/>
              <w:ind w:right="-30" w:hanging="81"/>
              <w:jc w:val="left"/>
              <w:rPr>
                <w:kern w:val="0"/>
              </w:rPr>
            </w:pPr>
          </w:p>
        </w:tc>
      </w:tr>
      <w:tr w:rsidR="00A32067">
        <w:trPr>
          <w:cantSplit/>
          <w:trHeight w:hRule="exact" w:val="559"/>
          <w:jc w:val="center"/>
        </w:trPr>
        <w:tc>
          <w:tcPr>
            <w:tcW w:w="1135" w:type="dxa"/>
            <w:vMerge/>
            <w:vAlign w:val="center"/>
          </w:tcPr>
          <w:p w:rsidR="00A32067" w:rsidRDefault="00A32067">
            <w:pPr>
              <w:widowControl/>
              <w:adjustRightInd w:val="0"/>
              <w:snapToGrid w:val="0"/>
              <w:spacing w:after="200"/>
              <w:jc w:val="center"/>
              <w:rPr>
                <w:kern w:val="0"/>
                <w:sz w:val="24"/>
                <w:szCs w:val="24"/>
              </w:rPr>
            </w:pPr>
          </w:p>
        </w:tc>
        <w:tc>
          <w:tcPr>
            <w:tcW w:w="723"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P07</w:t>
            </w:r>
          </w:p>
        </w:tc>
        <w:tc>
          <w:tcPr>
            <w:tcW w:w="2268"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砼中氯离子含量测试</w:t>
            </w:r>
          </w:p>
        </w:tc>
        <w:tc>
          <w:tcPr>
            <w:tcW w:w="567" w:type="dxa"/>
            <w:vAlign w:val="center"/>
          </w:tcPr>
          <w:p w:rsidR="00A32067" w:rsidRDefault="00A32067" w:rsidP="00A32067">
            <w:pPr>
              <w:widowControl/>
              <w:adjustRightInd w:val="0"/>
              <w:snapToGrid w:val="0"/>
              <w:spacing w:after="200" w:line="240" w:lineRule="exact"/>
              <w:ind w:leftChars="-51" w:left="31680" w:rightChars="-51" w:right="31680" w:hangingChars="51" w:firstLine="31680"/>
              <w:jc w:val="center"/>
              <w:rPr>
                <w:kern w:val="0"/>
              </w:rPr>
            </w:pPr>
            <w:r>
              <w:rPr>
                <w:rFonts w:cs="宋体" w:hint="eastAsia"/>
                <w:kern w:val="0"/>
              </w:rPr>
              <w:t>样</w:t>
            </w:r>
          </w:p>
        </w:tc>
        <w:tc>
          <w:tcPr>
            <w:tcW w:w="851"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400</w:t>
            </w:r>
          </w:p>
        </w:tc>
        <w:tc>
          <w:tcPr>
            <w:tcW w:w="4238" w:type="dxa"/>
            <w:gridSpan w:val="2"/>
            <w:vAlign w:val="center"/>
          </w:tcPr>
          <w:p w:rsidR="00A32067" w:rsidRDefault="00A32067">
            <w:pPr>
              <w:widowControl/>
              <w:adjustRightInd w:val="0"/>
              <w:snapToGrid w:val="0"/>
              <w:spacing w:after="200"/>
              <w:jc w:val="center"/>
              <w:rPr>
                <w:kern w:val="0"/>
                <w:sz w:val="24"/>
                <w:szCs w:val="24"/>
              </w:rPr>
            </w:pPr>
          </w:p>
        </w:tc>
      </w:tr>
    </w:tbl>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P08</w:t>
      </w:r>
      <w:r>
        <w:rPr>
          <w:rFonts w:ascii="Times New Roman" w:hAnsi="Times New Roman" w:hint="eastAsia"/>
          <w:b/>
          <w:bCs/>
          <w:kern w:val="2"/>
        </w:rPr>
        <w:t>～</w:t>
      </w:r>
      <w:r>
        <w:rPr>
          <w:rFonts w:ascii="Times New Roman" w:hAnsi="Times New Roman" w:cs="Times New Roman"/>
          <w:b/>
          <w:bCs/>
          <w:kern w:val="2"/>
        </w:rPr>
        <w:t>P13</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993"/>
        <w:gridCol w:w="1842"/>
        <w:gridCol w:w="709"/>
        <w:gridCol w:w="851"/>
        <w:gridCol w:w="1848"/>
        <w:gridCol w:w="2404"/>
      </w:tblGrid>
      <w:tr w:rsidR="00A32067">
        <w:trPr>
          <w:cantSplit/>
          <w:trHeight w:hRule="exact" w:val="454"/>
          <w:jc w:val="center"/>
        </w:trPr>
        <w:tc>
          <w:tcPr>
            <w:tcW w:w="851"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993"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842" w:type="dxa"/>
            <w:vMerge w:val="restart"/>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测试项目</w:t>
            </w:r>
          </w:p>
        </w:tc>
        <w:tc>
          <w:tcPr>
            <w:tcW w:w="709" w:type="dxa"/>
            <w:vMerge w:val="restart"/>
            <w:vAlign w:val="center"/>
          </w:tcPr>
          <w:p w:rsidR="00A32067" w:rsidRDefault="00A32067" w:rsidP="00A32067">
            <w:pPr>
              <w:widowControl/>
              <w:adjustRightInd w:val="0"/>
              <w:snapToGrid w:val="0"/>
              <w:spacing w:after="200"/>
              <w:ind w:leftChars="-50" w:left="31680" w:rightChars="-51" w:right="31680" w:hangingChars="50" w:firstLine="31680"/>
              <w:jc w:val="center"/>
              <w:rPr>
                <w:kern w:val="0"/>
              </w:rPr>
            </w:pPr>
            <w:r>
              <w:rPr>
                <w:rFonts w:cs="宋体" w:hint="eastAsia"/>
                <w:kern w:val="0"/>
              </w:rPr>
              <w:t>单位</w:t>
            </w:r>
          </w:p>
        </w:tc>
        <w:tc>
          <w:tcPr>
            <w:tcW w:w="851"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252"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hRule="exact" w:val="454"/>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ign w:val="center"/>
          </w:tcPr>
          <w:p w:rsidR="00A32067" w:rsidRDefault="00A32067">
            <w:pPr>
              <w:widowControl/>
              <w:adjustRightInd w:val="0"/>
              <w:snapToGrid w:val="0"/>
              <w:spacing w:after="200"/>
              <w:jc w:val="center"/>
              <w:rPr>
                <w:kern w:val="0"/>
              </w:rPr>
            </w:pPr>
          </w:p>
        </w:tc>
        <w:tc>
          <w:tcPr>
            <w:tcW w:w="1842" w:type="dxa"/>
            <w:vMerge/>
            <w:vAlign w:val="center"/>
          </w:tcPr>
          <w:p w:rsidR="00A32067" w:rsidRDefault="00A32067">
            <w:pPr>
              <w:widowControl/>
              <w:adjustRightInd w:val="0"/>
              <w:snapToGrid w:val="0"/>
              <w:spacing w:after="200"/>
              <w:jc w:val="center"/>
              <w:rPr>
                <w:kern w:val="0"/>
              </w:rPr>
            </w:pPr>
          </w:p>
        </w:tc>
        <w:tc>
          <w:tcPr>
            <w:tcW w:w="709" w:type="dxa"/>
            <w:vMerge/>
            <w:vAlign w:val="center"/>
          </w:tcPr>
          <w:p w:rsidR="00A32067" w:rsidRDefault="00A32067" w:rsidP="00A32067">
            <w:pPr>
              <w:widowControl/>
              <w:adjustRightInd w:val="0"/>
              <w:snapToGrid w:val="0"/>
              <w:spacing w:after="200"/>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jc w:val="center"/>
              <w:rPr>
                <w:kern w:val="0"/>
              </w:rPr>
            </w:pPr>
          </w:p>
        </w:tc>
        <w:tc>
          <w:tcPr>
            <w:tcW w:w="4252" w:type="dxa"/>
            <w:gridSpan w:val="2"/>
            <w:vMerge/>
            <w:vAlign w:val="center"/>
          </w:tcPr>
          <w:p w:rsidR="00A32067" w:rsidRDefault="00A32067">
            <w:pPr>
              <w:widowControl/>
              <w:adjustRightInd w:val="0"/>
              <w:snapToGrid w:val="0"/>
              <w:spacing w:after="200"/>
              <w:jc w:val="center"/>
              <w:rPr>
                <w:kern w:val="0"/>
              </w:rPr>
            </w:pPr>
          </w:p>
        </w:tc>
      </w:tr>
      <w:tr w:rsidR="00A32067">
        <w:trPr>
          <w:cantSplit/>
          <w:trHeight w:hRule="exact" w:val="454"/>
          <w:jc w:val="center"/>
        </w:trPr>
        <w:tc>
          <w:tcPr>
            <w:tcW w:w="851"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砌体结构性能检测</w:t>
            </w:r>
          </w:p>
        </w:tc>
        <w:tc>
          <w:tcPr>
            <w:tcW w:w="993" w:type="dxa"/>
            <w:vMerge w:val="restart"/>
            <w:vAlign w:val="center"/>
          </w:tcPr>
          <w:p w:rsidR="00A32067" w:rsidRDefault="00A32067">
            <w:pPr>
              <w:widowControl/>
              <w:adjustRightInd w:val="0"/>
              <w:snapToGrid w:val="0"/>
              <w:spacing w:after="200" w:line="240" w:lineRule="exact"/>
              <w:jc w:val="center"/>
              <w:rPr>
                <w:kern w:val="0"/>
              </w:rPr>
            </w:pPr>
            <w:r>
              <w:rPr>
                <w:kern w:val="0"/>
              </w:rPr>
              <w:t>P08</w:t>
            </w:r>
          </w:p>
        </w:tc>
        <w:tc>
          <w:tcPr>
            <w:tcW w:w="1842" w:type="dxa"/>
            <w:vMerge w:val="restart"/>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砌体抗压强度</w:t>
            </w:r>
          </w:p>
        </w:tc>
        <w:tc>
          <w:tcPr>
            <w:tcW w:w="709"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Merge w:val="restart"/>
            <w:vAlign w:val="center"/>
          </w:tcPr>
          <w:p w:rsidR="00A32067" w:rsidRDefault="00A32067">
            <w:pPr>
              <w:widowControl/>
              <w:adjustRightInd w:val="0"/>
              <w:snapToGrid w:val="0"/>
              <w:spacing w:after="200" w:line="240" w:lineRule="exact"/>
              <w:jc w:val="center"/>
              <w:rPr>
                <w:kern w:val="0"/>
              </w:rPr>
            </w:pPr>
            <w:r>
              <w:rPr>
                <w:kern w:val="0"/>
              </w:rPr>
              <w:t>2000</w:t>
            </w:r>
          </w:p>
        </w:tc>
        <w:tc>
          <w:tcPr>
            <w:tcW w:w="4252" w:type="dxa"/>
            <w:gridSpan w:val="2"/>
            <w:vMerge w:val="restart"/>
            <w:vAlign w:val="center"/>
          </w:tcPr>
          <w:p w:rsidR="00A32067" w:rsidRDefault="00A32067">
            <w:pPr>
              <w:widowControl/>
              <w:numPr>
                <w:ilvl w:val="0"/>
                <w:numId w:val="8"/>
              </w:numPr>
              <w:adjustRightInd w:val="0"/>
              <w:snapToGrid w:val="0"/>
              <w:spacing w:after="200" w:line="240" w:lineRule="exact"/>
              <w:jc w:val="left"/>
              <w:rPr>
                <w:kern w:val="0"/>
              </w:rPr>
            </w:pPr>
            <w:r>
              <w:rPr>
                <w:rFonts w:cs="宋体" w:hint="eastAsia"/>
                <w:kern w:val="0"/>
              </w:rPr>
              <w:t>适用于轴压法、扁顶法</w:t>
            </w:r>
          </w:p>
          <w:p w:rsidR="00A32067" w:rsidRDefault="00A32067">
            <w:pPr>
              <w:widowControl/>
              <w:numPr>
                <w:ilvl w:val="0"/>
                <w:numId w:val="8"/>
              </w:numPr>
              <w:adjustRightInd w:val="0"/>
              <w:snapToGrid w:val="0"/>
              <w:spacing w:after="200" w:line="240" w:lineRule="exact"/>
              <w:jc w:val="left"/>
              <w:rPr>
                <w:kern w:val="0"/>
              </w:rPr>
            </w:pPr>
            <w:r>
              <w:rPr>
                <w:rFonts w:cs="宋体" w:hint="eastAsia"/>
                <w:kern w:val="0"/>
              </w:rPr>
              <w:t>每测区</w:t>
            </w:r>
            <w:r>
              <w:rPr>
                <w:rFonts w:ascii="宋体" w:hAnsi="宋体" w:cs="宋体" w:hint="eastAsia"/>
                <w:kern w:val="0"/>
              </w:rPr>
              <w:t>≮</w:t>
            </w:r>
            <w:r>
              <w:rPr>
                <w:kern w:val="0"/>
              </w:rPr>
              <w:t>1</w:t>
            </w:r>
            <w:r>
              <w:rPr>
                <w:rFonts w:cs="宋体" w:hint="eastAsia"/>
                <w:kern w:val="0"/>
              </w:rPr>
              <w:t>个测点</w:t>
            </w:r>
          </w:p>
        </w:tc>
      </w:tr>
      <w:tr w:rsidR="00A32067">
        <w:trPr>
          <w:cantSplit/>
          <w:trHeight w:val="444"/>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52"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856"/>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r>
              <w:rPr>
                <w:rFonts w:cs="宋体" w:hint="eastAsia"/>
                <w:kern w:val="0"/>
              </w:rPr>
              <w:t>砌体受压工作应力</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Align w:val="center"/>
          </w:tcPr>
          <w:p w:rsidR="00A32067" w:rsidRDefault="00A32067">
            <w:pPr>
              <w:widowControl/>
              <w:adjustRightInd w:val="0"/>
              <w:snapToGrid w:val="0"/>
              <w:spacing w:after="200" w:line="240" w:lineRule="exact"/>
              <w:jc w:val="center"/>
              <w:rPr>
                <w:kern w:val="0"/>
              </w:rPr>
            </w:pPr>
            <w:r>
              <w:rPr>
                <w:kern w:val="0"/>
              </w:rPr>
              <w:t>2000</w:t>
            </w:r>
          </w:p>
        </w:tc>
        <w:tc>
          <w:tcPr>
            <w:tcW w:w="4252" w:type="dxa"/>
            <w:gridSpan w:val="2"/>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．适用于扁顶法</w:t>
            </w:r>
          </w:p>
          <w:p w:rsidR="00A32067" w:rsidRDefault="00A32067">
            <w:pPr>
              <w:widowControl/>
              <w:adjustRightInd w:val="0"/>
              <w:snapToGrid w:val="0"/>
              <w:spacing w:after="200" w:line="240" w:lineRule="exact"/>
              <w:jc w:val="left"/>
              <w:rPr>
                <w:kern w:val="0"/>
              </w:rPr>
            </w:pPr>
            <w:r>
              <w:rPr>
                <w:kern w:val="0"/>
              </w:rPr>
              <w:t>2</w:t>
            </w:r>
            <w:r>
              <w:rPr>
                <w:rFonts w:cs="宋体" w:hint="eastAsia"/>
                <w:kern w:val="0"/>
              </w:rPr>
              <w:t>．每测区</w:t>
            </w:r>
            <w:r>
              <w:rPr>
                <w:rFonts w:ascii="宋体" w:hAnsi="宋体" w:cs="宋体" w:hint="eastAsia"/>
                <w:kern w:val="0"/>
              </w:rPr>
              <w:t>≮</w:t>
            </w:r>
            <w:r>
              <w:rPr>
                <w:kern w:val="0"/>
              </w:rPr>
              <w:t>1</w:t>
            </w:r>
            <w:r>
              <w:rPr>
                <w:rFonts w:cs="宋体" w:hint="eastAsia"/>
                <w:kern w:val="0"/>
              </w:rPr>
              <w:t>个测点</w:t>
            </w:r>
          </w:p>
        </w:tc>
      </w:tr>
      <w:tr w:rsidR="00A32067">
        <w:trPr>
          <w:cantSplit/>
          <w:trHeight w:hRule="exact" w:val="982"/>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Align w:val="center"/>
          </w:tcPr>
          <w:p w:rsidR="00A32067" w:rsidRDefault="00A32067" w:rsidP="00A32067">
            <w:pPr>
              <w:widowControl/>
              <w:adjustRightInd w:val="0"/>
              <w:snapToGrid w:val="0"/>
              <w:spacing w:after="200"/>
              <w:ind w:leftChars="-52" w:left="31680" w:rightChars="-51" w:right="31680"/>
              <w:jc w:val="center"/>
              <w:rPr>
                <w:kern w:val="0"/>
              </w:rPr>
            </w:pPr>
            <w:r>
              <w:rPr>
                <w:rFonts w:cs="宋体" w:hint="eastAsia"/>
                <w:kern w:val="0"/>
              </w:rPr>
              <w:t>砌体弹性</w:t>
            </w:r>
          </w:p>
          <w:p w:rsidR="00A32067" w:rsidRDefault="00A32067" w:rsidP="00A32067">
            <w:pPr>
              <w:widowControl/>
              <w:adjustRightInd w:val="0"/>
              <w:snapToGrid w:val="0"/>
              <w:spacing w:after="200"/>
              <w:ind w:leftChars="-52" w:left="31680" w:rightChars="-51" w:right="31680"/>
              <w:jc w:val="center"/>
              <w:rPr>
                <w:kern w:val="0"/>
              </w:rPr>
            </w:pPr>
            <w:r>
              <w:rPr>
                <w:rFonts w:cs="宋体" w:hint="eastAsia"/>
                <w:kern w:val="0"/>
              </w:rPr>
              <w:t>模量</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Align w:val="center"/>
          </w:tcPr>
          <w:p w:rsidR="00A32067" w:rsidRDefault="00A32067">
            <w:pPr>
              <w:widowControl/>
              <w:adjustRightInd w:val="0"/>
              <w:snapToGrid w:val="0"/>
              <w:spacing w:after="200" w:line="240" w:lineRule="exact"/>
              <w:jc w:val="center"/>
              <w:rPr>
                <w:kern w:val="0"/>
              </w:rPr>
            </w:pPr>
            <w:r>
              <w:rPr>
                <w:kern w:val="0"/>
              </w:rPr>
              <w:t>2000</w:t>
            </w:r>
          </w:p>
        </w:tc>
        <w:tc>
          <w:tcPr>
            <w:tcW w:w="4252" w:type="dxa"/>
            <w:gridSpan w:val="2"/>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．适用于扁顶法</w:t>
            </w:r>
          </w:p>
          <w:p w:rsidR="00A32067" w:rsidRDefault="00A32067">
            <w:pPr>
              <w:widowControl/>
              <w:adjustRightInd w:val="0"/>
              <w:snapToGrid w:val="0"/>
              <w:spacing w:after="200" w:line="240" w:lineRule="exact"/>
              <w:jc w:val="left"/>
              <w:rPr>
                <w:kern w:val="0"/>
              </w:rPr>
            </w:pPr>
            <w:r>
              <w:rPr>
                <w:kern w:val="0"/>
              </w:rPr>
              <w:t>2</w:t>
            </w:r>
            <w:r>
              <w:rPr>
                <w:rFonts w:cs="宋体" w:hint="eastAsia"/>
                <w:kern w:val="0"/>
              </w:rPr>
              <w:t>．每测区</w:t>
            </w:r>
            <w:r>
              <w:rPr>
                <w:rFonts w:ascii="宋体" w:hAnsi="宋体" w:cs="宋体" w:hint="eastAsia"/>
                <w:kern w:val="0"/>
              </w:rPr>
              <w:t>≮</w:t>
            </w:r>
            <w:r>
              <w:rPr>
                <w:kern w:val="0"/>
              </w:rPr>
              <w:t>1</w:t>
            </w:r>
            <w:r>
              <w:rPr>
                <w:rFonts w:cs="宋体" w:hint="eastAsia"/>
                <w:kern w:val="0"/>
              </w:rPr>
              <w:t>个测点</w:t>
            </w:r>
          </w:p>
        </w:tc>
      </w:tr>
      <w:tr w:rsidR="00A32067">
        <w:trPr>
          <w:cantSplit/>
          <w:trHeight w:val="440"/>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restart"/>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r>
              <w:rPr>
                <w:rFonts w:cs="宋体" w:hint="eastAsia"/>
                <w:kern w:val="0"/>
              </w:rPr>
              <w:t>砌体抗剪强度</w:t>
            </w:r>
          </w:p>
        </w:tc>
        <w:tc>
          <w:tcPr>
            <w:tcW w:w="709"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Merge w:val="restart"/>
            <w:vAlign w:val="center"/>
          </w:tcPr>
          <w:p w:rsidR="00A32067" w:rsidRDefault="00A32067">
            <w:pPr>
              <w:widowControl/>
              <w:adjustRightInd w:val="0"/>
              <w:snapToGrid w:val="0"/>
              <w:spacing w:after="200" w:line="240" w:lineRule="exact"/>
              <w:jc w:val="center"/>
              <w:rPr>
                <w:kern w:val="0"/>
              </w:rPr>
            </w:pPr>
            <w:r>
              <w:rPr>
                <w:kern w:val="0"/>
              </w:rPr>
              <w:t>300</w:t>
            </w:r>
          </w:p>
        </w:tc>
        <w:tc>
          <w:tcPr>
            <w:tcW w:w="4252" w:type="dxa"/>
            <w:gridSpan w:val="2"/>
            <w:vMerge w:val="restart"/>
            <w:vAlign w:val="center"/>
          </w:tcPr>
          <w:p w:rsidR="00A32067" w:rsidRDefault="00A32067">
            <w:pPr>
              <w:widowControl/>
              <w:adjustRightInd w:val="0"/>
              <w:snapToGrid w:val="0"/>
              <w:spacing w:after="200" w:line="240" w:lineRule="exact"/>
              <w:jc w:val="left"/>
              <w:rPr>
                <w:kern w:val="0"/>
              </w:rPr>
            </w:pPr>
            <w:r>
              <w:rPr>
                <w:rFonts w:cs="宋体" w:hint="eastAsia"/>
                <w:kern w:val="0"/>
              </w:rPr>
              <w:t>适用于砌体单剪法、单砖双剪法</w:t>
            </w:r>
          </w:p>
        </w:tc>
      </w:tr>
      <w:tr w:rsidR="00A32067">
        <w:trPr>
          <w:cantSplit/>
          <w:trHeight w:hRule="exact" w:val="454"/>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line="240" w:lineRule="exact"/>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Merge/>
            <w:vAlign w:val="center"/>
          </w:tcPr>
          <w:p w:rsidR="00A32067" w:rsidRDefault="00A32067">
            <w:pPr>
              <w:widowControl/>
              <w:adjustRightInd w:val="0"/>
              <w:snapToGrid w:val="0"/>
              <w:spacing w:after="200" w:line="240" w:lineRule="exact"/>
              <w:jc w:val="center"/>
              <w:rPr>
                <w:kern w:val="0"/>
              </w:rPr>
            </w:pPr>
          </w:p>
        </w:tc>
        <w:tc>
          <w:tcPr>
            <w:tcW w:w="4252" w:type="dxa"/>
            <w:gridSpan w:val="2"/>
            <w:vMerge/>
            <w:vAlign w:val="center"/>
          </w:tcPr>
          <w:p w:rsidR="00A32067" w:rsidRDefault="00A32067">
            <w:pPr>
              <w:widowControl/>
              <w:adjustRightInd w:val="0"/>
              <w:snapToGrid w:val="0"/>
              <w:spacing w:after="200" w:line="240" w:lineRule="exact"/>
              <w:jc w:val="center"/>
              <w:rPr>
                <w:kern w:val="0"/>
              </w:rPr>
            </w:pPr>
          </w:p>
        </w:tc>
      </w:tr>
      <w:tr w:rsidR="00A32067">
        <w:trPr>
          <w:cantSplit/>
          <w:trHeight w:hRule="exact" w:val="499"/>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restart"/>
            <w:vAlign w:val="center"/>
          </w:tcPr>
          <w:p w:rsidR="00A32067" w:rsidRDefault="00A32067">
            <w:pPr>
              <w:widowControl/>
              <w:adjustRightInd w:val="0"/>
              <w:snapToGrid w:val="0"/>
              <w:spacing w:after="200" w:line="240" w:lineRule="exact"/>
              <w:jc w:val="center"/>
              <w:rPr>
                <w:kern w:val="0"/>
              </w:rPr>
            </w:pPr>
            <w:r>
              <w:rPr>
                <w:kern w:val="0"/>
              </w:rPr>
              <w:t>P09</w:t>
            </w:r>
          </w:p>
        </w:tc>
        <w:tc>
          <w:tcPr>
            <w:tcW w:w="1842" w:type="dxa"/>
            <w:vMerge w:val="restart"/>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砂浆抗压强度</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Align w:val="center"/>
          </w:tcPr>
          <w:p w:rsidR="00A32067" w:rsidRDefault="00A32067">
            <w:pPr>
              <w:widowControl/>
              <w:adjustRightInd w:val="0"/>
              <w:snapToGrid w:val="0"/>
              <w:spacing w:after="200" w:line="240" w:lineRule="exact"/>
              <w:jc w:val="center"/>
              <w:rPr>
                <w:kern w:val="0"/>
              </w:rPr>
            </w:pPr>
            <w:r>
              <w:rPr>
                <w:kern w:val="0"/>
              </w:rPr>
              <w:t>300</w:t>
            </w:r>
          </w:p>
        </w:tc>
        <w:tc>
          <w:tcPr>
            <w:tcW w:w="425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适用于推出法、筒压法</w:t>
            </w:r>
          </w:p>
        </w:tc>
      </w:tr>
      <w:tr w:rsidR="00A32067">
        <w:trPr>
          <w:cantSplit/>
          <w:trHeight w:hRule="exact" w:val="565"/>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测点</w:t>
            </w:r>
          </w:p>
        </w:tc>
        <w:tc>
          <w:tcPr>
            <w:tcW w:w="851" w:type="dxa"/>
            <w:vAlign w:val="center"/>
          </w:tcPr>
          <w:p w:rsidR="00A32067" w:rsidRDefault="00A32067">
            <w:pPr>
              <w:widowControl/>
              <w:adjustRightInd w:val="0"/>
              <w:snapToGrid w:val="0"/>
              <w:spacing w:after="200" w:line="240" w:lineRule="exact"/>
              <w:jc w:val="center"/>
              <w:rPr>
                <w:kern w:val="0"/>
              </w:rPr>
            </w:pPr>
            <w:r>
              <w:rPr>
                <w:kern w:val="0"/>
              </w:rPr>
              <w:t>100</w:t>
            </w:r>
          </w:p>
        </w:tc>
        <w:tc>
          <w:tcPr>
            <w:tcW w:w="425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适用于砂浆片剪切法、点荷法</w:t>
            </w:r>
          </w:p>
        </w:tc>
      </w:tr>
      <w:tr w:rsidR="00A32067">
        <w:trPr>
          <w:cantSplit/>
          <w:trHeight w:hRule="exact" w:val="454"/>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测区</w:t>
            </w:r>
          </w:p>
        </w:tc>
        <w:tc>
          <w:tcPr>
            <w:tcW w:w="851" w:type="dxa"/>
            <w:vAlign w:val="center"/>
          </w:tcPr>
          <w:p w:rsidR="00A32067" w:rsidRDefault="00A32067">
            <w:pPr>
              <w:widowControl/>
              <w:adjustRightInd w:val="0"/>
              <w:snapToGrid w:val="0"/>
              <w:spacing w:after="200" w:line="240" w:lineRule="exact"/>
              <w:jc w:val="center"/>
              <w:rPr>
                <w:kern w:val="0"/>
              </w:rPr>
            </w:pPr>
            <w:r>
              <w:rPr>
                <w:kern w:val="0"/>
              </w:rPr>
              <w:t>300</w:t>
            </w:r>
          </w:p>
        </w:tc>
        <w:tc>
          <w:tcPr>
            <w:tcW w:w="425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适用于贯入法</w:t>
            </w:r>
          </w:p>
        </w:tc>
      </w:tr>
      <w:tr w:rsidR="00A32067">
        <w:trPr>
          <w:cantSplit/>
          <w:trHeight w:hRule="exact" w:val="454"/>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测区</w:t>
            </w:r>
          </w:p>
        </w:tc>
        <w:tc>
          <w:tcPr>
            <w:tcW w:w="851" w:type="dxa"/>
            <w:vAlign w:val="center"/>
          </w:tcPr>
          <w:p w:rsidR="00A32067" w:rsidRDefault="00A32067">
            <w:pPr>
              <w:widowControl/>
              <w:adjustRightInd w:val="0"/>
              <w:snapToGrid w:val="0"/>
              <w:spacing w:after="200" w:line="240" w:lineRule="exact"/>
              <w:jc w:val="center"/>
              <w:rPr>
                <w:kern w:val="0"/>
              </w:rPr>
            </w:pPr>
            <w:r>
              <w:rPr>
                <w:kern w:val="0"/>
              </w:rPr>
              <w:t>200</w:t>
            </w:r>
          </w:p>
        </w:tc>
        <w:tc>
          <w:tcPr>
            <w:tcW w:w="425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适用于回弹法、射钉法</w:t>
            </w:r>
          </w:p>
        </w:tc>
      </w:tr>
      <w:tr w:rsidR="00A32067">
        <w:trPr>
          <w:cantSplit/>
          <w:trHeight w:hRule="exact" w:val="514"/>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Align w:val="center"/>
          </w:tcPr>
          <w:p w:rsidR="00A32067" w:rsidRDefault="00A32067">
            <w:pPr>
              <w:widowControl/>
              <w:adjustRightInd w:val="0"/>
              <w:snapToGrid w:val="0"/>
              <w:spacing w:after="200" w:line="240" w:lineRule="exact"/>
              <w:jc w:val="center"/>
              <w:rPr>
                <w:kern w:val="0"/>
              </w:rPr>
            </w:pPr>
            <w:r>
              <w:rPr>
                <w:kern w:val="0"/>
              </w:rPr>
              <w:t>P10</w:t>
            </w:r>
          </w:p>
        </w:tc>
        <w:tc>
          <w:tcPr>
            <w:tcW w:w="1842" w:type="dxa"/>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粘土砖抗压强度</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测区</w:t>
            </w:r>
          </w:p>
        </w:tc>
        <w:tc>
          <w:tcPr>
            <w:tcW w:w="851" w:type="dxa"/>
            <w:vAlign w:val="center"/>
          </w:tcPr>
          <w:p w:rsidR="00A32067" w:rsidRDefault="00A32067">
            <w:pPr>
              <w:widowControl/>
              <w:adjustRightInd w:val="0"/>
              <w:snapToGrid w:val="0"/>
              <w:spacing w:after="200" w:line="240" w:lineRule="exact"/>
              <w:jc w:val="center"/>
              <w:rPr>
                <w:kern w:val="0"/>
              </w:rPr>
            </w:pPr>
            <w:r>
              <w:rPr>
                <w:kern w:val="0"/>
              </w:rPr>
              <w:t>150</w:t>
            </w:r>
          </w:p>
        </w:tc>
        <w:tc>
          <w:tcPr>
            <w:tcW w:w="4252" w:type="dxa"/>
            <w:gridSpan w:val="2"/>
            <w:vAlign w:val="center"/>
          </w:tcPr>
          <w:p w:rsidR="00A32067" w:rsidRDefault="00A32067">
            <w:pPr>
              <w:widowControl/>
              <w:adjustRightInd w:val="0"/>
              <w:snapToGrid w:val="0"/>
              <w:spacing w:after="200" w:line="240" w:lineRule="exact"/>
              <w:jc w:val="left"/>
              <w:rPr>
                <w:kern w:val="0"/>
              </w:rPr>
            </w:pPr>
          </w:p>
        </w:tc>
      </w:tr>
      <w:tr w:rsidR="00A32067">
        <w:trPr>
          <w:cantSplit/>
          <w:trHeight w:hRule="exact" w:val="550"/>
          <w:jc w:val="center"/>
        </w:trPr>
        <w:tc>
          <w:tcPr>
            <w:tcW w:w="851" w:type="dxa"/>
            <w:vMerge/>
            <w:vAlign w:val="center"/>
          </w:tcPr>
          <w:p w:rsidR="00A32067" w:rsidRDefault="00A32067">
            <w:pPr>
              <w:widowControl/>
              <w:adjustRightInd w:val="0"/>
              <w:snapToGrid w:val="0"/>
              <w:spacing w:after="200" w:line="240" w:lineRule="exact"/>
              <w:jc w:val="center"/>
              <w:rPr>
                <w:kern w:val="0"/>
              </w:rPr>
            </w:pPr>
          </w:p>
        </w:tc>
        <w:tc>
          <w:tcPr>
            <w:tcW w:w="993" w:type="dxa"/>
            <w:vAlign w:val="center"/>
          </w:tcPr>
          <w:p w:rsidR="00A32067" w:rsidRDefault="00A32067">
            <w:pPr>
              <w:widowControl/>
              <w:adjustRightInd w:val="0"/>
              <w:snapToGrid w:val="0"/>
              <w:spacing w:after="200" w:line="240" w:lineRule="exact"/>
              <w:jc w:val="center"/>
              <w:rPr>
                <w:kern w:val="0"/>
              </w:rPr>
            </w:pPr>
            <w:r>
              <w:rPr>
                <w:kern w:val="0"/>
              </w:rPr>
              <w:t>P11</w:t>
            </w:r>
          </w:p>
        </w:tc>
        <w:tc>
          <w:tcPr>
            <w:tcW w:w="1842" w:type="dxa"/>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r>
              <w:rPr>
                <w:rFonts w:cs="宋体" w:hint="eastAsia"/>
                <w:kern w:val="0"/>
              </w:rPr>
              <w:t>构造柱密实度检验</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层</w:t>
            </w:r>
            <w:r>
              <w:rPr>
                <w:kern w:val="0"/>
              </w:rPr>
              <w:t>·</w:t>
            </w:r>
            <w:r>
              <w:rPr>
                <w:rFonts w:cs="宋体" w:hint="eastAsia"/>
                <w:kern w:val="0"/>
              </w:rPr>
              <w:t>根</w:t>
            </w:r>
          </w:p>
        </w:tc>
        <w:tc>
          <w:tcPr>
            <w:tcW w:w="851" w:type="dxa"/>
            <w:vAlign w:val="center"/>
          </w:tcPr>
          <w:p w:rsidR="00A32067" w:rsidRDefault="00A32067">
            <w:pPr>
              <w:widowControl/>
              <w:adjustRightInd w:val="0"/>
              <w:snapToGrid w:val="0"/>
              <w:spacing w:after="200" w:line="240" w:lineRule="exact"/>
              <w:jc w:val="center"/>
              <w:rPr>
                <w:kern w:val="0"/>
              </w:rPr>
            </w:pPr>
            <w:r>
              <w:rPr>
                <w:kern w:val="0"/>
              </w:rPr>
              <w:t>200</w:t>
            </w:r>
          </w:p>
        </w:tc>
        <w:tc>
          <w:tcPr>
            <w:tcW w:w="425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不含砼强度测试</w:t>
            </w:r>
          </w:p>
        </w:tc>
      </w:tr>
      <w:tr w:rsidR="00A32067">
        <w:trPr>
          <w:cantSplit/>
          <w:trHeight w:hRule="exact" w:val="577"/>
          <w:jc w:val="center"/>
        </w:trPr>
        <w:tc>
          <w:tcPr>
            <w:tcW w:w="851" w:type="dxa"/>
            <w:vMerge w:val="restart"/>
            <w:vAlign w:val="center"/>
          </w:tcPr>
          <w:p w:rsidR="00A32067" w:rsidRDefault="00A32067">
            <w:pPr>
              <w:widowControl/>
              <w:adjustRightInd w:val="0"/>
              <w:snapToGrid w:val="0"/>
              <w:spacing w:after="200"/>
              <w:jc w:val="center"/>
              <w:rPr>
                <w:kern w:val="0"/>
              </w:rPr>
            </w:pPr>
            <w:r>
              <w:rPr>
                <w:rFonts w:cs="宋体" w:hint="eastAsia"/>
                <w:kern w:val="0"/>
              </w:rPr>
              <w:t>钢结构性能检验</w:t>
            </w:r>
          </w:p>
        </w:tc>
        <w:tc>
          <w:tcPr>
            <w:tcW w:w="993" w:type="dxa"/>
            <w:vMerge w:val="restart"/>
            <w:vAlign w:val="center"/>
          </w:tcPr>
          <w:p w:rsidR="00A32067" w:rsidRDefault="00A32067">
            <w:pPr>
              <w:widowControl/>
              <w:adjustRightInd w:val="0"/>
              <w:snapToGrid w:val="0"/>
              <w:spacing w:after="200" w:line="240" w:lineRule="exact"/>
              <w:jc w:val="center"/>
              <w:rPr>
                <w:kern w:val="0"/>
              </w:rPr>
            </w:pPr>
            <w:r>
              <w:rPr>
                <w:kern w:val="0"/>
              </w:rPr>
              <w:t>P12</w:t>
            </w:r>
          </w:p>
        </w:tc>
        <w:tc>
          <w:tcPr>
            <w:tcW w:w="1842" w:type="dxa"/>
            <w:vMerge w:val="restart"/>
            <w:vAlign w:val="center"/>
          </w:tcPr>
          <w:p w:rsidR="00A32067" w:rsidRDefault="00A32067" w:rsidP="00A32067">
            <w:pPr>
              <w:widowControl/>
              <w:adjustRightInd w:val="0"/>
              <w:snapToGrid w:val="0"/>
              <w:spacing w:after="200"/>
              <w:ind w:leftChars="-51" w:left="31680" w:rightChars="-51" w:right="31680" w:firstLineChars="13" w:firstLine="31680"/>
              <w:jc w:val="center"/>
              <w:rPr>
                <w:kern w:val="0"/>
              </w:rPr>
            </w:pPr>
            <w:r>
              <w:rPr>
                <w:rFonts w:cs="宋体" w:hint="eastAsia"/>
                <w:kern w:val="0"/>
              </w:rPr>
              <w:t>焊缝内部质量检测</w:t>
            </w:r>
          </w:p>
        </w:tc>
        <w:tc>
          <w:tcPr>
            <w:tcW w:w="709"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面</w:t>
            </w:r>
            <w:r>
              <w:rPr>
                <w:kern w:val="0"/>
              </w:rPr>
              <w:t>·m</w:t>
            </w:r>
            <w:r>
              <w:rPr>
                <w:rFonts w:cs="宋体" w:hint="eastAsia"/>
                <w:kern w:val="0"/>
              </w:rPr>
              <w:t>缝长</w:t>
            </w:r>
          </w:p>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或</w:t>
            </w:r>
          </w:p>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张</w:t>
            </w:r>
          </w:p>
        </w:tc>
        <w:tc>
          <w:tcPr>
            <w:tcW w:w="851" w:type="dxa"/>
            <w:vAlign w:val="center"/>
          </w:tcPr>
          <w:p w:rsidR="00A32067" w:rsidRDefault="00A32067">
            <w:pPr>
              <w:widowControl/>
              <w:adjustRightInd w:val="0"/>
              <w:snapToGrid w:val="0"/>
              <w:spacing w:after="200"/>
              <w:jc w:val="center"/>
              <w:rPr>
                <w:kern w:val="0"/>
              </w:rPr>
            </w:pPr>
            <w:r>
              <w:rPr>
                <w:kern w:val="0"/>
              </w:rPr>
              <w:t>60</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≤10mm</w:t>
            </w:r>
          </w:p>
        </w:tc>
        <w:tc>
          <w:tcPr>
            <w:tcW w:w="2404" w:type="dxa"/>
            <w:vMerge w:val="restart"/>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、适用于超声法、</w:t>
            </w:r>
            <w:r>
              <w:rPr>
                <w:kern w:val="0"/>
              </w:rPr>
              <w:t>X</w:t>
            </w:r>
            <w:r>
              <w:rPr>
                <w:rFonts w:cs="宋体" w:hint="eastAsia"/>
                <w:kern w:val="0"/>
              </w:rPr>
              <w:t>射线检测；</w:t>
            </w:r>
            <w:r>
              <w:rPr>
                <w:kern w:val="0"/>
              </w:rPr>
              <w:t>2</w:t>
            </w:r>
            <w:r>
              <w:rPr>
                <w:rFonts w:cs="宋体" w:hint="eastAsia"/>
                <w:kern w:val="0"/>
              </w:rPr>
              <w:t>、现场操作平台由委托方提供；防腐、防火涂料清理、恢复由委托方负责；</w:t>
            </w:r>
          </w:p>
          <w:p w:rsidR="00A32067" w:rsidRDefault="00A32067">
            <w:pPr>
              <w:widowControl/>
              <w:adjustRightInd w:val="0"/>
              <w:snapToGrid w:val="0"/>
              <w:spacing w:after="200" w:line="240" w:lineRule="exact"/>
              <w:jc w:val="left"/>
              <w:rPr>
                <w:kern w:val="0"/>
              </w:rPr>
            </w:pPr>
            <w:r>
              <w:rPr>
                <w:kern w:val="0"/>
              </w:rPr>
              <w:t>3</w:t>
            </w:r>
            <w:r>
              <w:rPr>
                <w:rFonts w:cs="宋体" w:hint="eastAsia"/>
                <w:kern w:val="0"/>
              </w:rPr>
              <w:t>、设备出机费另计，超声仪出机费</w:t>
            </w:r>
            <w:r>
              <w:rPr>
                <w:kern w:val="0"/>
              </w:rPr>
              <w:t>100</w:t>
            </w:r>
            <w:r>
              <w:rPr>
                <w:rFonts w:cs="宋体" w:hint="eastAsia"/>
                <w:kern w:val="0"/>
              </w:rPr>
              <w:t>元</w:t>
            </w:r>
            <w:r>
              <w:rPr>
                <w:kern w:val="0"/>
              </w:rPr>
              <w:t>/</w:t>
            </w:r>
            <w:r>
              <w:rPr>
                <w:rFonts w:cs="宋体" w:hint="eastAsia"/>
                <w:kern w:val="0"/>
              </w:rPr>
              <w:t>台</w:t>
            </w:r>
            <w:r>
              <w:rPr>
                <w:kern w:val="0"/>
              </w:rPr>
              <w:t>·</w:t>
            </w:r>
            <w:r>
              <w:rPr>
                <w:rFonts w:cs="宋体" w:hint="eastAsia"/>
                <w:kern w:val="0"/>
              </w:rPr>
              <w:t>天，</w:t>
            </w:r>
            <w:r>
              <w:rPr>
                <w:kern w:val="0"/>
              </w:rPr>
              <w:t>X</w:t>
            </w:r>
            <w:r>
              <w:rPr>
                <w:rFonts w:cs="宋体" w:hint="eastAsia"/>
                <w:kern w:val="0"/>
              </w:rPr>
              <w:t>射线出机费</w:t>
            </w:r>
            <w:r>
              <w:rPr>
                <w:kern w:val="0"/>
              </w:rPr>
              <w:t>200</w:t>
            </w:r>
            <w:r>
              <w:rPr>
                <w:rFonts w:cs="宋体" w:hint="eastAsia"/>
                <w:kern w:val="0"/>
              </w:rPr>
              <w:t>元</w:t>
            </w:r>
            <w:r>
              <w:rPr>
                <w:kern w:val="0"/>
              </w:rPr>
              <w:t>/</w:t>
            </w:r>
            <w:r>
              <w:rPr>
                <w:rFonts w:cs="宋体" w:hint="eastAsia"/>
                <w:kern w:val="0"/>
              </w:rPr>
              <w:t>台</w:t>
            </w:r>
            <w:r>
              <w:rPr>
                <w:kern w:val="0"/>
              </w:rPr>
              <w:t>·</w:t>
            </w:r>
            <w:r>
              <w:rPr>
                <w:rFonts w:cs="宋体" w:hint="eastAsia"/>
                <w:kern w:val="0"/>
              </w:rPr>
              <w:t>天。</w:t>
            </w:r>
          </w:p>
        </w:tc>
      </w:tr>
      <w:tr w:rsidR="00A32067">
        <w:trPr>
          <w:cantSplit/>
          <w:trHeight w:hRule="exact" w:val="557"/>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75</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20mm</w:t>
            </w:r>
          </w:p>
        </w:tc>
        <w:tc>
          <w:tcPr>
            <w:tcW w:w="2404" w:type="dxa"/>
            <w:vMerge/>
            <w:vAlign w:val="center"/>
          </w:tcPr>
          <w:p w:rsidR="00A32067" w:rsidRDefault="00A32067">
            <w:pPr>
              <w:widowControl/>
              <w:adjustRightInd w:val="0"/>
              <w:snapToGrid w:val="0"/>
              <w:spacing w:after="200"/>
              <w:jc w:val="center"/>
              <w:rPr>
                <w:kern w:val="0"/>
              </w:rPr>
            </w:pPr>
          </w:p>
        </w:tc>
      </w:tr>
      <w:tr w:rsidR="00A32067">
        <w:trPr>
          <w:cantSplit/>
          <w:trHeight w:hRule="exact" w:val="454"/>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85</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30mm</w:t>
            </w:r>
          </w:p>
        </w:tc>
        <w:tc>
          <w:tcPr>
            <w:tcW w:w="2404" w:type="dxa"/>
            <w:vMerge/>
            <w:vAlign w:val="center"/>
          </w:tcPr>
          <w:p w:rsidR="00A32067" w:rsidRDefault="00A32067">
            <w:pPr>
              <w:widowControl/>
              <w:adjustRightInd w:val="0"/>
              <w:snapToGrid w:val="0"/>
              <w:spacing w:after="200"/>
              <w:jc w:val="center"/>
              <w:rPr>
                <w:kern w:val="0"/>
              </w:rPr>
            </w:pPr>
          </w:p>
        </w:tc>
      </w:tr>
      <w:tr w:rsidR="00A32067">
        <w:trPr>
          <w:cantSplit/>
          <w:trHeight w:hRule="exact" w:val="553"/>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95</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40mm</w:t>
            </w:r>
          </w:p>
        </w:tc>
        <w:tc>
          <w:tcPr>
            <w:tcW w:w="2404" w:type="dxa"/>
            <w:vMerge/>
            <w:vAlign w:val="center"/>
          </w:tcPr>
          <w:p w:rsidR="00A32067" w:rsidRDefault="00A32067">
            <w:pPr>
              <w:widowControl/>
              <w:adjustRightInd w:val="0"/>
              <w:snapToGrid w:val="0"/>
              <w:spacing w:after="200"/>
              <w:jc w:val="center"/>
              <w:rPr>
                <w:kern w:val="0"/>
              </w:rPr>
            </w:pPr>
          </w:p>
        </w:tc>
      </w:tr>
      <w:tr w:rsidR="00A32067">
        <w:trPr>
          <w:cantSplit/>
          <w:trHeight w:hRule="exact" w:val="704"/>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ign w:val="center"/>
          </w:tcPr>
          <w:p w:rsidR="00A32067" w:rsidRDefault="00A32067">
            <w:pPr>
              <w:widowControl/>
              <w:adjustRightInd w:val="0"/>
              <w:snapToGrid w:val="0"/>
              <w:spacing w:after="200" w:line="240" w:lineRule="exact"/>
              <w:jc w:val="center"/>
              <w:rPr>
                <w:kern w:val="0"/>
              </w:rPr>
            </w:pPr>
          </w:p>
        </w:tc>
        <w:tc>
          <w:tcPr>
            <w:tcW w:w="1842" w:type="dxa"/>
            <w:vMerge/>
            <w:vAlign w:val="center"/>
          </w:tcPr>
          <w:p w:rsidR="00A32067" w:rsidRDefault="00A32067" w:rsidP="00A32067">
            <w:pPr>
              <w:widowControl/>
              <w:adjustRightInd w:val="0"/>
              <w:snapToGrid w:val="0"/>
              <w:spacing w:after="200"/>
              <w:ind w:leftChars="-38" w:left="31680" w:rightChars="-51" w:right="31680" w:hangingChars="38" w:firstLine="31680"/>
              <w:jc w:val="center"/>
              <w:rPr>
                <w:kern w:val="0"/>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105</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≥50mm</w:t>
            </w:r>
          </w:p>
        </w:tc>
        <w:tc>
          <w:tcPr>
            <w:tcW w:w="2404" w:type="dxa"/>
            <w:vMerge/>
            <w:vAlign w:val="center"/>
          </w:tcPr>
          <w:p w:rsidR="00A32067" w:rsidRDefault="00A32067">
            <w:pPr>
              <w:widowControl/>
              <w:adjustRightInd w:val="0"/>
              <w:snapToGrid w:val="0"/>
              <w:spacing w:after="200"/>
              <w:jc w:val="center"/>
              <w:rPr>
                <w:kern w:val="0"/>
              </w:rPr>
            </w:pPr>
          </w:p>
        </w:tc>
      </w:tr>
      <w:tr w:rsidR="00A32067">
        <w:trPr>
          <w:cantSplit/>
          <w:trHeight w:hRule="exact" w:val="561"/>
          <w:jc w:val="center"/>
        </w:trPr>
        <w:tc>
          <w:tcPr>
            <w:tcW w:w="851" w:type="dxa"/>
            <w:vMerge/>
            <w:vAlign w:val="center"/>
          </w:tcPr>
          <w:p w:rsidR="00A32067" w:rsidRDefault="00A32067">
            <w:pPr>
              <w:widowControl/>
              <w:adjustRightInd w:val="0"/>
              <w:snapToGrid w:val="0"/>
              <w:spacing w:after="200"/>
              <w:jc w:val="center"/>
              <w:rPr>
                <w:kern w:val="0"/>
              </w:rPr>
            </w:pPr>
          </w:p>
        </w:tc>
        <w:tc>
          <w:tcPr>
            <w:tcW w:w="993" w:type="dxa"/>
            <w:vMerge w:val="restart"/>
            <w:vAlign w:val="center"/>
          </w:tcPr>
          <w:p w:rsidR="00A32067" w:rsidRDefault="00A32067">
            <w:pPr>
              <w:widowControl/>
              <w:adjustRightInd w:val="0"/>
              <w:snapToGrid w:val="0"/>
              <w:spacing w:after="200" w:line="240" w:lineRule="exact"/>
              <w:jc w:val="center"/>
              <w:rPr>
                <w:kern w:val="0"/>
              </w:rPr>
            </w:pPr>
            <w:r>
              <w:rPr>
                <w:kern w:val="0"/>
              </w:rPr>
              <w:t>P13</w:t>
            </w:r>
          </w:p>
        </w:tc>
        <w:tc>
          <w:tcPr>
            <w:tcW w:w="1842" w:type="dxa"/>
            <w:vMerge w:val="restart"/>
            <w:vAlign w:val="center"/>
          </w:tcPr>
          <w:p w:rsidR="00A32067" w:rsidRDefault="00A32067" w:rsidP="00A32067">
            <w:pPr>
              <w:widowControl/>
              <w:adjustRightInd w:val="0"/>
              <w:snapToGrid w:val="0"/>
              <w:spacing w:after="200"/>
              <w:ind w:leftChars="-51" w:left="31680" w:rightChars="-51" w:right="31680" w:firstLineChars="13" w:firstLine="31680"/>
              <w:jc w:val="center"/>
              <w:rPr>
                <w:kern w:val="0"/>
              </w:rPr>
            </w:pPr>
            <w:r>
              <w:rPr>
                <w:rFonts w:cs="宋体" w:hint="eastAsia"/>
                <w:kern w:val="0"/>
              </w:rPr>
              <w:t>焊缝内部质量检测</w:t>
            </w:r>
          </w:p>
        </w:tc>
        <w:tc>
          <w:tcPr>
            <w:tcW w:w="709" w:type="dxa"/>
            <w:vMerge w:val="restart"/>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张</w:t>
            </w:r>
          </w:p>
        </w:tc>
        <w:tc>
          <w:tcPr>
            <w:tcW w:w="851" w:type="dxa"/>
            <w:vAlign w:val="center"/>
          </w:tcPr>
          <w:p w:rsidR="00A32067" w:rsidRDefault="00A32067">
            <w:pPr>
              <w:widowControl/>
              <w:adjustRightInd w:val="0"/>
              <w:snapToGrid w:val="0"/>
              <w:spacing w:after="200"/>
              <w:jc w:val="center"/>
              <w:rPr>
                <w:kern w:val="0"/>
              </w:rPr>
            </w:pPr>
            <w:r>
              <w:rPr>
                <w:kern w:val="0"/>
              </w:rPr>
              <w:t>46</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≤16mm</w:t>
            </w:r>
          </w:p>
        </w:tc>
        <w:tc>
          <w:tcPr>
            <w:tcW w:w="2404" w:type="dxa"/>
            <w:vMerge w:val="restart"/>
            <w:vAlign w:val="center"/>
          </w:tcPr>
          <w:p w:rsidR="00A32067" w:rsidRDefault="00A32067">
            <w:pPr>
              <w:widowControl/>
              <w:adjustRightInd w:val="0"/>
              <w:snapToGrid w:val="0"/>
              <w:spacing w:after="200" w:line="240" w:lineRule="exact"/>
              <w:jc w:val="left"/>
              <w:rPr>
                <w:kern w:val="0"/>
              </w:rPr>
            </w:pPr>
            <w:r>
              <w:rPr>
                <w:kern w:val="0"/>
              </w:rPr>
              <w:t>1</w:t>
            </w:r>
            <w:r>
              <w:rPr>
                <w:rFonts w:cs="宋体" w:hint="eastAsia"/>
                <w:kern w:val="0"/>
              </w:rPr>
              <w:t>、适用于</w:t>
            </w:r>
            <w:r>
              <w:rPr>
                <w:kern w:val="0"/>
              </w:rPr>
              <w:t>γ</w:t>
            </w:r>
            <w:r>
              <w:rPr>
                <w:rFonts w:cs="宋体" w:hint="eastAsia"/>
                <w:kern w:val="0"/>
              </w:rPr>
              <w:t>射线检测；</w:t>
            </w:r>
          </w:p>
          <w:p w:rsidR="00A32067" w:rsidRDefault="00A32067">
            <w:pPr>
              <w:widowControl/>
              <w:adjustRightInd w:val="0"/>
              <w:snapToGrid w:val="0"/>
              <w:spacing w:after="200" w:line="240" w:lineRule="exact"/>
              <w:jc w:val="left"/>
              <w:rPr>
                <w:kern w:val="0"/>
              </w:rPr>
            </w:pPr>
            <w:r>
              <w:rPr>
                <w:kern w:val="0"/>
              </w:rPr>
              <w:t>2</w:t>
            </w:r>
            <w:r>
              <w:rPr>
                <w:rFonts w:cs="宋体" w:hint="eastAsia"/>
                <w:kern w:val="0"/>
              </w:rPr>
              <w:t>、现场操作平台由委托方提供；防腐、防火涂料清理、恢复由委托方负责；</w:t>
            </w:r>
          </w:p>
          <w:p w:rsidR="00A32067" w:rsidRDefault="00A32067">
            <w:pPr>
              <w:widowControl/>
              <w:adjustRightInd w:val="0"/>
              <w:snapToGrid w:val="0"/>
              <w:spacing w:after="200" w:line="240" w:lineRule="exact"/>
              <w:jc w:val="left"/>
              <w:rPr>
                <w:kern w:val="0"/>
              </w:rPr>
            </w:pPr>
            <w:r>
              <w:rPr>
                <w:kern w:val="0"/>
              </w:rPr>
              <w:t>3</w:t>
            </w:r>
            <w:r>
              <w:rPr>
                <w:rFonts w:cs="宋体" w:hint="eastAsia"/>
                <w:kern w:val="0"/>
              </w:rPr>
              <w:t>、设备出机费另计，</w:t>
            </w:r>
            <w:r>
              <w:rPr>
                <w:kern w:val="0"/>
              </w:rPr>
              <w:t>γ</w:t>
            </w:r>
            <w:r>
              <w:rPr>
                <w:rFonts w:cs="宋体" w:hint="eastAsia"/>
                <w:kern w:val="0"/>
              </w:rPr>
              <w:t>射线出机费</w:t>
            </w:r>
            <w:r>
              <w:rPr>
                <w:kern w:val="0"/>
              </w:rPr>
              <w:t>1000</w:t>
            </w:r>
            <w:r>
              <w:rPr>
                <w:rFonts w:cs="宋体" w:hint="eastAsia"/>
                <w:kern w:val="0"/>
              </w:rPr>
              <w:t>元</w:t>
            </w:r>
            <w:r>
              <w:rPr>
                <w:kern w:val="0"/>
              </w:rPr>
              <w:t>/</w:t>
            </w:r>
            <w:r>
              <w:rPr>
                <w:rFonts w:cs="宋体" w:hint="eastAsia"/>
                <w:kern w:val="0"/>
              </w:rPr>
              <w:t>台</w:t>
            </w:r>
            <w:r>
              <w:rPr>
                <w:kern w:val="0"/>
              </w:rPr>
              <w:t>·</w:t>
            </w:r>
            <w:r>
              <w:rPr>
                <w:rFonts w:cs="宋体" w:hint="eastAsia"/>
                <w:kern w:val="0"/>
              </w:rPr>
              <w:t>天。</w:t>
            </w:r>
          </w:p>
        </w:tc>
      </w:tr>
      <w:tr w:rsidR="00A32067">
        <w:trPr>
          <w:cantSplit/>
          <w:trHeight w:val="615"/>
          <w:jc w:val="center"/>
        </w:trPr>
        <w:tc>
          <w:tcPr>
            <w:tcW w:w="851" w:type="dxa"/>
            <w:vMerge/>
            <w:vAlign w:val="center"/>
          </w:tcPr>
          <w:p w:rsidR="00A32067" w:rsidRDefault="00A32067">
            <w:pPr>
              <w:widowControl/>
              <w:adjustRightInd w:val="0"/>
              <w:snapToGrid w:val="0"/>
              <w:spacing w:after="200"/>
              <w:jc w:val="center"/>
              <w:rPr>
                <w:kern w:val="0"/>
                <w:sz w:val="24"/>
                <w:szCs w:val="24"/>
              </w:rPr>
            </w:pPr>
          </w:p>
        </w:tc>
        <w:tc>
          <w:tcPr>
            <w:tcW w:w="993" w:type="dxa"/>
            <w:vMerge/>
            <w:vAlign w:val="center"/>
          </w:tcPr>
          <w:p w:rsidR="00A32067" w:rsidRDefault="00A32067">
            <w:pPr>
              <w:widowControl/>
              <w:adjustRightInd w:val="0"/>
              <w:snapToGrid w:val="0"/>
              <w:spacing w:after="200" w:line="240" w:lineRule="exact"/>
              <w:jc w:val="center"/>
              <w:rPr>
                <w:kern w:val="0"/>
                <w:sz w:val="24"/>
                <w:szCs w:val="24"/>
              </w:rPr>
            </w:pPr>
          </w:p>
        </w:tc>
        <w:tc>
          <w:tcPr>
            <w:tcW w:w="1842" w:type="dxa"/>
            <w:vMerge/>
            <w:vAlign w:val="center"/>
          </w:tcPr>
          <w:p w:rsidR="00A32067" w:rsidRDefault="00A32067" w:rsidP="00A32067">
            <w:pPr>
              <w:widowControl/>
              <w:adjustRightInd w:val="0"/>
              <w:snapToGrid w:val="0"/>
              <w:spacing w:after="200"/>
              <w:ind w:leftChars="-51" w:left="31680" w:rightChars="-51" w:right="31680" w:firstLineChars="13" w:firstLine="31680"/>
              <w:jc w:val="center"/>
              <w:rPr>
                <w:kern w:val="0"/>
                <w:sz w:val="24"/>
                <w:szCs w:val="24"/>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sz w:val="24"/>
                <w:szCs w:val="24"/>
              </w:rPr>
            </w:pPr>
          </w:p>
        </w:tc>
        <w:tc>
          <w:tcPr>
            <w:tcW w:w="851" w:type="dxa"/>
            <w:vAlign w:val="center"/>
          </w:tcPr>
          <w:p w:rsidR="00A32067" w:rsidRDefault="00A32067">
            <w:pPr>
              <w:widowControl/>
              <w:adjustRightInd w:val="0"/>
              <w:snapToGrid w:val="0"/>
              <w:spacing w:after="200"/>
              <w:jc w:val="center"/>
              <w:rPr>
                <w:kern w:val="0"/>
              </w:rPr>
            </w:pPr>
            <w:r>
              <w:rPr>
                <w:kern w:val="0"/>
              </w:rPr>
              <w:t>50</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30mm</w:t>
            </w:r>
          </w:p>
        </w:tc>
        <w:tc>
          <w:tcPr>
            <w:tcW w:w="2404" w:type="dxa"/>
            <w:vMerge/>
            <w:vAlign w:val="center"/>
          </w:tcPr>
          <w:p w:rsidR="00A32067" w:rsidRDefault="00A32067">
            <w:pPr>
              <w:widowControl/>
              <w:adjustRightInd w:val="0"/>
              <w:snapToGrid w:val="0"/>
              <w:spacing w:after="200"/>
              <w:ind w:right="-30" w:hanging="81"/>
              <w:jc w:val="left"/>
              <w:rPr>
                <w:kern w:val="0"/>
                <w:sz w:val="24"/>
                <w:szCs w:val="24"/>
              </w:rPr>
            </w:pPr>
          </w:p>
        </w:tc>
      </w:tr>
      <w:tr w:rsidR="00A32067">
        <w:trPr>
          <w:cantSplit/>
          <w:trHeight w:val="457"/>
          <w:jc w:val="center"/>
        </w:trPr>
        <w:tc>
          <w:tcPr>
            <w:tcW w:w="851" w:type="dxa"/>
            <w:vMerge/>
            <w:vAlign w:val="center"/>
          </w:tcPr>
          <w:p w:rsidR="00A32067" w:rsidRDefault="00A32067">
            <w:pPr>
              <w:widowControl/>
              <w:adjustRightInd w:val="0"/>
              <w:snapToGrid w:val="0"/>
              <w:spacing w:after="200"/>
              <w:jc w:val="center"/>
              <w:rPr>
                <w:kern w:val="0"/>
                <w:sz w:val="24"/>
                <w:szCs w:val="24"/>
              </w:rPr>
            </w:pPr>
          </w:p>
        </w:tc>
        <w:tc>
          <w:tcPr>
            <w:tcW w:w="993" w:type="dxa"/>
            <w:vMerge/>
            <w:vAlign w:val="center"/>
          </w:tcPr>
          <w:p w:rsidR="00A32067" w:rsidRDefault="00A32067">
            <w:pPr>
              <w:widowControl/>
              <w:adjustRightInd w:val="0"/>
              <w:snapToGrid w:val="0"/>
              <w:spacing w:after="200" w:line="240" w:lineRule="exact"/>
              <w:jc w:val="center"/>
              <w:rPr>
                <w:kern w:val="0"/>
                <w:sz w:val="24"/>
                <w:szCs w:val="24"/>
              </w:rPr>
            </w:pPr>
          </w:p>
        </w:tc>
        <w:tc>
          <w:tcPr>
            <w:tcW w:w="1842" w:type="dxa"/>
            <w:vMerge/>
            <w:vAlign w:val="center"/>
          </w:tcPr>
          <w:p w:rsidR="00A32067" w:rsidRDefault="00A32067" w:rsidP="00A32067">
            <w:pPr>
              <w:widowControl/>
              <w:adjustRightInd w:val="0"/>
              <w:snapToGrid w:val="0"/>
              <w:spacing w:after="200"/>
              <w:ind w:leftChars="-51" w:left="31680" w:rightChars="-51" w:right="31680" w:firstLineChars="13" w:firstLine="31680"/>
              <w:jc w:val="center"/>
              <w:rPr>
                <w:kern w:val="0"/>
                <w:sz w:val="24"/>
                <w:szCs w:val="24"/>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sz w:val="24"/>
                <w:szCs w:val="24"/>
              </w:rPr>
            </w:pPr>
          </w:p>
        </w:tc>
        <w:tc>
          <w:tcPr>
            <w:tcW w:w="851" w:type="dxa"/>
            <w:vAlign w:val="center"/>
          </w:tcPr>
          <w:p w:rsidR="00A32067" w:rsidRDefault="00A32067">
            <w:pPr>
              <w:widowControl/>
              <w:adjustRightInd w:val="0"/>
              <w:snapToGrid w:val="0"/>
              <w:spacing w:after="200"/>
              <w:jc w:val="center"/>
              <w:rPr>
                <w:kern w:val="0"/>
              </w:rPr>
            </w:pPr>
            <w:r>
              <w:rPr>
                <w:kern w:val="0"/>
              </w:rPr>
              <w:t>140</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40mm</w:t>
            </w:r>
          </w:p>
        </w:tc>
        <w:tc>
          <w:tcPr>
            <w:tcW w:w="2404" w:type="dxa"/>
            <w:vMerge/>
            <w:vAlign w:val="center"/>
          </w:tcPr>
          <w:p w:rsidR="00A32067" w:rsidRDefault="00A32067">
            <w:pPr>
              <w:widowControl/>
              <w:adjustRightInd w:val="0"/>
              <w:snapToGrid w:val="0"/>
              <w:spacing w:after="200"/>
              <w:ind w:right="-30" w:hanging="81"/>
              <w:jc w:val="left"/>
              <w:rPr>
                <w:kern w:val="0"/>
                <w:sz w:val="24"/>
                <w:szCs w:val="24"/>
              </w:rPr>
            </w:pPr>
          </w:p>
        </w:tc>
      </w:tr>
      <w:tr w:rsidR="00A32067">
        <w:trPr>
          <w:cantSplit/>
          <w:trHeight w:val="1011"/>
          <w:jc w:val="center"/>
        </w:trPr>
        <w:tc>
          <w:tcPr>
            <w:tcW w:w="851" w:type="dxa"/>
            <w:vMerge/>
            <w:vAlign w:val="center"/>
          </w:tcPr>
          <w:p w:rsidR="00A32067" w:rsidRDefault="00A32067">
            <w:pPr>
              <w:widowControl/>
              <w:adjustRightInd w:val="0"/>
              <w:snapToGrid w:val="0"/>
              <w:spacing w:after="200"/>
              <w:jc w:val="center"/>
              <w:rPr>
                <w:kern w:val="0"/>
                <w:sz w:val="24"/>
                <w:szCs w:val="24"/>
              </w:rPr>
            </w:pPr>
          </w:p>
        </w:tc>
        <w:tc>
          <w:tcPr>
            <w:tcW w:w="993" w:type="dxa"/>
            <w:vMerge/>
            <w:vAlign w:val="center"/>
          </w:tcPr>
          <w:p w:rsidR="00A32067" w:rsidRDefault="00A32067">
            <w:pPr>
              <w:widowControl/>
              <w:adjustRightInd w:val="0"/>
              <w:snapToGrid w:val="0"/>
              <w:spacing w:after="200" w:line="240" w:lineRule="exact"/>
              <w:jc w:val="center"/>
              <w:rPr>
                <w:kern w:val="0"/>
                <w:sz w:val="24"/>
                <w:szCs w:val="24"/>
              </w:rPr>
            </w:pPr>
          </w:p>
        </w:tc>
        <w:tc>
          <w:tcPr>
            <w:tcW w:w="1842" w:type="dxa"/>
            <w:vMerge/>
            <w:vAlign w:val="center"/>
          </w:tcPr>
          <w:p w:rsidR="00A32067" w:rsidRDefault="00A32067" w:rsidP="00A32067">
            <w:pPr>
              <w:widowControl/>
              <w:adjustRightInd w:val="0"/>
              <w:snapToGrid w:val="0"/>
              <w:spacing w:after="200"/>
              <w:ind w:leftChars="-51" w:left="31680" w:rightChars="-51" w:right="31680" w:firstLineChars="13" w:firstLine="31680"/>
              <w:jc w:val="center"/>
              <w:rPr>
                <w:kern w:val="0"/>
                <w:sz w:val="24"/>
                <w:szCs w:val="24"/>
              </w:rPr>
            </w:pPr>
          </w:p>
        </w:tc>
        <w:tc>
          <w:tcPr>
            <w:tcW w:w="709" w:type="dxa"/>
            <w:vMerge/>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sz w:val="24"/>
                <w:szCs w:val="24"/>
              </w:rPr>
            </w:pPr>
          </w:p>
        </w:tc>
        <w:tc>
          <w:tcPr>
            <w:tcW w:w="851" w:type="dxa"/>
            <w:vAlign w:val="center"/>
          </w:tcPr>
          <w:p w:rsidR="00A32067" w:rsidRDefault="00A32067">
            <w:pPr>
              <w:widowControl/>
              <w:adjustRightInd w:val="0"/>
              <w:snapToGrid w:val="0"/>
              <w:spacing w:after="200"/>
              <w:jc w:val="center"/>
              <w:rPr>
                <w:kern w:val="0"/>
              </w:rPr>
            </w:pPr>
            <w:r>
              <w:rPr>
                <w:kern w:val="0"/>
              </w:rPr>
              <w:t>160</w:t>
            </w:r>
          </w:p>
        </w:tc>
        <w:tc>
          <w:tcPr>
            <w:tcW w:w="1848" w:type="dxa"/>
            <w:vAlign w:val="center"/>
          </w:tcPr>
          <w:p w:rsidR="00A32067" w:rsidRDefault="00A32067">
            <w:pPr>
              <w:widowControl/>
              <w:adjustRightInd w:val="0"/>
              <w:snapToGrid w:val="0"/>
              <w:spacing w:after="200"/>
              <w:jc w:val="center"/>
              <w:rPr>
                <w:kern w:val="0"/>
              </w:rPr>
            </w:pPr>
            <w:r>
              <w:rPr>
                <w:rFonts w:cs="宋体" w:hint="eastAsia"/>
                <w:kern w:val="0"/>
              </w:rPr>
              <w:t>钢板厚度</w:t>
            </w:r>
            <w:r>
              <w:rPr>
                <w:kern w:val="0"/>
              </w:rPr>
              <w:t>≥42mm</w:t>
            </w:r>
          </w:p>
        </w:tc>
        <w:tc>
          <w:tcPr>
            <w:tcW w:w="2404" w:type="dxa"/>
            <w:vMerge/>
            <w:vAlign w:val="center"/>
          </w:tcPr>
          <w:p w:rsidR="00A32067" w:rsidRDefault="00A32067">
            <w:pPr>
              <w:widowControl/>
              <w:adjustRightInd w:val="0"/>
              <w:snapToGrid w:val="0"/>
              <w:spacing w:after="200"/>
              <w:ind w:right="-30" w:hanging="81"/>
              <w:jc w:val="left"/>
              <w:rPr>
                <w:kern w:val="0"/>
                <w:sz w:val="24"/>
                <w:szCs w:val="24"/>
              </w:rPr>
            </w:pPr>
          </w:p>
        </w:tc>
      </w:tr>
    </w:tbl>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P14</w:t>
      </w:r>
      <w:r>
        <w:rPr>
          <w:rFonts w:ascii="Times New Roman" w:hAnsi="Times New Roman" w:hint="eastAsia"/>
          <w:b/>
          <w:bCs/>
          <w:kern w:val="2"/>
        </w:rPr>
        <w:t>～</w:t>
      </w:r>
      <w:r>
        <w:rPr>
          <w:rFonts w:ascii="Times New Roman" w:hAnsi="Times New Roman" w:cs="Times New Roman"/>
          <w:b/>
          <w:bCs/>
          <w:kern w:val="2"/>
        </w:rPr>
        <w:t>P19</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801"/>
        <w:gridCol w:w="1701"/>
        <w:gridCol w:w="709"/>
        <w:gridCol w:w="851"/>
        <w:gridCol w:w="2943"/>
        <w:gridCol w:w="1167"/>
      </w:tblGrid>
      <w:tr w:rsidR="00A32067">
        <w:trPr>
          <w:cantSplit/>
          <w:trHeight w:val="476"/>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801"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701" w:type="dxa"/>
            <w:vMerge w:val="restart"/>
            <w:vAlign w:val="center"/>
          </w:tcPr>
          <w:p w:rsidR="00A32067" w:rsidRDefault="00A32067" w:rsidP="00A32067">
            <w:pPr>
              <w:widowControl/>
              <w:adjustRightInd w:val="0"/>
              <w:snapToGrid w:val="0"/>
              <w:spacing w:after="200"/>
              <w:ind w:leftChars="-32" w:left="31680" w:rightChars="-21" w:right="31680" w:hangingChars="32" w:firstLine="31680"/>
              <w:jc w:val="center"/>
              <w:rPr>
                <w:kern w:val="0"/>
              </w:rPr>
            </w:pPr>
            <w:r>
              <w:rPr>
                <w:rFonts w:cs="宋体" w:hint="eastAsia"/>
                <w:kern w:val="0"/>
              </w:rPr>
              <w:t>测试项目</w:t>
            </w:r>
          </w:p>
        </w:tc>
        <w:tc>
          <w:tcPr>
            <w:tcW w:w="709"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51"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110"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476"/>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pPr>
              <w:widowControl/>
              <w:adjustRightInd w:val="0"/>
              <w:snapToGrid w:val="0"/>
              <w:spacing w:after="200"/>
              <w:jc w:val="center"/>
              <w:rPr>
                <w:kern w:val="0"/>
              </w:rPr>
            </w:pPr>
          </w:p>
        </w:tc>
        <w:tc>
          <w:tcPr>
            <w:tcW w:w="709" w:type="dxa"/>
            <w:vMerge/>
            <w:vAlign w:val="center"/>
          </w:tcPr>
          <w:p w:rsidR="00A32067" w:rsidRDefault="00A32067">
            <w:pPr>
              <w:widowControl/>
              <w:adjustRightInd w:val="0"/>
              <w:snapToGrid w:val="0"/>
              <w:spacing w:after="200"/>
              <w:jc w:val="center"/>
              <w:rPr>
                <w:kern w:val="0"/>
              </w:rPr>
            </w:pPr>
          </w:p>
        </w:tc>
        <w:tc>
          <w:tcPr>
            <w:tcW w:w="851" w:type="dxa"/>
            <w:vMerge/>
            <w:vAlign w:val="center"/>
          </w:tcPr>
          <w:p w:rsidR="00A32067" w:rsidRDefault="00A32067">
            <w:pPr>
              <w:widowControl/>
              <w:adjustRightInd w:val="0"/>
              <w:snapToGrid w:val="0"/>
              <w:spacing w:after="200"/>
              <w:jc w:val="center"/>
              <w:rPr>
                <w:kern w:val="0"/>
              </w:rPr>
            </w:pPr>
          </w:p>
        </w:tc>
        <w:tc>
          <w:tcPr>
            <w:tcW w:w="4110" w:type="dxa"/>
            <w:gridSpan w:val="2"/>
            <w:vMerge/>
            <w:vAlign w:val="center"/>
          </w:tcPr>
          <w:p w:rsidR="00A32067" w:rsidRDefault="00A32067">
            <w:pPr>
              <w:widowControl/>
              <w:adjustRightInd w:val="0"/>
              <w:snapToGrid w:val="0"/>
              <w:spacing w:after="200"/>
              <w:jc w:val="center"/>
              <w:rPr>
                <w:kern w:val="0"/>
              </w:rPr>
            </w:pPr>
          </w:p>
        </w:tc>
      </w:tr>
      <w:tr w:rsidR="00A32067">
        <w:trPr>
          <w:cantSplit/>
          <w:trHeight w:val="312"/>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钢结构性能检验</w:t>
            </w:r>
          </w:p>
        </w:tc>
        <w:tc>
          <w:tcPr>
            <w:tcW w:w="801" w:type="dxa"/>
            <w:vAlign w:val="center"/>
          </w:tcPr>
          <w:p w:rsidR="00A32067" w:rsidRDefault="00A32067">
            <w:pPr>
              <w:widowControl/>
              <w:adjustRightInd w:val="0"/>
              <w:snapToGrid w:val="0"/>
              <w:spacing w:after="200" w:line="240" w:lineRule="exact"/>
              <w:jc w:val="center"/>
              <w:rPr>
                <w:kern w:val="0"/>
              </w:rPr>
            </w:pPr>
            <w:r>
              <w:rPr>
                <w:kern w:val="0"/>
              </w:rPr>
              <w:t>P14</w:t>
            </w:r>
          </w:p>
        </w:tc>
        <w:tc>
          <w:tcPr>
            <w:tcW w:w="1701" w:type="dxa"/>
            <w:vAlign w:val="center"/>
          </w:tcPr>
          <w:p w:rsidR="00A32067" w:rsidRDefault="00A32067">
            <w:pPr>
              <w:widowControl/>
              <w:adjustRightInd w:val="0"/>
              <w:snapToGrid w:val="0"/>
              <w:spacing w:after="200"/>
              <w:jc w:val="center"/>
              <w:rPr>
                <w:kern w:val="0"/>
              </w:rPr>
            </w:pPr>
            <w:r>
              <w:rPr>
                <w:rFonts w:cs="宋体" w:hint="eastAsia"/>
                <w:kern w:val="0"/>
              </w:rPr>
              <w:t>网架节点球抗压强度</w:t>
            </w:r>
          </w:p>
        </w:tc>
        <w:tc>
          <w:tcPr>
            <w:tcW w:w="709" w:type="dxa"/>
            <w:vAlign w:val="center"/>
          </w:tcPr>
          <w:p w:rsidR="00A32067" w:rsidRDefault="00A32067" w:rsidP="00A32067">
            <w:pPr>
              <w:widowControl/>
              <w:adjustRightInd w:val="0"/>
              <w:snapToGrid w:val="0"/>
              <w:spacing w:after="200" w:line="240" w:lineRule="exact"/>
              <w:ind w:leftChars="-50" w:left="31680" w:rightChars="-51" w:right="31680" w:hangingChars="50" w:firstLine="31680"/>
              <w:jc w:val="center"/>
              <w:rPr>
                <w:kern w:val="0"/>
              </w:rPr>
            </w:pPr>
            <w:r>
              <w:rPr>
                <w:rFonts w:cs="宋体" w:hint="eastAsia"/>
                <w:kern w:val="0"/>
              </w:rPr>
              <w:t>个</w:t>
            </w:r>
          </w:p>
        </w:tc>
        <w:tc>
          <w:tcPr>
            <w:tcW w:w="851" w:type="dxa"/>
            <w:vAlign w:val="center"/>
          </w:tcPr>
          <w:p w:rsidR="00A32067" w:rsidRDefault="00A32067">
            <w:pPr>
              <w:widowControl/>
              <w:adjustRightInd w:val="0"/>
              <w:snapToGrid w:val="0"/>
              <w:spacing w:after="200"/>
              <w:jc w:val="center"/>
              <w:rPr>
                <w:kern w:val="0"/>
              </w:rPr>
            </w:pPr>
            <w:r>
              <w:rPr>
                <w:kern w:val="0"/>
              </w:rPr>
              <w:t>400</w:t>
            </w:r>
          </w:p>
        </w:tc>
        <w:tc>
          <w:tcPr>
            <w:tcW w:w="4110" w:type="dxa"/>
            <w:gridSpan w:val="2"/>
            <w:vAlign w:val="center"/>
          </w:tcPr>
          <w:p w:rsidR="00A32067" w:rsidRDefault="00A32067">
            <w:pPr>
              <w:widowControl/>
              <w:numPr>
                <w:ilvl w:val="0"/>
                <w:numId w:val="9"/>
              </w:numPr>
              <w:adjustRightInd w:val="0"/>
              <w:snapToGrid w:val="0"/>
              <w:spacing w:after="200"/>
              <w:jc w:val="left"/>
              <w:rPr>
                <w:kern w:val="0"/>
              </w:rPr>
            </w:pPr>
            <w:r>
              <w:rPr>
                <w:rFonts w:cs="宋体" w:hint="eastAsia"/>
                <w:kern w:val="0"/>
              </w:rPr>
              <w:t>适用于螺栓球、焊接球；</w:t>
            </w:r>
          </w:p>
          <w:p w:rsidR="00A32067" w:rsidRDefault="00A32067">
            <w:pPr>
              <w:widowControl/>
              <w:numPr>
                <w:ilvl w:val="0"/>
                <w:numId w:val="9"/>
              </w:numPr>
              <w:adjustRightInd w:val="0"/>
              <w:snapToGrid w:val="0"/>
              <w:spacing w:after="200"/>
              <w:jc w:val="left"/>
              <w:rPr>
                <w:kern w:val="0"/>
              </w:rPr>
            </w:pPr>
            <w:r>
              <w:rPr>
                <w:rFonts w:cs="宋体" w:hint="eastAsia"/>
                <w:kern w:val="0"/>
              </w:rPr>
              <w:t>每组</w:t>
            </w:r>
            <w:r>
              <w:rPr>
                <w:kern w:val="0"/>
              </w:rPr>
              <w:t>3</w:t>
            </w:r>
            <w:r>
              <w:rPr>
                <w:rFonts w:cs="宋体" w:hint="eastAsia"/>
                <w:kern w:val="0"/>
              </w:rPr>
              <w:t>个。</w:t>
            </w:r>
          </w:p>
        </w:tc>
      </w:tr>
      <w:tr w:rsidR="00A32067">
        <w:trPr>
          <w:cantSplit/>
          <w:trHeight w:val="847"/>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restart"/>
            <w:vAlign w:val="center"/>
          </w:tcPr>
          <w:p w:rsidR="00A32067" w:rsidRDefault="00A32067">
            <w:pPr>
              <w:widowControl/>
              <w:adjustRightInd w:val="0"/>
              <w:snapToGrid w:val="0"/>
              <w:spacing w:after="200" w:line="240" w:lineRule="exact"/>
              <w:jc w:val="center"/>
              <w:rPr>
                <w:kern w:val="0"/>
              </w:rPr>
            </w:pPr>
            <w:r>
              <w:rPr>
                <w:kern w:val="0"/>
              </w:rPr>
              <w:t>P15</w:t>
            </w:r>
          </w:p>
        </w:tc>
        <w:tc>
          <w:tcPr>
            <w:tcW w:w="1701"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焊缝外观检测</w:t>
            </w:r>
          </w:p>
        </w:tc>
        <w:tc>
          <w:tcPr>
            <w:tcW w:w="709"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构件</w:t>
            </w:r>
          </w:p>
        </w:tc>
        <w:tc>
          <w:tcPr>
            <w:tcW w:w="851" w:type="dxa"/>
            <w:vAlign w:val="center"/>
          </w:tcPr>
          <w:p w:rsidR="00A32067" w:rsidRDefault="00A32067">
            <w:pPr>
              <w:widowControl/>
              <w:adjustRightInd w:val="0"/>
              <w:snapToGrid w:val="0"/>
              <w:spacing w:after="200" w:line="240" w:lineRule="exact"/>
              <w:jc w:val="center"/>
              <w:rPr>
                <w:kern w:val="0"/>
              </w:rPr>
            </w:pPr>
            <w:r>
              <w:rPr>
                <w:kern w:val="0"/>
              </w:rPr>
              <w:t>150</w:t>
            </w:r>
          </w:p>
        </w:tc>
        <w:tc>
          <w:tcPr>
            <w:tcW w:w="2943" w:type="dxa"/>
            <w:vAlign w:val="center"/>
          </w:tcPr>
          <w:p w:rsidR="00A32067" w:rsidRDefault="00A32067">
            <w:pPr>
              <w:widowControl/>
              <w:adjustRightInd w:val="0"/>
              <w:snapToGrid w:val="0"/>
              <w:spacing w:after="200" w:line="240" w:lineRule="exact"/>
              <w:jc w:val="left"/>
              <w:rPr>
                <w:kern w:val="0"/>
              </w:rPr>
            </w:pPr>
            <w:r>
              <w:rPr>
                <w:rFonts w:cs="宋体" w:hint="eastAsia"/>
                <w:kern w:val="0"/>
              </w:rPr>
              <w:t>适用于渗透法检测外观缺陷</w:t>
            </w:r>
          </w:p>
        </w:tc>
        <w:tc>
          <w:tcPr>
            <w:tcW w:w="1167"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现场操作平台由委托方提供；防腐、防火涂料清理、恢复由委托方负责</w:t>
            </w:r>
          </w:p>
        </w:tc>
      </w:tr>
      <w:tr w:rsidR="00A32067">
        <w:trPr>
          <w:cantSplit/>
          <w:trHeight w:val="1136"/>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line="240" w:lineRule="exact"/>
              <w:jc w:val="center"/>
              <w:rPr>
                <w:kern w:val="0"/>
              </w:rPr>
            </w:pPr>
          </w:p>
        </w:tc>
        <w:tc>
          <w:tcPr>
            <w:tcW w:w="1701" w:type="dxa"/>
            <w:vMerge/>
            <w:vAlign w:val="center"/>
          </w:tcPr>
          <w:p w:rsidR="00A32067" w:rsidRDefault="00A32067">
            <w:pPr>
              <w:widowControl/>
              <w:adjustRightInd w:val="0"/>
              <w:snapToGrid w:val="0"/>
              <w:spacing w:after="200" w:line="240" w:lineRule="exact"/>
              <w:jc w:val="center"/>
              <w:rPr>
                <w:kern w:val="0"/>
              </w:rPr>
            </w:pPr>
          </w:p>
        </w:tc>
        <w:tc>
          <w:tcPr>
            <w:tcW w:w="709" w:type="dxa"/>
            <w:vMerge/>
            <w:vAlign w:val="center"/>
          </w:tcPr>
          <w:p w:rsidR="00A32067" w:rsidRDefault="00A32067">
            <w:pPr>
              <w:widowControl/>
              <w:adjustRightInd w:val="0"/>
              <w:snapToGrid w:val="0"/>
              <w:spacing w:after="200" w:line="240" w:lineRule="exact"/>
              <w:jc w:val="center"/>
              <w:rPr>
                <w:kern w:val="0"/>
              </w:rPr>
            </w:pPr>
          </w:p>
        </w:tc>
        <w:tc>
          <w:tcPr>
            <w:tcW w:w="851" w:type="dxa"/>
            <w:vAlign w:val="center"/>
          </w:tcPr>
          <w:p w:rsidR="00A32067" w:rsidRDefault="00A32067">
            <w:pPr>
              <w:widowControl/>
              <w:adjustRightInd w:val="0"/>
              <w:snapToGrid w:val="0"/>
              <w:spacing w:after="200" w:line="240" w:lineRule="exact"/>
              <w:jc w:val="center"/>
              <w:rPr>
                <w:kern w:val="0"/>
              </w:rPr>
            </w:pPr>
            <w:r>
              <w:rPr>
                <w:kern w:val="0"/>
              </w:rPr>
              <w:t>100</w:t>
            </w:r>
          </w:p>
        </w:tc>
        <w:tc>
          <w:tcPr>
            <w:tcW w:w="2943" w:type="dxa"/>
            <w:vAlign w:val="center"/>
          </w:tcPr>
          <w:p w:rsidR="00A32067" w:rsidRDefault="00A32067">
            <w:pPr>
              <w:widowControl/>
              <w:numPr>
                <w:ilvl w:val="0"/>
                <w:numId w:val="10"/>
              </w:numPr>
              <w:adjustRightInd w:val="0"/>
              <w:snapToGrid w:val="0"/>
              <w:spacing w:after="200" w:line="240" w:lineRule="exact"/>
              <w:jc w:val="left"/>
              <w:rPr>
                <w:kern w:val="0"/>
              </w:rPr>
            </w:pPr>
            <w:r>
              <w:rPr>
                <w:rFonts w:cs="宋体" w:hint="eastAsia"/>
                <w:kern w:val="0"/>
              </w:rPr>
              <w:t>适用于磁粉检测外观缺陷</w:t>
            </w:r>
          </w:p>
          <w:p w:rsidR="00A32067" w:rsidRDefault="00A32067">
            <w:pPr>
              <w:widowControl/>
              <w:numPr>
                <w:ilvl w:val="0"/>
                <w:numId w:val="10"/>
              </w:numPr>
              <w:adjustRightInd w:val="0"/>
              <w:snapToGrid w:val="0"/>
              <w:spacing w:after="200" w:line="240" w:lineRule="exact"/>
              <w:jc w:val="left"/>
              <w:rPr>
                <w:kern w:val="0"/>
              </w:rPr>
            </w:pPr>
            <w:r>
              <w:rPr>
                <w:rFonts w:cs="宋体" w:hint="eastAsia"/>
                <w:kern w:val="0"/>
              </w:rPr>
              <w:t>设备出机费另计，磁粉探伤出机费</w:t>
            </w:r>
            <w:r>
              <w:rPr>
                <w:kern w:val="0"/>
              </w:rPr>
              <w:t>100</w:t>
            </w:r>
            <w:r>
              <w:rPr>
                <w:rFonts w:cs="宋体" w:hint="eastAsia"/>
                <w:kern w:val="0"/>
              </w:rPr>
              <w:t>元</w:t>
            </w:r>
            <w:r>
              <w:rPr>
                <w:kern w:val="0"/>
              </w:rPr>
              <w:t>/</w:t>
            </w:r>
            <w:r>
              <w:rPr>
                <w:rFonts w:cs="宋体" w:hint="eastAsia"/>
                <w:kern w:val="0"/>
              </w:rPr>
              <w:t>台</w:t>
            </w:r>
            <w:r>
              <w:rPr>
                <w:kern w:val="0"/>
              </w:rPr>
              <w:t>·</w:t>
            </w:r>
            <w:r>
              <w:rPr>
                <w:rFonts w:cs="宋体" w:hint="eastAsia"/>
                <w:kern w:val="0"/>
              </w:rPr>
              <w:t>天。</w:t>
            </w:r>
          </w:p>
        </w:tc>
        <w:tc>
          <w:tcPr>
            <w:tcW w:w="1167" w:type="dxa"/>
            <w:vMerge/>
            <w:vAlign w:val="center"/>
          </w:tcPr>
          <w:p w:rsidR="00A32067" w:rsidRDefault="00A32067">
            <w:pPr>
              <w:widowControl/>
              <w:adjustRightInd w:val="0"/>
              <w:snapToGrid w:val="0"/>
              <w:spacing w:after="200" w:line="240" w:lineRule="exact"/>
              <w:jc w:val="left"/>
              <w:rPr>
                <w:kern w:val="0"/>
              </w:rPr>
            </w:pPr>
          </w:p>
        </w:tc>
      </w:tr>
      <w:tr w:rsidR="00A32067">
        <w:trPr>
          <w:cantSplit/>
          <w:trHeight w:val="639"/>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line="240" w:lineRule="exact"/>
              <w:jc w:val="center"/>
              <w:rPr>
                <w:kern w:val="0"/>
              </w:rPr>
            </w:pPr>
          </w:p>
        </w:tc>
        <w:tc>
          <w:tcPr>
            <w:tcW w:w="1701" w:type="dxa"/>
            <w:vMerge/>
            <w:vAlign w:val="center"/>
          </w:tcPr>
          <w:p w:rsidR="00A32067" w:rsidRDefault="00A32067">
            <w:pPr>
              <w:widowControl/>
              <w:adjustRightInd w:val="0"/>
              <w:snapToGrid w:val="0"/>
              <w:spacing w:after="200" w:line="240" w:lineRule="exact"/>
              <w:jc w:val="center"/>
              <w:rPr>
                <w:kern w:val="0"/>
              </w:rPr>
            </w:pPr>
          </w:p>
        </w:tc>
        <w:tc>
          <w:tcPr>
            <w:tcW w:w="709" w:type="dxa"/>
            <w:vMerge/>
            <w:vAlign w:val="center"/>
          </w:tcPr>
          <w:p w:rsidR="00A32067" w:rsidRDefault="00A32067">
            <w:pPr>
              <w:widowControl/>
              <w:adjustRightInd w:val="0"/>
              <w:snapToGrid w:val="0"/>
              <w:spacing w:after="200" w:line="240" w:lineRule="exact"/>
              <w:jc w:val="center"/>
              <w:rPr>
                <w:kern w:val="0"/>
              </w:rPr>
            </w:pPr>
          </w:p>
        </w:tc>
        <w:tc>
          <w:tcPr>
            <w:tcW w:w="851" w:type="dxa"/>
            <w:vAlign w:val="center"/>
          </w:tcPr>
          <w:p w:rsidR="00A32067" w:rsidRDefault="00A32067">
            <w:pPr>
              <w:widowControl/>
              <w:adjustRightInd w:val="0"/>
              <w:snapToGrid w:val="0"/>
              <w:spacing w:after="200" w:line="240" w:lineRule="exact"/>
              <w:jc w:val="center"/>
              <w:rPr>
                <w:kern w:val="0"/>
              </w:rPr>
            </w:pPr>
            <w:r>
              <w:rPr>
                <w:kern w:val="0"/>
              </w:rPr>
              <w:t>80</w:t>
            </w:r>
          </w:p>
        </w:tc>
        <w:tc>
          <w:tcPr>
            <w:tcW w:w="2943" w:type="dxa"/>
            <w:vAlign w:val="center"/>
          </w:tcPr>
          <w:p w:rsidR="00A32067" w:rsidRDefault="00A32067">
            <w:pPr>
              <w:widowControl/>
              <w:adjustRightInd w:val="0"/>
              <w:snapToGrid w:val="0"/>
              <w:spacing w:after="200" w:line="240" w:lineRule="exact"/>
              <w:jc w:val="center"/>
              <w:rPr>
                <w:kern w:val="0"/>
              </w:rPr>
            </w:pPr>
            <w:r>
              <w:rPr>
                <w:rFonts w:cs="宋体" w:hint="eastAsia"/>
                <w:kern w:val="0"/>
              </w:rPr>
              <w:t>焊缝外形尺寸检测</w:t>
            </w:r>
          </w:p>
        </w:tc>
        <w:tc>
          <w:tcPr>
            <w:tcW w:w="1167" w:type="dxa"/>
            <w:vMerge/>
            <w:vAlign w:val="center"/>
          </w:tcPr>
          <w:p w:rsidR="00A32067" w:rsidRDefault="00A32067">
            <w:pPr>
              <w:widowControl/>
              <w:adjustRightInd w:val="0"/>
              <w:snapToGrid w:val="0"/>
              <w:spacing w:after="200" w:line="240" w:lineRule="exact"/>
              <w:jc w:val="left"/>
              <w:rPr>
                <w:kern w:val="0"/>
              </w:rPr>
            </w:pPr>
          </w:p>
        </w:tc>
      </w:tr>
      <w:tr w:rsidR="00A32067">
        <w:trPr>
          <w:cantSplit/>
          <w:trHeight w:val="74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restart"/>
            <w:vAlign w:val="center"/>
          </w:tcPr>
          <w:p w:rsidR="00A32067" w:rsidRDefault="00A32067">
            <w:pPr>
              <w:widowControl/>
              <w:adjustRightInd w:val="0"/>
              <w:snapToGrid w:val="0"/>
              <w:spacing w:after="200" w:line="240" w:lineRule="exact"/>
              <w:jc w:val="center"/>
              <w:rPr>
                <w:kern w:val="0"/>
              </w:rPr>
            </w:pPr>
            <w:r>
              <w:rPr>
                <w:kern w:val="0"/>
              </w:rPr>
              <w:t>P16</w:t>
            </w:r>
          </w:p>
        </w:tc>
        <w:tc>
          <w:tcPr>
            <w:tcW w:w="1701" w:type="dxa"/>
            <w:vMerge w:val="restart"/>
            <w:vAlign w:val="center"/>
          </w:tcPr>
          <w:p w:rsidR="00A32067" w:rsidRDefault="00A32067" w:rsidP="00A32067">
            <w:pPr>
              <w:widowControl/>
              <w:adjustRightInd w:val="0"/>
              <w:snapToGrid w:val="0"/>
              <w:spacing w:after="200" w:line="240" w:lineRule="exact"/>
              <w:ind w:leftChars="-43" w:left="31680" w:rightChars="-70" w:right="31680" w:firstLineChars="10" w:firstLine="31680"/>
              <w:jc w:val="center"/>
              <w:rPr>
                <w:kern w:val="0"/>
              </w:rPr>
            </w:pPr>
            <w:r>
              <w:rPr>
                <w:rFonts w:cs="宋体" w:hint="eastAsia"/>
                <w:kern w:val="0"/>
              </w:rPr>
              <w:t>高强螺栓终拧质量检测</w:t>
            </w:r>
          </w:p>
        </w:tc>
        <w:tc>
          <w:tcPr>
            <w:tcW w:w="709"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line="240" w:lineRule="exact"/>
              <w:jc w:val="center"/>
              <w:rPr>
                <w:kern w:val="0"/>
              </w:rPr>
            </w:pPr>
            <w:r>
              <w:rPr>
                <w:kern w:val="0"/>
              </w:rPr>
              <w:t>10</w:t>
            </w:r>
          </w:p>
        </w:tc>
        <w:tc>
          <w:tcPr>
            <w:tcW w:w="2943" w:type="dxa"/>
            <w:vAlign w:val="center"/>
          </w:tcPr>
          <w:p w:rsidR="00A32067" w:rsidRDefault="00A32067">
            <w:pPr>
              <w:widowControl/>
              <w:adjustRightInd w:val="0"/>
              <w:snapToGrid w:val="0"/>
              <w:spacing w:after="200" w:line="240" w:lineRule="exact"/>
              <w:jc w:val="center"/>
              <w:rPr>
                <w:kern w:val="0"/>
              </w:rPr>
            </w:pPr>
            <w:r>
              <w:rPr>
                <w:rFonts w:cs="宋体" w:hint="eastAsia"/>
                <w:kern w:val="0"/>
              </w:rPr>
              <w:t>适用于扭剪型高强螺栓</w:t>
            </w:r>
          </w:p>
        </w:tc>
        <w:tc>
          <w:tcPr>
            <w:tcW w:w="1167" w:type="dxa"/>
            <w:vMerge/>
            <w:vAlign w:val="center"/>
          </w:tcPr>
          <w:p w:rsidR="00A32067" w:rsidRDefault="00A32067">
            <w:pPr>
              <w:widowControl/>
              <w:adjustRightInd w:val="0"/>
              <w:snapToGrid w:val="0"/>
              <w:spacing w:after="200" w:line="240" w:lineRule="exact"/>
              <w:jc w:val="center"/>
              <w:rPr>
                <w:kern w:val="0"/>
              </w:rPr>
            </w:pPr>
          </w:p>
        </w:tc>
      </w:tr>
      <w:tr w:rsidR="00A32067">
        <w:trPr>
          <w:cantSplit/>
          <w:trHeight w:val="55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line="240" w:lineRule="exact"/>
              <w:jc w:val="center"/>
              <w:rPr>
                <w:kern w:val="0"/>
              </w:rPr>
            </w:pPr>
          </w:p>
        </w:tc>
        <w:tc>
          <w:tcPr>
            <w:tcW w:w="1701" w:type="dxa"/>
            <w:vMerge/>
            <w:vAlign w:val="center"/>
          </w:tcPr>
          <w:p w:rsidR="00A32067" w:rsidRDefault="00A32067" w:rsidP="00A32067">
            <w:pPr>
              <w:widowControl/>
              <w:tabs>
                <w:tab w:val="left" w:pos="878"/>
              </w:tabs>
              <w:adjustRightInd w:val="0"/>
              <w:snapToGrid w:val="0"/>
              <w:spacing w:after="200" w:line="240" w:lineRule="exact"/>
              <w:ind w:leftChars="-31" w:left="31680" w:rightChars="-70" w:right="31680" w:hangingChars="31" w:firstLine="31680"/>
              <w:jc w:val="center"/>
              <w:rPr>
                <w:kern w:val="0"/>
              </w:rPr>
            </w:pPr>
          </w:p>
        </w:tc>
        <w:tc>
          <w:tcPr>
            <w:tcW w:w="709" w:type="dxa"/>
            <w:vMerge/>
            <w:vAlign w:val="center"/>
          </w:tcPr>
          <w:p w:rsidR="00A32067" w:rsidRDefault="00A32067">
            <w:pPr>
              <w:widowControl/>
              <w:adjustRightInd w:val="0"/>
              <w:snapToGrid w:val="0"/>
              <w:spacing w:after="200" w:line="240" w:lineRule="exact"/>
              <w:jc w:val="center"/>
              <w:rPr>
                <w:kern w:val="0"/>
              </w:rPr>
            </w:pPr>
          </w:p>
        </w:tc>
        <w:tc>
          <w:tcPr>
            <w:tcW w:w="851" w:type="dxa"/>
            <w:vAlign w:val="center"/>
          </w:tcPr>
          <w:p w:rsidR="00A32067" w:rsidRDefault="00A32067">
            <w:pPr>
              <w:widowControl/>
              <w:adjustRightInd w:val="0"/>
              <w:snapToGrid w:val="0"/>
              <w:spacing w:after="200" w:line="240" w:lineRule="exact"/>
              <w:jc w:val="center"/>
              <w:rPr>
                <w:kern w:val="0"/>
              </w:rPr>
            </w:pPr>
            <w:r>
              <w:rPr>
                <w:kern w:val="0"/>
              </w:rPr>
              <w:t>50</w:t>
            </w:r>
          </w:p>
        </w:tc>
        <w:tc>
          <w:tcPr>
            <w:tcW w:w="2943" w:type="dxa"/>
            <w:vAlign w:val="center"/>
          </w:tcPr>
          <w:p w:rsidR="00A32067" w:rsidRDefault="00A32067">
            <w:pPr>
              <w:widowControl/>
              <w:adjustRightInd w:val="0"/>
              <w:snapToGrid w:val="0"/>
              <w:spacing w:after="200" w:line="240" w:lineRule="exact"/>
              <w:jc w:val="center"/>
              <w:rPr>
                <w:kern w:val="0"/>
              </w:rPr>
            </w:pPr>
            <w:r>
              <w:rPr>
                <w:rFonts w:cs="宋体" w:hint="eastAsia"/>
                <w:kern w:val="0"/>
              </w:rPr>
              <w:t>适用于大六角头高强螺栓</w:t>
            </w:r>
          </w:p>
        </w:tc>
        <w:tc>
          <w:tcPr>
            <w:tcW w:w="1167" w:type="dxa"/>
            <w:vMerge/>
            <w:vAlign w:val="center"/>
          </w:tcPr>
          <w:p w:rsidR="00A32067" w:rsidRDefault="00A32067">
            <w:pPr>
              <w:widowControl/>
              <w:adjustRightInd w:val="0"/>
              <w:snapToGrid w:val="0"/>
              <w:spacing w:after="200" w:line="240" w:lineRule="exact"/>
              <w:jc w:val="center"/>
              <w:rPr>
                <w:kern w:val="0"/>
              </w:rPr>
            </w:pPr>
          </w:p>
        </w:tc>
      </w:tr>
      <w:tr w:rsidR="00A32067">
        <w:trPr>
          <w:cantSplit/>
          <w:trHeight w:val="95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Align w:val="center"/>
          </w:tcPr>
          <w:p w:rsidR="00A32067" w:rsidRDefault="00A32067">
            <w:pPr>
              <w:widowControl/>
              <w:adjustRightInd w:val="0"/>
              <w:snapToGrid w:val="0"/>
              <w:spacing w:after="200" w:line="240" w:lineRule="exact"/>
              <w:jc w:val="center"/>
              <w:rPr>
                <w:kern w:val="0"/>
              </w:rPr>
            </w:pPr>
            <w:r>
              <w:rPr>
                <w:kern w:val="0"/>
              </w:rPr>
              <w:t>P17</w:t>
            </w:r>
          </w:p>
        </w:tc>
        <w:tc>
          <w:tcPr>
            <w:tcW w:w="1701" w:type="dxa"/>
            <w:vAlign w:val="center"/>
          </w:tcPr>
          <w:p w:rsidR="00A32067" w:rsidRDefault="00A32067" w:rsidP="00A32067">
            <w:pPr>
              <w:widowControl/>
              <w:adjustRightInd w:val="0"/>
              <w:snapToGrid w:val="0"/>
              <w:spacing w:after="200" w:line="240" w:lineRule="exact"/>
              <w:ind w:leftChars="-68" w:left="31680" w:rightChars="-70" w:right="31680" w:firstLineChars="37" w:firstLine="31680"/>
              <w:jc w:val="center"/>
              <w:rPr>
                <w:kern w:val="0"/>
              </w:rPr>
            </w:pPr>
            <w:r>
              <w:rPr>
                <w:rFonts w:cs="宋体" w:hint="eastAsia"/>
                <w:kern w:val="0"/>
              </w:rPr>
              <w:t>扭剪型、大六角头高强螺栓连接副检验</w:t>
            </w:r>
          </w:p>
        </w:tc>
        <w:tc>
          <w:tcPr>
            <w:tcW w:w="709" w:type="dxa"/>
            <w:vAlign w:val="center"/>
          </w:tcPr>
          <w:p w:rsidR="00A32067" w:rsidRDefault="00A32067">
            <w:pPr>
              <w:widowControl/>
              <w:adjustRightInd w:val="0"/>
              <w:snapToGrid w:val="0"/>
              <w:spacing w:after="200"/>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line="240" w:lineRule="exact"/>
              <w:jc w:val="center"/>
              <w:rPr>
                <w:kern w:val="0"/>
              </w:rPr>
            </w:pPr>
            <w:r>
              <w:rPr>
                <w:kern w:val="0"/>
              </w:rPr>
              <w:t>500</w:t>
            </w:r>
          </w:p>
        </w:tc>
        <w:tc>
          <w:tcPr>
            <w:tcW w:w="4110"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试件由制造厂加工、送检</w:t>
            </w:r>
          </w:p>
        </w:tc>
      </w:tr>
      <w:tr w:rsidR="00A32067">
        <w:trPr>
          <w:cantSplit/>
          <w:trHeight w:val="30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Align w:val="center"/>
          </w:tcPr>
          <w:p w:rsidR="00A32067" w:rsidRDefault="00A32067">
            <w:pPr>
              <w:widowControl/>
              <w:adjustRightInd w:val="0"/>
              <w:snapToGrid w:val="0"/>
              <w:spacing w:after="200"/>
              <w:jc w:val="center"/>
              <w:rPr>
                <w:kern w:val="0"/>
              </w:rPr>
            </w:pPr>
            <w:r>
              <w:rPr>
                <w:kern w:val="0"/>
              </w:rPr>
              <w:t>P18</w:t>
            </w:r>
          </w:p>
        </w:tc>
        <w:tc>
          <w:tcPr>
            <w:tcW w:w="1701" w:type="dxa"/>
            <w:vAlign w:val="center"/>
          </w:tcPr>
          <w:p w:rsidR="00A32067" w:rsidRDefault="00A32067" w:rsidP="00A32067">
            <w:pPr>
              <w:widowControl/>
              <w:adjustRightInd w:val="0"/>
              <w:snapToGrid w:val="0"/>
              <w:spacing w:after="200" w:line="240" w:lineRule="exact"/>
              <w:ind w:leftChars="-31" w:left="31680" w:rightChars="-70" w:right="31680" w:firstLineChars="31" w:firstLine="31680"/>
              <w:jc w:val="center"/>
              <w:rPr>
                <w:kern w:val="0"/>
              </w:rPr>
            </w:pPr>
            <w:r>
              <w:rPr>
                <w:rFonts w:cs="宋体" w:hint="eastAsia"/>
                <w:kern w:val="0"/>
              </w:rPr>
              <w:t>高强螺栓连接副抗滑移系数</w:t>
            </w:r>
            <w:r>
              <w:rPr>
                <w:kern w:val="0"/>
              </w:rPr>
              <w:t>μ</w:t>
            </w:r>
            <w:r>
              <w:rPr>
                <w:rFonts w:cs="宋体" w:hint="eastAsia"/>
                <w:kern w:val="0"/>
              </w:rPr>
              <w:t>检验</w:t>
            </w:r>
          </w:p>
        </w:tc>
        <w:tc>
          <w:tcPr>
            <w:tcW w:w="709" w:type="dxa"/>
            <w:vAlign w:val="center"/>
          </w:tcPr>
          <w:p w:rsidR="00A32067" w:rsidRDefault="00A32067">
            <w:pPr>
              <w:widowControl/>
              <w:adjustRightInd w:val="0"/>
              <w:snapToGrid w:val="0"/>
              <w:spacing w:after="200" w:line="240" w:lineRule="exact"/>
              <w:jc w:val="center"/>
              <w:rPr>
                <w:kern w:val="0"/>
              </w:rPr>
            </w:pPr>
            <w:r>
              <w:rPr>
                <w:rFonts w:cs="宋体" w:hint="eastAsia"/>
                <w:kern w:val="0"/>
              </w:rPr>
              <w:t>件</w:t>
            </w:r>
          </w:p>
        </w:tc>
        <w:tc>
          <w:tcPr>
            <w:tcW w:w="851" w:type="dxa"/>
            <w:vAlign w:val="center"/>
          </w:tcPr>
          <w:p w:rsidR="00A32067" w:rsidRDefault="00A32067">
            <w:pPr>
              <w:widowControl/>
              <w:adjustRightInd w:val="0"/>
              <w:snapToGrid w:val="0"/>
              <w:spacing w:after="200"/>
              <w:jc w:val="center"/>
              <w:rPr>
                <w:kern w:val="0"/>
              </w:rPr>
            </w:pPr>
            <w:r>
              <w:rPr>
                <w:kern w:val="0"/>
              </w:rPr>
              <w:t>800</w:t>
            </w:r>
          </w:p>
        </w:tc>
        <w:tc>
          <w:tcPr>
            <w:tcW w:w="4110"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试件由制造厂加工、送检，每批</w:t>
            </w:r>
            <w:r>
              <w:rPr>
                <w:kern w:val="0"/>
              </w:rPr>
              <w:t>3</w:t>
            </w:r>
            <w:r>
              <w:rPr>
                <w:rFonts w:cs="宋体" w:hint="eastAsia"/>
                <w:kern w:val="0"/>
              </w:rPr>
              <w:t>组</w:t>
            </w:r>
          </w:p>
        </w:tc>
      </w:tr>
      <w:tr w:rsidR="00A32067">
        <w:trPr>
          <w:cantSplit/>
          <w:trHeight w:val="82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restart"/>
            <w:vAlign w:val="center"/>
          </w:tcPr>
          <w:p w:rsidR="00A32067" w:rsidRDefault="00A32067">
            <w:pPr>
              <w:widowControl/>
              <w:adjustRightInd w:val="0"/>
              <w:snapToGrid w:val="0"/>
              <w:spacing w:after="200"/>
              <w:jc w:val="center"/>
              <w:rPr>
                <w:kern w:val="0"/>
              </w:rPr>
            </w:pPr>
            <w:r>
              <w:rPr>
                <w:kern w:val="0"/>
              </w:rPr>
              <w:t>P19</w:t>
            </w:r>
          </w:p>
        </w:tc>
        <w:tc>
          <w:tcPr>
            <w:tcW w:w="1701" w:type="dxa"/>
            <w:vMerge w:val="restart"/>
            <w:vAlign w:val="center"/>
          </w:tcPr>
          <w:p w:rsidR="00A32067" w:rsidRDefault="00A32067" w:rsidP="00A32067">
            <w:pPr>
              <w:widowControl/>
              <w:adjustRightInd w:val="0"/>
              <w:snapToGrid w:val="0"/>
              <w:spacing w:after="200" w:line="240" w:lineRule="exact"/>
              <w:ind w:leftChars="-31" w:left="31680" w:rightChars="-70" w:right="31680" w:firstLineChars="31" w:firstLine="31680"/>
              <w:jc w:val="center"/>
              <w:rPr>
                <w:kern w:val="0"/>
              </w:rPr>
            </w:pPr>
            <w:r>
              <w:rPr>
                <w:rFonts w:cs="宋体" w:hint="eastAsia"/>
                <w:kern w:val="0"/>
              </w:rPr>
              <w:t>网架组装质量</w:t>
            </w:r>
          </w:p>
        </w:tc>
        <w:tc>
          <w:tcPr>
            <w:tcW w:w="709" w:type="dxa"/>
            <w:vMerge w:val="restart"/>
            <w:vAlign w:val="center"/>
          </w:tcPr>
          <w:p w:rsidR="00A32067" w:rsidRDefault="00A32067">
            <w:pPr>
              <w:widowControl/>
              <w:adjustRightInd w:val="0"/>
              <w:snapToGrid w:val="0"/>
              <w:spacing w:after="200" w:line="240" w:lineRule="exact"/>
              <w:jc w:val="center"/>
              <w:rPr>
                <w:kern w:val="0"/>
                <w:vertAlign w:val="superscript"/>
              </w:rPr>
            </w:pPr>
            <w:r>
              <w:rPr>
                <w:kern w:val="0"/>
              </w:rPr>
              <w:t>m</w:t>
            </w:r>
            <w:r>
              <w:rPr>
                <w:kern w:val="0"/>
                <w:vertAlign w:val="superscript"/>
              </w:rPr>
              <w:t>2</w:t>
            </w:r>
          </w:p>
        </w:tc>
        <w:tc>
          <w:tcPr>
            <w:tcW w:w="851" w:type="dxa"/>
            <w:vAlign w:val="center"/>
          </w:tcPr>
          <w:p w:rsidR="00A32067" w:rsidRDefault="00A32067">
            <w:pPr>
              <w:widowControl/>
              <w:adjustRightInd w:val="0"/>
              <w:snapToGrid w:val="0"/>
              <w:spacing w:after="200"/>
              <w:jc w:val="center"/>
              <w:rPr>
                <w:kern w:val="0"/>
              </w:rPr>
            </w:pPr>
            <w:r>
              <w:rPr>
                <w:kern w:val="0"/>
              </w:rPr>
              <w:t>1.5</w:t>
            </w:r>
          </w:p>
        </w:tc>
        <w:tc>
          <w:tcPr>
            <w:tcW w:w="4110"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网架安装偏差检验，最低取费</w:t>
            </w:r>
            <w:r>
              <w:rPr>
                <w:kern w:val="0"/>
              </w:rPr>
              <w:t>500</w:t>
            </w:r>
            <w:r>
              <w:rPr>
                <w:rFonts w:cs="宋体" w:hint="eastAsia"/>
                <w:kern w:val="0"/>
              </w:rPr>
              <w:t>元</w:t>
            </w:r>
          </w:p>
        </w:tc>
      </w:tr>
      <w:tr w:rsidR="00A32067">
        <w:trPr>
          <w:cantSplit/>
          <w:trHeight w:val="76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rsidP="00A32067">
            <w:pPr>
              <w:widowControl/>
              <w:adjustRightInd w:val="0"/>
              <w:snapToGrid w:val="0"/>
              <w:spacing w:after="200" w:line="240" w:lineRule="exact"/>
              <w:ind w:leftChars="-31" w:left="31680" w:rightChars="-70" w:right="31680" w:firstLineChars="31" w:firstLine="31680"/>
              <w:jc w:val="center"/>
              <w:rPr>
                <w:kern w:val="0"/>
              </w:rPr>
            </w:pPr>
          </w:p>
        </w:tc>
        <w:tc>
          <w:tcPr>
            <w:tcW w:w="709" w:type="dxa"/>
            <w:vMerge/>
            <w:vAlign w:val="center"/>
          </w:tcPr>
          <w:p w:rsidR="00A32067" w:rsidRDefault="00A32067">
            <w:pPr>
              <w:widowControl/>
              <w:adjustRightInd w:val="0"/>
              <w:snapToGrid w:val="0"/>
              <w:spacing w:after="200" w:line="240" w:lineRule="exact"/>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1.5</w:t>
            </w:r>
          </w:p>
        </w:tc>
        <w:tc>
          <w:tcPr>
            <w:tcW w:w="4110"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挠度检验</w:t>
            </w:r>
          </w:p>
        </w:tc>
      </w:tr>
      <w:tr w:rsidR="00A32067">
        <w:trPr>
          <w:cantSplit/>
          <w:trHeight w:val="773"/>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Align w:val="center"/>
          </w:tcPr>
          <w:p w:rsidR="00A32067" w:rsidRDefault="00A32067" w:rsidP="00A32067">
            <w:pPr>
              <w:widowControl/>
              <w:adjustRightInd w:val="0"/>
              <w:snapToGrid w:val="0"/>
              <w:spacing w:after="200" w:line="240" w:lineRule="exact"/>
              <w:ind w:leftChars="-32" w:left="31680" w:rightChars="-43" w:right="31680" w:firstLine="2"/>
              <w:jc w:val="center"/>
              <w:rPr>
                <w:kern w:val="0"/>
              </w:rPr>
            </w:pPr>
            <w:r>
              <w:rPr>
                <w:rFonts w:cs="宋体" w:hint="eastAsia"/>
                <w:kern w:val="0"/>
              </w:rPr>
              <w:t>结构整体平面弯曲</w:t>
            </w:r>
          </w:p>
        </w:tc>
        <w:tc>
          <w:tcPr>
            <w:tcW w:w="709" w:type="dxa"/>
            <w:vAlign w:val="center"/>
          </w:tcPr>
          <w:p w:rsidR="00A32067" w:rsidRDefault="00A32067">
            <w:pPr>
              <w:widowControl/>
              <w:adjustRightInd w:val="0"/>
              <w:snapToGrid w:val="0"/>
              <w:spacing w:after="200" w:line="240" w:lineRule="exact"/>
              <w:jc w:val="center"/>
              <w:rPr>
                <w:kern w:val="0"/>
              </w:rPr>
            </w:pPr>
            <w:r>
              <w:rPr>
                <w:rFonts w:cs="宋体" w:hint="eastAsia"/>
                <w:kern w:val="0"/>
              </w:rPr>
              <w:t>层排</w:t>
            </w:r>
          </w:p>
        </w:tc>
        <w:tc>
          <w:tcPr>
            <w:tcW w:w="851" w:type="dxa"/>
            <w:vAlign w:val="center"/>
          </w:tcPr>
          <w:p w:rsidR="00A32067" w:rsidRDefault="00A32067">
            <w:pPr>
              <w:widowControl/>
              <w:adjustRightInd w:val="0"/>
              <w:snapToGrid w:val="0"/>
              <w:spacing w:after="200"/>
              <w:jc w:val="center"/>
              <w:rPr>
                <w:kern w:val="0"/>
              </w:rPr>
            </w:pPr>
            <w:r>
              <w:rPr>
                <w:kern w:val="0"/>
              </w:rPr>
              <w:t>120</w:t>
            </w:r>
          </w:p>
        </w:tc>
        <w:tc>
          <w:tcPr>
            <w:tcW w:w="4110" w:type="dxa"/>
            <w:gridSpan w:val="2"/>
            <w:vAlign w:val="center"/>
          </w:tcPr>
          <w:p w:rsidR="00A32067" w:rsidRDefault="00A32067">
            <w:pPr>
              <w:widowControl/>
              <w:adjustRightInd w:val="0"/>
              <w:snapToGrid w:val="0"/>
              <w:spacing w:after="200" w:line="240" w:lineRule="exact"/>
              <w:jc w:val="left"/>
              <w:rPr>
                <w:kern w:val="0"/>
              </w:rPr>
            </w:pPr>
          </w:p>
        </w:tc>
      </w:tr>
      <w:tr w:rsidR="00A32067">
        <w:trPr>
          <w:cantSplit/>
          <w:trHeight w:val="91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Align w:val="center"/>
          </w:tcPr>
          <w:p w:rsidR="00A32067" w:rsidRDefault="00A32067" w:rsidP="00A32067">
            <w:pPr>
              <w:widowControl/>
              <w:adjustRightInd w:val="0"/>
              <w:snapToGrid w:val="0"/>
              <w:spacing w:after="200" w:line="240" w:lineRule="exact"/>
              <w:ind w:leftChars="-32" w:left="31680" w:rightChars="-43" w:right="31680" w:firstLine="2"/>
              <w:jc w:val="center"/>
              <w:rPr>
                <w:kern w:val="0"/>
              </w:rPr>
            </w:pPr>
            <w:r>
              <w:rPr>
                <w:rFonts w:cs="宋体" w:hint="eastAsia"/>
                <w:kern w:val="0"/>
              </w:rPr>
              <w:t>柱垂直度及平面位移</w:t>
            </w:r>
          </w:p>
        </w:tc>
        <w:tc>
          <w:tcPr>
            <w:tcW w:w="709" w:type="dxa"/>
            <w:vAlign w:val="center"/>
          </w:tcPr>
          <w:p w:rsidR="00A32067" w:rsidRDefault="00A32067">
            <w:pPr>
              <w:widowControl/>
              <w:adjustRightInd w:val="0"/>
              <w:snapToGrid w:val="0"/>
              <w:spacing w:after="200" w:line="240" w:lineRule="exact"/>
              <w:jc w:val="center"/>
              <w:rPr>
                <w:kern w:val="0"/>
              </w:rPr>
            </w:pPr>
            <w:r>
              <w:rPr>
                <w:rFonts w:cs="宋体" w:hint="eastAsia"/>
                <w:kern w:val="0"/>
              </w:rPr>
              <w:t>层排</w:t>
            </w:r>
          </w:p>
        </w:tc>
        <w:tc>
          <w:tcPr>
            <w:tcW w:w="851" w:type="dxa"/>
            <w:vAlign w:val="center"/>
          </w:tcPr>
          <w:p w:rsidR="00A32067" w:rsidRDefault="00A32067">
            <w:pPr>
              <w:widowControl/>
              <w:adjustRightInd w:val="0"/>
              <w:snapToGrid w:val="0"/>
              <w:spacing w:after="200"/>
              <w:jc w:val="center"/>
              <w:rPr>
                <w:kern w:val="0"/>
              </w:rPr>
            </w:pPr>
            <w:r>
              <w:rPr>
                <w:kern w:val="0"/>
              </w:rPr>
              <w:t>100</w:t>
            </w:r>
          </w:p>
        </w:tc>
        <w:tc>
          <w:tcPr>
            <w:tcW w:w="4110" w:type="dxa"/>
            <w:gridSpan w:val="2"/>
            <w:vAlign w:val="center"/>
          </w:tcPr>
          <w:p w:rsidR="00A32067" w:rsidRDefault="00A32067">
            <w:pPr>
              <w:widowControl/>
              <w:adjustRightInd w:val="0"/>
              <w:snapToGrid w:val="0"/>
              <w:spacing w:after="200" w:line="240" w:lineRule="exact"/>
              <w:jc w:val="left"/>
              <w:rPr>
                <w:kern w:val="0"/>
              </w:rPr>
            </w:pPr>
          </w:p>
        </w:tc>
      </w:tr>
      <w:tr w:rsidR="00A32067">
        <w:trPr>
          <w:cantSplit/>
          <w:trHeight w:val="62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Align w:val="center"/>
          </w:tcPr>
          <w:p w:rsidR="00A32067" w:rsidRDefault="00A32067" w:rsidP="00A32067">
            <w:pPr>
              <w:widowControl/>
              <w:adjustRightInd w:val="0"/>
              <w:snapToGrid w:val="0"/>
              <w:spacing w:after="200" w:line="240" w:lineRule="exact"/>
              <w:ind w:leftChars="-31" w:left="31680" w:rightChars="-43" w:right="31680" w:hangingChars="31" w:firstLine="31680"/>
              <w:jc w:val="center"/>
              <w:rPr>
                <w:kern w:val="0"/>
              </w:rPr>
            </w:pPr>
            <w:r>
              <w:rPr>
                <w:rFonts w:cs="宋体" w:hint="eastAsia"/>
                <w:kern w:val="0"/>
              </w:rPr>
              <w:t>水平安装偏差</w:t>
            </w:r>
          </w:p>
        </w:tc>
        <w:tc>
          <w:tcPr>
            <w:tcW w:w="709" w:type="dxa"/>
            <w:vAlign w:val="center"/>
          </w:tcPr>
          <w:p w:rsidR="00A32067" w:rsidRDefault="00A32067">
            <w:pPr>
              <w:widowControl/>
              <w:adjustRightInd w:val="0"/>
              <w:snapToGrid w:val="0"/>
              <w:spacing w:after="200" w:line="240" w:lineRule="exact"/>
              <w:jc w:val="center"/>
              <w:rPr>
                <w:kern w:val="0"/>
              </w:rPr>
            </w:pPr>
            <w:r>
              <w:rPr>
                <w:rFonts w:cs="宋体" w:hint="eastAsia"/>
                <w:kern w:val="0"/>
              </w:rPr>
              <w:t>构件</w:t>
            </w:r>
          </w:p>
        </w:tc>
        <w:tc>
          <w:tcPr>
            <w:tcW w:w="851" w:type="dxa"/>
            <w:vAlign w:val="center"/>
          </w:tcPr>
          <w:p w:rsidR="00A32067" w:rsidRDefault="00A32067">
            <w:pPr>
              <w:widowControl/>
              <w:adjustRightInd w:val="0"/>
              <w:snapToGrid w:val="0"/>
              <w:spacing w:after="200"/>
              <w:jc w:val="center"/>
              <w:rPr>
                <w:kern w:val="0"/>
              </w:rPr>
            </w:pPr>
            <w:r>
              <w:rPr>
                <w:kern w:val="0"/>
              </w:rPr>
              <w:t>50</w:t>
            </w:r>
          </w:p>
        </w:tc>
        <w:tc>
          <w:tcPr>
            <w:tcW w:w="4110" w:type="dxa"/>
            <w:gridSpan w:val="2"/>
            <w:vAlign w:val="center"/>
          </w:tcPr>
          <w:p w:rsidR="00A32067" w:rsidRDefault="00A32067">
            <w:pPr>
              <w:widowControl/>
              <w:adjustRightInd w:val="0"/>
              <w:snapToGrid w:val="0"/>
              <w:spacing w:after="200" w:line="240" w:lineRule="exact"/>
              <w:jc w:val="left"/>
              <w:rPr>
                <w:kern w:val="0"/>
              </w:rPr>
            </w:pPr>
          </w:p>
        </w:tc>
      </w:tr>
      <w:tr w:rsidR="00A32067">
        <w:trPr>
          <w:cantSplit/>
          <w:trHeight w:val="1042"/>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701" w:type="dxa"/>
            <w:vAlign w:val="center"/>
          </w:tcPr>
          <w:p w:rsidR="00A32067" w:rsidRDefault="00A32067" w:rsidP="00A32067">
            <w:pPr>
              <w:widowControl/>
              <w:adjustRightInd w:val="0"/>
              <w:snapToGrid w:val="0"/>
              <w:spacing w:after="200" w:line="240" w:lineRule="exact"/>
              <w:ind w:leftChars="-31" w:left="31680" w:rightChars="-43" w:right="31680" w:hangingChars="31" w:firstLine="31680"/>
              <w:jc w:val="center"/>
              <w:rPr>
                <w:kern w:val="0"/>
              </w:rPr>
            </w:pPr>
            <w:r>
              <w:rPr>
                <w:rFonts w:cs="宋体" w:hint="eastAsia"/>
                <w:kern w:val="0"/>
              </w:rPr>
              <w:t>钢构件几何尺寸</w:t>
            </w:r>
          </w:p>
        </w:tc>
        <w:tc>
          <w:tcPr>
            <w:tcW w:w="709" w:type="dxa"/>
            <w:vAlign w:val="center"/>
          </w:tcPr>
          <w:p w:rsidR="00A32067" w:rsidRDefault="00A32067">
            <w:pPr>
              <w:widowControl/>
              <w:adjustRightInd w:val="0"/>
              <w:snapToGrid w:val="0"/>
              <w:spacing w:after="200" w:line="240" w:lineRule="exact"/>
              <w:jc w:val="center"/>
              <w:rPr>
                <w:kern w:val="0"/>
              </w:rPr>
            </w:pPr>
            <w:r>
              <w:rPr>
                <w:rFonts w:cs="宋体" w:hint="eastAsia"/>
                <w:kern w:val="0"/>
              </w:rPr>
              <w:t>构件</w:t>
            </w:r>
          </w:p>
        </w:tc>
        <w:tc>
          <w:tcPr>
            <w:tcW w:w="851" w:type="dxa"/>
            <w:vAlign w:val="center"/>
          </w:tcPr>
          <w:p w:rsidR="00A32067" w:rsidRDefault="00A32067">
            <w:pPr>
              <w:widowControl/>
              <w:adjustRightInd w:val="0"/>
              <w:snapToGrid w:val="0"/>
              <w:spacing w:after="200"/>
              <w:jc w:val="center"/>
              <w:rPr>
                <w:kern w:val="0"/>
              </w:rPr>
            </w:pPr>
            <w:r>
              <w:rPr>
                <w:kern w:val="0"/>
              </w:rPr>
              <w:t>50</w:t>
            </w:r>
          </w:p>
        </w:tc>
        <w:tc>
          <w:tcPr>
            <w:tcW w:w="4110"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防腐、防火涂料清理、恢复由委托方负责</w:t>
            </w:r>
          </w:p>
        </w:tc>
      </w:tr>
    </w:tbl>
    <w:p w:rsidR="00A32067" w:rsidRDefault="00A32067" w:rsidP="00A32067">
      <w:pPr>
        <w:widowControl/>
        <w:adjustRightInd w:val="0"/>
        <w:snapToGrid w:val="0"/>
        <w:spacing w:after="200"/>
        <w:ind w:firstLineChars="100" w:firstLine="31680"/>
        <w:jc w:val="left"/>
        <w:outlineLvl w:val="0"/>
        <w:rPr>
          <w:rFonts w:eastAsia="微软雅黑"/>
          <w:b/>
          <w:bCs/>
          <w:kern w:val="0"/>
          <w:sz w:val="24"/>
          <w:szCs w:val="24"/>
        </w:rPr>
      </w:pPr>
    </w:p>
    <w:p w:rsidR="00A32067" w:rsidRDefault="00A32067" w:rsidP="005431C7">
      <w:pPr>
        <w:widowControl/>
        <w:adjustRightInd w:val="0"/>
        <w:snapToGrid w:val="0"/>
        <w:spacing w:after="200"/>
        <w:ind w:firstLineChars="100" w:firstLine="31680"/>
        <w:jc w:val="left"/>
        <w:rPr>
          <w:rFonts w:eastAsia="微软雅黑"/>
          <w:b/>
          <w:bCs/>
          <w:kern w:val="0"/>
          <w:sz w:val="24"/>
          <w:szCs w:val="24"/>
        </w:rPr>
      </w:pPr>
    </w:p>
    <w:p w:rsidR="00A32067" w:rsidRDefault="00A32067" w:rsidP="005431C7">
      <w:pPr>
        <w:widowControl/>
        <w:adjustRightInd w:val="0"/>
        <w:snapToGrid w:val="0"/>
        <w:spacing w:after="200"/>
        <w:ind w:firstLineChars="100" w:firstLine="31680"/>
        <w:jc w:val="left"/>
        <w:rPr>
          <w:rFonts w:eastAsia="微软雅黑"/>
          <w:b/>
          <w:bCs/>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P20</w:t>
      </w:r>
      <w:r>
        <w:rPr>
          <w:rFonts w:ascii="Times New Roman" w:hAnsi="Times New Roman" w:hint="eastAsia"/>
          <w:b/>
          <w:bCs/>
          <w:kern w:val="2"/>
        </w:rPr>
        <w:t>～</w:t>
      </w:r>
      <w:r>
        <w:rPr>
          <w:rFonts w:ascii="Times New Roman" w:hAnsi="Times New Roman" w:cs="Times New Roman"/>
          <w:b/>
          <w:bCs/>
          <w:kern w:val="2"/>
        </w:rPr>
        <w:t>P25</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943"/>
        <w:gridCol w:w="1418"/>
        <w:gridCol w:w="699"/>
        <w:gridCol w:w="945"/>
        <w:gridCol w:w="1757"/>
        <w:gridCol w:w="2338"/>
      </w:tblGrid>
      <w:tr w:rsidR="00A32067">
        <w:trPr>
          <w:cantSplit/>
          <w:trHeight w:val="485"/>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943"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418" w:type="dxa"/>
            <w:vMerge w:val="restart"/>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699"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945"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095"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485"/>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jc w:val="center"/>
              <w:rPr>
                <w:kern w:val="0"/>
              </w:rPr>
            </w:pPr>
          </w:p>
        </w:tc>
        <w:tc>
          <w:tcPr>
            <w:tcW w:w="1418" w:type="dxa"/>
            <w:vMerge/>
            <w:vAlign w:val="center"/>
          </w:tcPr>
          <w:p w:rsidR="00A32067" w:rsidRDefault="00A32067">
            <w:pPr>
              <w:widowControl/>
              <w:adjustRightInd w:val="0"/>
              <w:snapToGrid w:val="0"/>
              <w:spacing w:after="200"/>
              <w:jc w:val="center"/>
              <w:rPr>
                <w:kern w:val="0"/>
              </w:rPr>
            </w:pPr>
          </w:p>
        </w:tc>
        <w:tc>
          <w:tcPr>
            <w:tcW w:w="699" w:type="dxa"/>
            <w:vMerge/>
            <w:vAlign w:val="center"/>
          </w:tcPr>
          <w:p w:rsidR="00A32067" w:rsidRDefault="00A32067">
            <w:pPr>
              <w:widowControl/>
              <w:adjustRightInd w:val="0"/>
              <w:snapToGrid w:val="0"/>
              <w:spacing w:after="200"/>
              <w:jc w:val="center"/>
              <w:rPr>
                <w:kern w:val="0"/>
              </w:rPr>
            </w:pPr>
          </w:p>
        </w:tc>
        <w:tc>
          <w:tcPr>
            <w:tcW w:w="945" w:type="dxa"/>
            <w:vMerge/>
            <w:vAlign w:val="center"/>
          </w:tcPr>
          <w:p w:rsidR="00A32067" w:rsidRDefault="00A32067">
            <w:pPr>
              <w:widowControl/>
              <w:adjustRightInd w:val="0"/>
              <w:snapToGrid w:val="0"/>
              <w:spacing w:after="200"/>
              <w:jc w:val="center"/>
              <w:rPr>
                <w:kern w:val="0"/>
              </w:rPr>
            </w:pPr>
          </w:p>
        </w:tc>
        <w:tc>
          <w:tcPr>
            <w:tcW w:w="4095" w:type="dxa"/>
            <w:gridSpan w:val="2"/>
            <w:vMerge/>
            <w:vAlign w:val="center"/>
          </w:tcPr>
          <w:p w:rsidR="00A32067" w:rsidRDefault="00A32067">
            <w:pPr>
              <w:widowControl/>
              <w:adjustRightInd w:val="0"/>
              <w:snapToGrid w:val="0"/>
              <w:spacing w:after="200"/>
              <w:jc w:val="center"/>
              <w:rPr>
                <w:kern w:val="0"/>
              </w:rPr>
            </w:pPr>
          </w:p>
        </w:tc>
      </w:tr>
      <w:tr w:rsidR="00A32067">
        <w:trPr>
          <w:cantSplit/>
          <w:trHeight w:val="881"/>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地基勘察</w:t>
            </w:r>
          </w:p>
        </w:tc>
        <w:tc>
          <w:tcPr>
            <w:tcW w:w="943" w:type="dxa"/>
            <w:vMerge w:val="restart"/>
            <w:vAlign w:val="center"/>
          </w:tcPr>
          <w:p w:rsidR="00A32067" w:rsidRDefault="00A32067">
            <w:pPr>
              <w:widowControl/>
              <w:adjustRightInd w:val="0"/>
              <w:snapToGrid w:val="0"/>
              <w:spacing w:after="200"/>
              <w:jc w:val="center"/>
              <w:rPr>
                <w:kern w:val="0"/>
              </w:rPr>
            </w:pPr>
            <w:r>
              <w:rPr>
                <w:kern w:val="0"/>
              </w:rPr>
              <w:t>P20</w:t>
            </w:r>
          </w:p>
        </w:tc>
        <w:tc>
          <w:tcPr>
            <w:tcW w:w="1418" w:type="dxa"/>
            <w:vMerge w:val="restart"/>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旁压仪高压法</w:t>
            </w:r>
          </w:p>
        </w:tc>
        <w:tc>
          <w:tcPr>
            <w:tcW w:w="699" w:type="dxa"/>
            <w:vMerge w:val="restart"/>
            <w:vAlign w:val="center"/>
          </w:tcPr>
          <w:p w:rsidR="00A32067" w:rsidRDefault="00A32067">
            <w:pPr>
              <w:widowControl/>
              <w:adjustRightInd w:val="0"/>
              <w:snapToGrid w:val="0"/>
              <w:spacing w:after="200" w:line="240" w:lineRule="exact"/>
              <w:jc w:val="center"/>
              <w:rPr>
                <w:kern w:val="0"/>
              </w:rPr>
            </w:pPr>
            <w:r>
              <w:rPr>
                <w:rFonts w:cs="宋体" w:hint="eastAsia"/>
                <w:kern w:val="0"/>
              </w:rPr>
              <w:t>点</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270</w:t>
            </w:r>
          </w:p>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w:t>
            </w:r>
            <w:r>
              <w:rPr>
                <w:kern w:val="0"/>
              </w:rPr>
              <w:t>200</w:t>
            </w:r>
            <w:r>
              <w:rPr>
                <w:rFonts w:cs="宋体" w:hint="eastAsia"/>
                <w:kern w:val="0"/>
              </w:rPr>
              <w:t>）</w:t>
            </w:r>
          </w:p>
        </w:tc>
        <w:tc>
          <w:tcPr>
            <w:tcW w:w="1757" w:type="dxa"/>
            <w:vAlign w:val="center"/>
          </w:tcPr>
          <w:p w:rsidR="00A32067" w:rsidRDefault="00A32067">
            <w:pPr>
              <w:widowControl/>
              <w:adjustRightInd w:val="0"/>
              <w:snapToGrid w:val="0"/>
              <w:spacing w:after="200"/>
              <w:jc w:val="center"/>
              <w:rPr>
                <w:kern w:val="0"/>
              </w:rPr>
            </w:pPr>
            <w:r>
              <w:rPr>
                <w:rFonts w:cs="宋体" w:hint="eastAsia"/>
                <w:kern w:val="0"/>
              </w:rPr>
              <w:t>深度</w:t>
            </w:r>
            <w:r>
              <w:rPr>
                <w:kern w:val="0"/>
              </w:rPr>
              <w:t>≤15m</w:t>
            </w:r>
          </w:p>
        </w:tc>
        <w:tc>
          <w:tcPr>
            <w:tcW w:w="2338" w:type="dxa"/>
            <w:vMerge w:val="restart"/>
            <w:vAlign w:val="center"/>
          </w:tcPr>
          <w:p w:rsidR="00A32067" w:rsidRDefault="00A32067" w:rsidP="00A32067">
            <w:pPr>
              <w:widowControl/>
              <w:adjustRightInd w:val="0"/>
              <w:snapToGrid w:val="0"/>
              <w:spacing w:after="200"/>
              <w:ind w:leftChars="-1" w:left="31680" w:rightChars="-36" w:right="31680" w:firstLine="1"/>
              <w:jc w:val="left"/>
              <w:rPr>
                <w:kern w:val="0"/>
              </w:rPr>
            </w:pPr>
            <w:r>
              <w:rPr>
                <w:kern w:val="0"/>
              </w:rPr>
              <w:t>1</w:t>
            </w:r>
            <w:r>
              <w:rPr>
                <w:rFonts w:cs="宋体" w:hint="eastAsia"/>
                <w:kern w:val="0"/>
              </w:rPr>
              <w:t>、</w:t>
            </w:r>
            <w:r>
              <w:rPr>
                <w:kern w:val="0"/>
              </w:rPr>
              <w:t>( )</w:t>
            </w:r>
            <w:r>
              <w:rPr>
                <w:rFonts w:cs="宋体" w:hint="eastAsia"/>
                <w:kern w:val="0"/>
              </w:rPr>
              <w:t>内为低压（</w:t>
            </w:r>
            <w:r>
              <w:rPr>
                <w:kern w:val="0"/>
              </w:rPr>
              <w:t>≤2500kPa</w:t>
            </w:r>
            <w:r>
              <w:rPr>
                <w:rFonts w:cs="宋体" w:hint="eastAsia"/>
                <w:kern w:val="0"/>
              </w:rPr>
              <w:t>）；</w:t>
            </w:r>
          </w:p>
          <w:p w:rsidR="00A32067" w:rsidRDefault="00A32067" w:rsidP="00A32067">
            <w:pPr>
              <w:widowControl/>
              <w:adjustRightInd w:val="0"/>
              <w:snapToGrid w:val="0"/>
              <w:spacing w:after="200"/>
              <w:ind w:leftChars="-2" w:left="31680" w:rightChars="-36" w:right="31680" w:firstLine="1"/>
              <w:jc w:val="left"/>
              <w:rPr>
                <w:kern w:val="0"/>
              </w:rPr>
            </w:pPr>
            <w:r>
              <w:rPr>
                <w:kern w:val="0"/>
              </w:rPr>
              <w:t>2</w:t>
            </w:r>
            <w:r>
              <w:rPr>
                <w:rFonts w:cs="宋体" w:hint="eastAsia"/>
                <w:kern w:val="0"/>
              </w:rPr>
              <w:t>、自钻式旁压仪提供水平应力、不排水抗剪强度及孔隙水压力等指标时，每一指标按基价</w:t>
            </w:r>
            <w:r>
              <w:rPr>
                <w:kern w:val="0"/>
              </w:rPr>
              <w:t>25</w:t>
            </w:r>
            <w:r>
              <w:rPr>
                <w:rFonts w:cs="宋体" w:hint="eastAsia"/>
                <w:kern w:val="0"/>
              </w:rPr>
              <w:t>％计费；</w:t>
            </w:r>
          </w:p>
          <w:p w:rsidR="00A32067" w:rsidRDefault="00A32067" w:rsidP="00A32067">
            <w:pPr>
              <w:widowControl/>
              <w:numPr>
                <w:ilvl w:val="0"/>
                <w:numId w:val="3"/>
              </w:numPr>
              <w:tabs>
                <w:tab w:val="clear" w:pos="360"/>
                <w:tab w:val="left" w:pos="102"/>
              </w:tabs>
              <w:adjustRightInd w:val="0"/>
              <w:snapToGrid w:val="0"/>
              <w:spacing w:after="200"/>
              <w:ind w:leftChars="-1" w:left="31680" w:rightChars="-36" w:right="31680" w:firstLine="1"/>
              <w:jc w:val="left"/>
              <w:rPr>
                <w:kern w:val="0"/>
              </w:rPr>
            </w:pPr>
            <w:r>
              <w:rPr>
                <w:rFonts w:cs="宋体" w:hint="eastAsia"/>
                <w:kern w:val="0"/>
              </w:rPr>
              <w:t>根据《工程勘察收费标准</w:t>
            </w:r>
            <w:r>
              <w:rPr>
                <w:kern w:val="0"/>
              </w:rPr>
              <w:t>(</w:t>
            </w:r>
            <w:r>
              <w:rPr>
                <w:rFonts w:cs="宋体" w:hint="eastAsia"/>
                <w:kern w:val="0"/>
              </w:rPr>
              <w:t>修订本</w:t>
            </w:r>
            <w:r>
              <w:rPr>
                <w:kern w:val="0"/>
              </w:rPr>
              <w:t>)</w:t>
            </w:r>
            <w:r>
              <w:rPr>
                <w:rFonts w:cs="宋体" w:hint="eastAsia"/>
                <w:kern w:val="0"/>
              </w:rPr>
              <w:t>》表</w:t>
            </w:r>
            <w:r>
              <w:rPr>
                <w:kern w:val="0"/>
              </w:rPr>
              <w:t>27</w:t>
            </w:r>
            <w:r>
              <w:rPr>
                <w:rFonts w:cs="宋体" w:hint="eastAsia"/>
                <w:kern w:val="0"/>
              </w:rPr>
              <w:t>预转成孔时增加</w:t>
            </w:r>
            <w:r>
              <w:rPr>
                <w:kern w:val="0"/>
              </w:rPr>
              <w:t>20</w:t>
            </w:r>
            <w:r>
              <w:rPr>
                <w:rFonts w:cs="宋体" w:hint="eastAsia"/>
                <w:kern w:val="0"/>
              </w:rPr>
              <w:t>％；</w:t>
            </w:r>
          </w:p>
          <w:p w:rsidR="00A32067" w:rsidRDefault="00A32067" w:rsidP="00A32067">
            <w:pPr>
              <w:widowControl/>
              <w:numPr>
                <w:ilvl w:val="0"/>
                <w:numId w:val="3"/>
              </w:numPr>
              <w:tabs>
                <w:tab w:val="clear" w:pos="360"/>
                <w:tab w:val="left" w:pos="-108"/>
              </w:tabs>
              <w:adjustRightInd w:val="0"/>
              <w:snapToGrid w:val="0"/>
              <w:spacing w:after="200"/>
              <w:ind w:leftChars="-1" w:left="31680" w:rightChars="-36" w:right="31680" w:firstLine="1"/>
              <w:jc w:val="left"/>
              <w:rPr>
                <w:kern w:val="0"/>
              </w:rPr>
            </w:pPr>
            <w:r>
              <w:rPr>
                <w:rFonts w:cs="宋体" w:hint="eastAsia"/>
                <w:kern w:val="0"/>
              </w:rPr>
              <w:t>自钻成孔时，</w:t>
            </w:r>
            <w:r>
              <w:rPr>
                <w:kern w:val="0"/>
              </w:rPr>
              <w:t>50</w:t>
            </w:r>
            <w:r>
              <w:rPr>
                <w:rFonts w:cs="宋体" w:hint="eastAsia"/>
                <w:kern w:val="0"/>
              </w:rPr>
              <w:t>％计费。</w:t>
            </w:r>
          </w:p>
        </w:tc>
      </w:tr>
      <w:tr w:rsidR="00A32067">
        <w:trPr>
          <w:cantSplit/>
          <w:trHeight w:val="838"/>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jc w:val="center"/>
              <w:rPr>
                <w:kern w:val="0"/>
              </w:rPr>
            </w:pPr>
          </w:p>
        </w:tc>
        <w:tc>
          <w:tcPr>
            <w:tcW w:w="1418" w:type="dxa"/>
            <w:vMerge/>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p>
        </w:tc>
        <w:tc>
          <w:tcPr>
            <w:tcW w:w="699" w:type="dxa"/>
            <w:vMerge/>
            <w:vAlign w:val="center"/>
          </w:tcPr>
          <w:p w:rsidR="00A32067" w:rsidRDefault="00A32067">
            <w:pPr>
              <w:widowControl/>
              <w:adjustRightInd w:val="0"/>
              <w:snapToGrid w:val="0"/>
              <w:spacing w:after="200" w:line="240" w:lineRule="exact"/>
              <w:jc w:val="center"/>
              <w:rPr>
                <w:kern w:val="0"/>
              </w:rPr>
            </w:pP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410</w:t>
            </w:r>
          </w:p>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w:t>
            </w:r>
            <w:r>
              <w:rPr>
                <w:kern w:val="0"/>
              </w:rPr>
              <w:t>270</w:t>
            </w:r>
            <w:r>
              <w:rPr>
                <w:rFonts w:cs="宋体" w:hint="eastAsia"/>
                <w:kern w:val="0"/>
              </w:rPr>
              <w:t>）</w:t>
            </w:r>
          </w:p>
        </w:tc>
        <w:tc>
          <w:tcPr>
            <w:tcW w:w="1757" w:type="dxa"/>
            <w:vAlign w:val="center"/>
          </w:tcPr>
          <w:p w:rsidR="00A32067" w:rsidRDefault="00A32067">
            <w:pPr>
              <w:widowControl/>
              <w:adjustRightInd w:val="0"/>
              <w:snapToGrid w:val="0"/>
              <w:spacing w:after="200"/>
              <w:jc w:val="center"/>
              <w:rPr>
                <w:kern w:val="0"/>
              </w:rPr>
            </w:pPr>
            <w:r>
              <w:rPr>
                <w:rFonts w:cs="宋体" w:hint="eastAsia"/>
                <w:kern w:val="0"/>
              </w:rPr>
              <w:t>深度＞</w:t>
            </w:r>
            <w:r>
              <w:rPr>
                <w:kern w:val="0"/>
              </w:rPr>
              <w:t>15m</w:t>
            </w:r>
          </w:p>
        </w:tc>
        <w:tc>
          <w:tcPr>
            <w:tcW w:w="2338" w:type="dxa"/>
            <w:vMerge/>
            <w:vAlign w:val="center"/>
          </w:tcPr>
          <w:p w:rsidR="00A32067" w:rsidRDefault="00A32067">
            <w:pPr>
              <w:widowControl/>
              <w:adjustRightInd w:val="0"/>
              <w:snapToGrid w:val="0"/>
              <w:spacing w:after="200"/>
              <w:jc w:val="center"/>
              <w:rPr>
                <w:kern w:val="0"/>
              </w:rPr>
            </w:pPr>
          </w:p>
        </w:tc>
      </w:tr>
      <w:tr w:rsidR="00A32067">
        <w:trPr>
          <w:cantSplit/>
          <w:trHeight w:val="1208"/>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jc w:val="center"/>
              <w:rPr>
                <w:kern w:val="0"/>
              </w:rPr>
            </w:pPr>
          </w:p>
        </w:tc>
        <w:tc>
          <w:tcPr>
            <w:tcW w:w="1418" w:type="dxa"/>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常规</w:t>
            </w:r>
          </w:p>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勘察法</w:t>
            </w:r>
          </w:p>
        </w:tc>
        <w:tc>
          <w:tcPr>
            <w:tcW w:w="699" w:type="dxa"/>
            <w:vAlign w:val="center"/>
          </w:tcPr>
          <w:p w:rsidR="00A32067" w:rsidRDefault="00A32067">
            <w:pPr>
              <w:widowControl/>
              <w:adjustRightInd w:val="0"/>
              <w:snapToGrid w:val="0"/>
              <w:spacing w:after="200" w:line="240" w:lineRule="exact"/>
              <w:jc w:val="center"/>
              <w:rPr>
                <w:kern w:val="0"/>
              </w:rPr>
            </w:pPr>
          </w:p>
        </w:tc>
        <w:tc>
          <w:tcPr>
            <w:tcW w:w="2702"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按《工程勘察收费标准</w:t>
            </w:r>
            <w:r>
              <w:rPr>
                <w:kern w:val="0"/>
              </w:rPr>
              <w:t>(</w:t>
            </w:r>
            <w:r>
              <w:rPr>
                <w:rFonts w:cs="宋体" w:hint="eastAsia"/>
                <w:kern w:val="0"/>
              </w:rPr>
              <w:t>修订本</w:t>
            </w:r>
            <w:r>
              <w:rPr>
                <w:kern w:val="0"/>
              </w:rPr>
              <w:t>)</w:t>
            </w:r>
            <w:r>
              <w:rPr>
                <w:rFonts w:cs="宋体" w:hint="eastAsia"/>
                <w:kern w:val="0"/>
              </w:rPr>
              <w:t>》取费</w:t>
            </w:r>
          </w:p>
        </w:tc>
        <w:tc>
          <w:tcPr>
            <w:tcW w:w="2338" w:type="dxa"/>
            <w:vMerge/>
            <w:vAlign w:val="center"/>
          </w:tcPr>
          <w:p w:rsidR="00A32067" w:rsidRDefault="00A32067">
            <w:pPr>
              <w:widowControl/>
              <w:adjustRightInd w:val="0"/>
              <w:snapToGrid w:val="0"/>
              <w:spacing w:after="200"/>
              <w:jc w:val="center"/>
              <w:rPr>
                <w:kern w:val="0"/>
              </w:rPr>
            </w:pPr>
          </w:p>
        </w:tc>
      </w:tr>
      <w:tr w:rsidR="00A32067">
        <w:trPr>
          <w:cantSplit/>
          <w:trHeight w:val="1350"/>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Align w:val="center"/>
          </w:tcPr>
          <w:p w:rsidR="00A32067" w:rsidRDefault="00A32067">
            <w:pPr>
              <w:widowControl/>
              <w:adjustRightInd w:val="0"/>
              <w:snapToGrid w:val="0"/>
              <w:spacing w:after="200"/>
              <w:jc w:val="center"/>
              <w:rPr>
                <w:kern w:val="0"/>
              </w:rPr>
            </w:pPr>
            <w:r>
              <w:rPr>
                <w:kern w:val="0"/>
              </w:rPr>
              <w:t>P21</w:t>
            </w:r>
          </w:p>
        </w:tc>
        <w:tc>
          <w:tcPr>
            <w:tcW w:w="1418" w:type="dxa"/>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地基</w:t>
            </w:r>
          </w:p>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承载力</w:t>
            </w:r>
          </w:p>
        </w:tc>
        <w:tc>
          <w:tcPr>
            <w:tcW w:w="699" w:type="dxa"/>
            <w:vAlign w:val="center"/>
          </w:tcPr>
          <w:p w:rsidR="00A32067" w:rsidRDefault="00A32067">
            <w:pPr>
              <w:widowControl/>
              <w:adjustRightInd w:val="0"/>
              <w:snapToGrid w:val="0"/>
              <w:spacing w:after="200" w:line="240" w:lineRule="exact"/>
              <w:jc w:val="center"/>
              <w:rPr>
                <w:kern w:val="0"/>
              </w:rPr>
            </w:pPr>
            <w:r>
              <w:rPr>
                <w:rFonts w:cs="宋体" w:hint="eastAsia"/>
                <w:kern w:val="0"/>
              </w:rPr>
              <w:t>点</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300</w:t>
            </w:r>
          </w:p>
        </w:tc>
        <w:tc>
          <w:tcPr>
            <w:tcW w:w="1757" w:type="dxa"/>
            <w:vAlign w:val="center"/>
          </w:tcPr>
          <w:p w:rsidR="00A32067" w:rsidRDefault="00A32067">
            <w:pPr>
              <w:widowControl/>
              <w:adjustRightInd w:val="0"/>
              <w:snapToGrid w:val="0"/>
              <w:spacing w:after="200" w:line="240" w:lineRule="exact"/>
              <w:jc w:val="left"/>
              <w:rPr>
                <w:kern w:val="0"/>
              </w:rPr>
            </w:pPr>
            <w:r>
              <w:rPr>
                <w:rFonts w:cs="宋体" w:hint="eastAsia"/>
                <w:kern w:val="0"/>
              </w:rPr>
              <w:t>适用于轻便触探</w:t>
            </w:r>
          </w:p>
        </w:tc>
        <w:tc>
          <w:tcPr>
            <w:tcW w:w="2338" w:type="dxa"/>
            <w:vMerge/>
            <w:vAlign w:val="center"/>
          </w:tcPr>
          <w:p w:rsidR="00A32067" w:rsidRDefault="00A32067">
            <w:pPr>
              <w:widowControl/>
              <w:adjustRightInd w:val="0"/>
              <w:snapToGrid w:val="0"/>
              <w:spacing w:after="200"/>
              <w:jc w:val="center"/>
              <w:rPr>
                <w:kern w:val="0"/>
              </w:rPr>
            </w:pPr>
          </w:p>
        </w:tc>
      </w:tr>
      <w:tr w:rsidR="00A32067">
        <w:trPr>
          <w:cantSplit/>
          <w:trHeight w:hRule="exact" w:val="835"/>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基础及其它</w:t>
            </w:r>
          </w:p>
        </w:tc>
        <w:tc>
          <w:tcPr>
            <w:tcW w:w="943" w:type="dxa"/>
            <w:vMerge w:val="restart"/>
            <w:vAlign w:val="center"/>
          </w:tcPr>
          <w:p w:rsidR="00A32067" w:rsidRDefault="00A32067">
            <w:pPr>
              <w:widowControl/>
              <w:adjustRightInd w:val="0"/>
              <w:snapToGrid w:val="0"/>
              <w:spacing w:after="200"/>
              <w:jc w:val="center"/>
              <w:rPr>
                <w:kern w:val="0"/>
              </w:rPr>
            </w:pPr>
            <w:r>
              <w:rPr>
                <w:kern w:val="0"/>
              </w:rPr>
              <w:t>P22</w:t>
            </w:r>
          </w:p>
        </w:tc>
        <w:tc>
          <w:tcPr>
            <w:tcW w:w="1418" w:type="dxa"/>
            <w:vAlign w:val="center"/>
          </w:tcPr>
          <w:p w:rsidR="00A32067" w:rsidRDefault="00A32067" w:rsidP="00A32067">
            <w:pPr>
              <w:widowControl/>
              <w:adjustRightInd w:val="0"/>
              <w:snapToGrid w:val="0"/>
              <w:spacing w:after="200"/>
              <w:ind w:leftChars="-32" w:left="31680" w:rightChars="-58" w:right="31680" w:hangingChars="1" w:firstLine="31680"/>
              <w:jc w:val="center"/>
              <w:rPr>
                <w:kern w:val="0"/>
              </w:rPr>
            </w:pPr>
            <w:r>
              <w:rPr>
                <w:rFonts w:cs="宋体" w:hint="eastAsia"/>
                <w:kern w:val="0"/>
              </w:rPr>
              <w:t>基础尺寸</w:t>
            </w:r>
          </w:p>
        </w:tc>
        <w:tc>
          <w:tcPr>
            <w:tcW w:w="699" w:type="dxa"/>
            <w:vAlign w:val="center"/>
          </w:tcPr>
          <w:p w:rsidR="00A32067" w:rsidRDefault="00A32067">
            <w:pPr>
              <w:widowControl/>
              <w:adjustRightInd w:val="0"/>
              <w:snapToGrid w:val="0"/>
              <w:spacing w:after="200" w:line="240" w:lineRule="exact"/>
              <w:jc w:val="center"/>
              <w:rPr>
                <w:kern w:val="0"/>
              </w:rPr>
            </w:pPr>
            <w:r>
              <w:rPr>
                <w:rFonts w:cs="宋体" w:hint="eastAsia"/>
                <w:kern w:val="0"/>
              </w:rPr>
              <w:t>处</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100</w:t>
            </w:r>
          </w:p>
        </w:tc>
        <w:tc>
          <w:tcPr>
            <w:tcW w:w="4095" w:type="dxa"/>
            <w:gridSpan w:val="2"/>
            <w:vAlign w:val="center"/>
          </w:tcPr>
          <w:p w:rsidR="00A32067" w:rsidRDefault="00A32067">
            <w:pPr>
              <w:widowControl/>
              <w:adjustRightInd w:val="0"/>
              <w:snapToGrid w:val="0"/>
              <w:spacing w:after="200"/>
              <w:jc w:val="center"/>
              <w:rPr>
                <w:kern w:val="0"/>
              </w:rPr>
            </w:pPr>
          </w:p>
        </w:tc>
      </w:tr>
      <w:tr w:rsidR="00A32067">
        <w:trPr>
          <w:cantSplit/>
          <w:trHeight w:hRule="exact" w:val="954"/>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jc w:val="center"/>
              <w:rPr>
                <w:kern w:val="0"/>
              </w:rPr>
            </w:pPr>
          </w:p>
        </w:tc>
        <w:tc>
          <w:tcPr>
            <w:tcW w:w="1418" w:type="dxa"/>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建筑物沉降观测</w:t>
            </w:r>
          </w:p>
        </w:tc>
        <w:tc>
          <w:tcPr>
            <w:tcW w:w="699" w:type="dxa"/>
            <w:vAlign w:val="center"/>
          </w:tcPr>
          <w:p w:rsidR="00A32067" w:rsidRDefault="00A32067">
            <w:pPr>
              <w:widowControl/>
              <w:adjustRightInd w:val="0"/>
              <w:snapToGrid w:val="0"/>
              <w:spacing w:after="200" w:line="240" w:lineRule="exact"/>
              <w:jc w:val="center"/>
              <w:rPr>
                <w:kern w:val="0"/>
              </w:rPr>
            </w:pPr>
            <w:r>
              <w:rPr>
                <w:rFonts w:cs="宋体" w:hint="eastAsia"/>
                <w:kern w:val="0"/>
              </w:rPr>
              <w:t>点次</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150</w:t>
            </w:r>
          </w:p>
        </w:tc>
        <w:tc>
          <w:tcPr>
            <w:tcW w:w="4095" w:type="dxa"/>
            <w:gridSpan w:val="2"/>
            <w:vAlign w:val="center"/>
          </w:tcPr>
          <w:p w:rsidR="00A32067" w:rsidRDefault="00A32067">
            <w:pPr>
              <w:widowControl/>
              <w:adjustRightInd w:val="0"/>
              <w:snapToGrid w:val="0"/>
              <w:spacing w:after="200"/>
              <w:jc w:val="left"/>
              <w:rPr>
                <w:kern w:val="0"/>
              </w:rPr>
            </w:pPr>
            <w:r>
              <w:rPr>
                <w:rFonts w:cs="宋体" w:hint="eastAsia"/>
                <w:kern w:val="0"/>
              </w:rPr>
              <w:t>委托方提供诸次观测往返交通费</w:t>
            </w:r>
          </w:p>
        </w:tc>
      </w:tr>
      <w:tr w:rsidR="00A32067">
        <w:trPr>
          <w:cantSplit/>
          <w:trHeight w:val="680"/>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工程质量鉴定</w:t>
            </w:r>
          </w:p>
        </w:tc>
        <w:tc>
          <w:tcPr>
            <w:tcW w:w="943" w:type="dxa"/>
            <w:vMerge w:val="restart"/>
            <w:vAlign w:val="center"/>
          </w:tcPr>
          <w:p w:rsidR="00A32067" w:rsidRDefault="00A32067">
            <w:pPr>
              <w:widowControl/>
              <w:adjustRightInd w:val="0"/>
              <w:snapToGrid w:val="0"/>
              <w:spacing w:after="200" w:line="240" w:lineRule="exact"/>
              <w:jc w:val="center"/>
              <w:rPr>
                <w:kern w:val="0"/>
              </w:rPr>
            </w:pPr>
            <w:r>
              <w:rPr>
                <w:kern w:val="0"/>
              </w:rPr>
              <w:t>P23</w:t>
            </w:r>
          </w:p>
        </w:tc>
        <w:tc>
          <w:tcPr>
            <w:tcW w:w="1418" w:type="dxa"/>
            <w:vMerge w:val="restart"/>
            <w:vAlign w:val="center"/>
          </w:tcPr>
          <w:p w:rsidR="00A32067" w:rsidRDefault="00A32067">
            <w:pPr>
              <w:widowControl/>
              <w:adjustRightInd w:val="0"/>
              <w:snapToGrid w:val="0"/>
              <w:spacing w:after="200"/>
              <w:jc w:val="left"/>
              <w:rPr>
                <w:kern w:val="0"/>
              </w:rPr>
            </w:pPr>
            <w:r>
              <w:rPr>
                <w:rFonts w:cs="宋体" w:hint="eastAsia"/>
                <w:kern w:val="0"/>
              </w:rPr>
              <w:t>构造、位移变形、受力裂缝、非受力缝、缺陷。</w:t>
            </w:r>
          </w:p>
        </w:tc>
        <w:tc>
          <w:tcPr>
            <w:tcW w:w="699" w:type="dxa"/>
            <w:vMerge w:val="restart"/>
            <w:vAlign w:val="center"/>
          </w:tcPr>
          <w:p w:rsidR="00A32067" w:rsidRDefault="00A32067">
            <w:pPr>
              <w:widowControl/>
              <w:adjustRightInd w:val="0"/>
              <w:snapToGrid w:val="0"/>
              <w:spacing w:after="200" w:line="240" w:lineRule="exact"/>
              <w:jc w:val="center"/>
              <w:rPr>
                <w:kern w:val="0"/>
                <w:vertAlign w:val="superscript"/>
              </w:rPr>
            </w:pPr>
            <w:r>
              <w:rPr>
                <w:kern w:val="0"/>
              </w:rPr>
              <w:t>m</w:t>
            </w:r>
            <w:r>
              <w:rPr>
                <w:kern w:val="0"/>
                <w:vertAlign w:val="superscript"/>
              </w:rPr>
              <w:t>2</w:t>
            </w:r>
          </w:p>
        </w:tc>
        <w:tc>
          <w:tcPr>
            <w:tcW w:w="945" w:type="dxa"/>
            <w:vAlign w:val="center"/>
          </w:tcPr>
          <w:p w:rsidR="00A32067" w:rsidRDefault="00A32067">
            <w:pPr>
              <w:widowControl/>
              <w:adjustRightInd w:val="0"/>
              <w:snapToGrid w:val="0"/>
              <w:spacing w:after="200"/>
              <w:jc w:val="center"/>
              <w:rPr>
                <w:kern w:val="0"/>
              </w:rPr>
            </w:pPr>
            <w:r>
              <w:rPr>
                <w:kern w:val="0"/>
              </w:rPr>
              <w:t>3.5</w:t>
            </w:r>
          </w:p>
        </w:tc>
        <w:tc>
          <w:tcPr>
            <w:tcW w:w="4095" w:type="dxa"/>
            <w:gridSpan w:val="2"/>
            <w:vAlign w:val="center"/>
          </w:tcPr>
          <w:p w:rsidR="00A32067" w:rsidRDefault="00A32067">
            <w:pPr>
              <w:widowControl/>
              <w:adjustRightInd w:val="0"/>
              <w:snapToGrid w:val="0"/>
              <w:spacing w:after="200"/>
              <w:jc w:val="left"/>
              <w:rPr>
                <w:kern w:val="0"/>
              </w:rPr>
            </w:pPr>
          </w:p>
        </w:tc>
      </w:tr>
      <w:tr w:rsidR="00A32067">
        <w:trPr>
          <w:cantSplit/>
          <w:trHeight w:val="680"/>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line="240" w:lineRule="exact"/>
              <w:jc w:val="center"/>
              <w:rPr>
                <w:kern w:val="0"/>
              </w:rPr>
            </w:pPr>
          </w:p>
        </w:tc>
        <w:tc>
          <w:tcPr>
            <w:tcW w:w="1418" w:type="dxa"/>
            <w:vMerge/>
            <w:vAlign w:val="center"/>
          </w:tcPr>
          <w:p w:rsidR="00A32067" w:rsidRDefault="00A32067" w:rsidP="00A32067">
            <w:pPr>
              <w:widowControl/>
              <w:tabs>
                <w:tab w:val="left" w:pos="878"/>
              </w:tabs>
              <w:adjustRightInd w:val="0"/>
              <w:snapToGrid w:val="0"/>
              <w:spacing w:after="200" w:line="240" w:lineRule="exact"/>
              <w:ind w:leftChars="-31" w:left="31680" w:rightChars="-70" w:right="31680" w:hangingChars="31" w:firstLine="31680"/>
              <w:jc w:val="center"/>
              <w:rPr>
                <w:kern w:val="0"/>
              </w:rPr>
            </w:pPr>
          </w:p>
        </w:tc>
        <w:tc>
          <w:tcPr>
            <w:tcW w:w="699" w:type="dxa"/>
            <w:vMerge/>
            <w:vAlign w:val="center"/>
          </w:tcPr>
          <w:p w:rsidR="00A32067" w:rsidRDefault="00A32067">
            <w:pPr>
              <w:widowControl/>
              <w:adjustRightInd w:val="0"/>
              <w:snapToGrid w:val="0"/>
              <w:spacing w:after="200" w:line="240" w:lineRule="exact"/>
              <w:jc w:val="center"/>
              <w:rPr>
                <w:kern w:val="0"/>
              </w:rPr>
            </w:pPr>
          </w:p>
        </w:tc>
        <w:tc>
          <w:tcPr>
            <w:tcW w:w="945" w:type="dxa"/>
            <w:vAlign w:val="center"/>
          </w:tcPr>
          <w:p w:rsidR="00A32067" w:rsidRDefault="00A32067">
            <w:pPr>
              <w:widowControl/>
              <w:adjustRightInd w:val="0"/>
              <w:snapToGrid w:val="0"/>
              <w:spacing w:after="200"/>
              <w:jc w:val="center"/>
              <w:rPr>
                <w:kern w:val="0"/>
              </w:rPr>
            </w:pPr>
            <w:r>
              <w:rPr>
                <w:kern w:val="0"/>
              </w:rPr>
              <w:t>4.0</w:t>
            </w:r>
          </w:p>
        </w:tc>
        <w:tc>
          <w:tcPr>
            <w:tcW w:w="4095" w:type="dxa"/>
            <w:gridSpan w:val="2"/>
            <w:vAlign w:val="center"/>
          </w:tcPr>
          <w:p w:rsidR="00A32067" w:rsidRDefault="00A32067">
            <w:pPr>
              <w:widowControl/>
              <w:adjustRightInd w:val="0"/>
              <w:snapToGrid w:val="0"/>
              <w:spacing w:after="200" w:line="240" w:lineRule="exact"/>
              <w:jc w:val="center"/>
              <w:rPr>
                <w:kern w:val="0"/>
              </w:rPr>
            </w:pPr>
          </w:p>
        </w:tc>
      </w:tr>
      <w:tr w:rsidR="00A32067">
        <w:trPr>
          <w:cantSplit/>
          <w:trHeight w:val="680"/>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Merge/>
            <w:vAlign w:val="center"/>
          </w:tcPr>
          <w:p w:rsidR="00A32067" w:rsidRDefault="00A32067">
            <w:pPr>
              <w:widowControl/>
              <w:adjustRightInd w:val="0"/>
              <w:snapToGrid w:val="0"/>
              <w:spacing w:after="200" w:line="240" w:lineRule="exact"/>
              <w:jc w:val="center"/>
              <w:rPr>
                <w:kern w:val="0"/>
              </w:rPr>
            </w:pPr>
          </w:p>
        </w:tc>
        <w:tc>
          <w:tcPr>
            <w:tcW w:w="1418" w:type="dxa"/>
            <w:vMerge/>
            <w:vAlign w:val="center"/>
          </w:tcPr>
          <w:p w:rsidR="00A32067" w:rsidRDefault="00A32067" w:rsidP="00A32067">
            <w:pPr>
              <w:widowControl/>
              <w:tabs>
                <w:tab w:val="left" w:pos="878"/>
              </w:tabs>
              <w:adjustRightInd w:val="0"/>
              <w:snapToGrid w:val="0"/>
              <w:spacing w:after="200" w:line="240" w:lineRule="exact"/>
              <w:ind w:leftChars="-31" w:left="31680" w:rightChars="-70" w:right="31680" w:hangingChars="31" w:firstLine="31680"/>
              <w:jc w:val="center"/>
              <w:rPr>
                <w:kern w:val="0"/>
              </w:rPr>
            </w:pPr>
          </w:p>
        </w:tc>
        <w:tc>
          <w:tcPr>
            <w:tcW w:w="699" w:type="dxa"/>
            <w:vAlign w:val="center"/>
          </w:tcPr>
          <w:p w:rsidR="00A32067" w:rsidRDefault="00A32067">
            <w:pPr>
              <w:widowControl/>
              <w:adjustRightInd w:val="0"/>
              <w:snapToGrid w:val="0"/>
              <w:spacing w:after="200" w:line="240" w:lineRule="exact"/>
              <w:jc w:val="center"/>
              <w:rPr>
                <w:kern w:val="0"/>
              </w:rPr>
            </w:pPr>
            <w:r>
              <w:rPr>
                <w:rFonts w:cs="宋体" w:hint="eastAsia"/>
                <w:kern w:val="0"/>
              </w:rPr>
              <w:t>户</w:t>
            </w:r>
          </w:p>
        </w:tc>
        <w:tc>
          <w:tcPr>
            <w:tcW w:w="945" w:type="dxa"/>
            <w:vAlign w:val="center"/>
          </w:tcPr>
          <w:p w:rsidR="00A32067" w:rsidRDefault="00A32067">
            <w:pPr>
              <w:widowControl/>
              <w:adjustRightInd w:val="0"/>
              <w:snapToGrid w:val="0"/>
              <w:spacing w:after="200"/>
              <w:jc w:val="center"/>
              <w:rPr>
                <w:kern w:val="0"/>
              </w:rPr>
            </w:pPr>
            <w:r>
              <w:rPr>
                <w:kern w:val="0"/>
              </w:rPr>
              <w:t>1000</w:t>
            </w:r>
          </w:p>
        </w:tc>
        <w:tc>
          <w:tcPr>
            <w:tcW w:w="4095" w:type="dxa"/>
            <w:gridSpan w:val="2"/>
            <w:vAlign w:val="center"/>
          </w:tcPr>
          <w:p w:rsidR="00A32067" w:rsidRDefault="00A32067">
            <w:pPr>
              <w:widowControl/>
              <w:adjustRightInd w:val="0"/>
              <w:snapToGrid w:val="0"/>
              <w:spacing w:after="200" w:line="240" w:lineRule="exact"/>
              <w:jc w:val="left"/>
              <w:rPr>
                <w:kern w:val="0"/>
              </w:rPr>
            </w:pPr>
            <w:r>
              <w:rPr>
                <w:rFonts w:cs="宋体" w:hint="eastAsia"/>
                <w:kern w:val="0"/>
              </w:rPr>
              <w:t>适用于建筑面积</w:t>
            </w:r>
            <w:r>
              <w:rPr>
                <w:kern w:val="0"/>
              </w:rPr>
              <w:t>≤100m</w:t>
            </w:r>
            <w:r>
              <w:rPr>
                <w:kern w:val="0"/>
                <w:vertAlign w:val="superscript"/>
              </w:rPr>
              <w:t>2</w:t>
            </w:r>
            <w:r>
              <w:rPr>
                <w:rFonts w:cs="宋体" w:hint="eastAsia"/>
                <w:kern w:val="0"/>
              </w:rPr>
              <w:t>时，建筑面积＞</w:t>
            </w:r>
            <w:r>
              <w:rPr>
                <w:kern w:val="0"/>
              </w:rPr>
              <w:t>100m</w:t>
            </w:r>
            <w:r>
              <w:rPr>
                <w:kern w:val="0"/>
                <w:vertAlign w:val="superscript"/>
              </w:rPr>
              <w:t>2</w:t>
            </w:r>
            <w:r>
              <w:rPr>
                <w:rFonts w:cs="宋体" w:hint="eastAsia"/>
                <w:kern w:val="0"/>
              </w:rPr>
              <w:t>时，加收</w:t>
            </w:r>
            <w:r>
              <w:rPr>
                <w:kern w:val="0"/>
              </w:rPr>
              <w:t>50</w:t>
            </w:r>
            <w:r>
              <w:rPr>
                <w:rFonts w:cs="宋体" w:hint="eastAsia"/>
                <w:kern w:val="0"/>
              </w:rPr>
              <w:t>％。</w:t>
            </w:r>
          </w:p>
        </w:tc>
      </w:tr>
      <w:tr w:rsidR="00A32067">
        <w:trPr>
          <w:cantSplit/>
          <w:trHeight w:hRule="exact" w:val="1369"/>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Align w:val="center"/>
          </w:tcPr>
          <w:p w:rsidR="00A32067" w:rsidRDefault="00A32067">
            <w:pPr>
              <w:widowControl/>
              <w:adjustRightInd w:val="0"/>
              <w:snapToGrid w:val="0"/>
              <w:spacing w:after="200"/>
              <w:jc w:val="center"/>
              <w:rPr>
                <w:kern w:val="0"/>
              </w:rPr>
            </w:pPr>
            <w:r>
              <w:rPr>
                <w:kern w:val="0"/>
              </w:rPr>
              <w:t>P24</w:t>
            </w:r>
          </w:p>
        </w:tc>
        <w:tc>
          <w:tcPr>
            <w:tcW w:w="1418" w:type="dxa"/>
            <w:vAlign w:val="center"/>
          </w:tcPr>
          <w:p w:rsidR="00A32067" w:rsidRDefault="00A32067" w:rsidP="00A32067">
            <w:pPr>
              <w:widowControl/>
              <w:adjustRightInd w:val="0"/>
              <w:snapToGrid w:val="0"/>
              <w:spacing w:after="200"/>
              <w:ind w:leftChars="-32" w:left="31680" w:rightChars="-57" w:right="31680" w:hangingChars="1" w:firstLine="31680"/>
              <w:jc w:val="center"/>
              <w:rPr>
                <w:kern w:val="0"/>
              </w:rPr>
            </w:pPr>
            <w:r>
              <w:rPr>
                <w:rFonts w:cs="宋体" w:hint="eastAsia"/>
                <w:kern w:val="0"/>
              </w:rPr>
              <w:t>围护系统使用功能</w:t>
            </w:r>
          </w:p>
        </w:tc>
        <w:tc>
          <w:tcPr>
            <w:tcW w:w="699" w:type="dxa"/>
            <w:vAlign w:val="center"/>
          </w:tcPr>
          <w:p w:rsidR="00A32067" w:rsidRDefault="00A32067">
            <w:pPr>
              <w:widowControl/>
              <w:adjustRightInd w:val="0"/>
              <w:snapToGrid w:val="0"/>
              <w:spacing w:after="200" w:line="240" w:lineRule="exact"/>
              <w:jc w:val="center"/>
              <w:rPr>
                <w:kern w:val="0"/>
              </w:rPr>
            </w:pPr>
            <w:r>
              <w:rPr>
                <w:kern w:val="0"/>
              </w:rPr>
              <w:t>m</w:t>
            </w:r>
            <w:r>
              <w:rPr>
                <w:kern w:val="0"/>
                <w:vertAlign w:val="superscript"/>
              </w:rPr>
              <w:t>2</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1.2</w:t>
            </w:r>
          </w:p>
        </w:tc>
        <w:tc>
          <w:tcPr>
            <w:tcW w:w="4095" w:type="dxa"/>
            <w:gridSpan w:val="2"/>
            <w:vAlign w:val="center"/>
          </w:tcPr>
          <w:p w:rsidR="00A32067" w:rsidRDefault="00A32067" w:rsidP="00A32067">
            <w:pPr>
              <w:widowControl/>
              <w:adjustRightInd w:val="0"/>
              <w:snapToGrid w:val="0"/>
              <w:spacing w:after="200"/>
              <w:ind w:left="-2" w:rightChars="-36" w:right="31680"/>
              <w:jc w:val="left"/>
              <w:rPr>
                <w:kern w:val="0"/>
              </w:rPr>
            </w:pPr>
          </w:p>
        </w:tc>
      </w:tr>
      <w:tr w:rsidR="00A32067">
        <w:trPr>
          <w:cantSplit/>
          <w:trHeight w:hRule="exact" w:val="1570"/>
          <w:jc w:val="center"/>
        </w:trPr>
        <w:tc>
          <w:tcPr>
            <w:tcW w:w="1008" w:type="dxa"/>
            <w:vMerge/>
            <w:vAlign w:val="center"/>
          </w:tcPr>
          <w:p w:rsidR="00A32067" w:rsidRDefault="00A32067">
            <w:pPr>
              <w:widowControl/>
              <w:adjustRightInd w:val="0"/>
              <w:snapToGrid w:val="0"/>
              <w:spacing w:after="200"/>
              <w:jc w:val="center"/>
              <w:rPr>
                <w:kern w:val="0"/>
              </w:rPr>
            </w:pPr>
          </w:p>
        </w:tc>
        <w:tc>
          <w:tcPr>
            <w:tcW w:w="943" w:type="dxa"/>
            <w:vAlign w:val="center"/>
          </w:tcPr>
          <w:p w:rsidR="00A32067" w:rsidRDefault="00A32067">
            <w:pPr>
              <w:widowControl/>
              <w:adjustRightInd w:val="0"/>
              <w:snapToGrid w:val="0"/>
              <w:spacing w:after="200"/>
              <w:jc w:val="center"/>
              <w:rPr>
                <w:kern w:val="0"/>
              </w:rPr>
            </w:pPr>
            <w:r>
              <w:rPr>
                <w:kern w:val="0"/>
              </w:rPr>
              <w:t>P25</w:t>
            </w:r>
          </w:p>
        </w:tc>
        <w:tc>
          <w:tcPr>
            <w:tcW w:w="1418"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房屋可靠度或危房鉴定</w:t>
            </w:r>
          </w:p>
        </w:tc>
        <w:tc>
          <w:tcPr>
            <w:tcW w:w="699" w:type="dxa"/>
            <w:vAlign w:val="center"/>
          </w:tcPr>
          <w:p w:rsidR="00A32067" w:rsidRDefault="00A32067">
            <w:pPr>
              <w:widowControl/>
              <w:adjustRightInd w:val="0"/>
              <w:snapToGrid w:val="0"/>
              <w:spacing w:after="200" w:line="240" w:lineRule="exact"/>
              <w:jc w:val="center"/>
              <w:rPr>
                <w:kern w:val="0"/>
              </w:rPr>
            </w:pPr>
            <w:r>
              <w:rPr>
                <w:kern w:val="0"/>
              </w:rPr>
              <w:t>m</w:t>
            </w:r>
            <w:r>
              <w:rPr>
                <w:kern w:val="0"/>
                <w:vertAlign w:val="superscript"/>
              </w:rPr>
              <w:t>2</w:t>
            </w:r>
          </w:p>
        </w:tc>
        <w:tc>
          <w:tcPr>
            <w:tcW w:w="945"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1.8</w:t>
            </w:r>
            <w:r>
              <w:rPr>
                <w:rFonts w:cs="宋体" w:hint="eastAsia"/>
                <w:kern w:val="0"/>
              </w:rPr>
              <w:t>～</w:t>
            </w:r>
            <w:r>
              <w:rPr>
                <w:kern w:val="0"/>
              </w:rPr>
              <w:t>2.4</w:t>
            </w:r>
          </w:p>
        </w:tc>
        <w:tc>
          <w:tcPr>
            <w:tcW w:w="4095" w:type="dxa"/>
            <w:gridSpan w:val="2"/>
            <w:vAlign w:val="center"/>
          </w:tcPr>
          <w:p w:rsidR="00A32067" w:rsidRDefault="00A32067">
            <w:pPr>
              <w:widowControl/>
              <w:adjustRightInd w:val="0"/>
              <w:snapToGrid w:val="0"/>
              <w:spacing w:after="200"/>
              <w:jc w:val="left"/>
              <w:rPr>
                <w:kern w:val="0"/>
              </w:rPr>
            </w:pPr>
            <w:r>
              <w:rPr>
                <w:rFonts w:cs="宋体" w:hint="eastAsia"/>
                <w:kern w:val="0"/>
              </w:rPr>
              <w:t>根据结构的复杂程度，选择取费范围</w:t>
            </w:r>
          </w:p>
        </w:tc>
      </w:tr>
    </w:tbl>
    <w:p w:rsidR="00A32067" w:rsidRDefault="00A32067" w:rsidP="00A32067">
      <w:pPr>
        <w:widowControl/>
        <w:adjustRightInd w:val="0"/>
        <w:snapToGrid w:val="0"/>
        <w:spacing w:after="200"/>
        <w:ind w:firstLineChars="100" w:firstLine="31680"/>
        <w:jc w:val="left"/>
        <w:rPr>
          <w:rFonts w:eastAsia="微软雅黑"/>
          <w:b/>
          <w:bCs/>
          <w:kern w:val="0"/>
          <w:sz w:val="24"/>
          <w:szCs w:val="24"/>
        </w:rPr>
      </w:pPr>
    </w:p>
    <w:p w:rsidR="00A32067" w:rsidRDefault="00A32067" w:rsidP="005431C7">
      <w:pPr>
        <w:widowControl/>
        <w:adjustRightInd w:val="0"/>
        <w:snapToGrid w:val="0"/>
        <w:spacing w:after="200"/>
        <w:ind w:firstLineChars="100" w:firstLine="31680"/>
        <w:jc w:val="left"/>
        <w:rPr>
          <w:rFonts w:eastAsia="微软雅黑"/>
          <w:b/>
          <w:bCs/>
          <w:kern w:val="0"/>
          <w:sz w:val="24"/>
          <w:szCs w:val="24"/>
        </w:rPr>
      </w:pPr>
    </w:p>
    <w:p w:rsidR="00A32067" w:rsidRDefault="00A32067" w:rsidP="005431C7">
      <w:pPr>
        <w:widowControl/>
        <w:adjustRightInd w:val="0"/>
        <w:snapToGrid w:val="0"/>
        <w:spacing w:after="200"/>
        <w:ind w:firstLineChars="100" w:firstLine="31680"/>
        <w:jc w:val="left"/>
        <w:rPr>
          <w:rFonts w:eastAsia="微软雅黑"/>
          <w:b/>
          <w:bCs/>
          <w:kern w:val="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P26</w:t>
      </w:r>
      <w:r>
        <w:rPr>
          <w:rFonts w:ascii="Times New Roman" w:hAnsi="Times New Roman" w:hint="eastAsia"/>
          <w:b/>
          <w:bCs/>
          <w:kern w:val="2"/>
        </w:rPr>
        <w:t>～</w:t>
      </w:r>
      <w:r>
        <w:rPr>
          <w:rFonts w:ascii="Times New Roman" w:hAnsi="Times New Roman" w:cs="Times New Roman"/>
          <w:b/>
          <w:bCs/>
          <w:kern w:val="2"/>
        </w:rPr>
        <w:t>P30</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085"/>
        <w:gridCol w:w="992"/>
        <w:gridCol w:w="1134"/>
        <w:gridCol w:w="992"/>
        <w:gridCol w:w="1560"/>
        <w:gridCol w:w="2320"/>
        <w:gridCol w:w="6"/>
      </w:tblGrid>
      <w:tr w:rsidR="00A32067">
        <w:trPr>
          <w:gridAfter w:val="1"/>
          <w:wAfter w:w="6" w:type="dxa"/>
          <w:cantSplit/>
          <w:trHeight w:val="476"/>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1085"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992" w:type="dxa"/>
            <w:vMerge w:val="restart"/>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1134"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992"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3880"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gridAfter w:val="1"/>
          <w:wAfter w:w="6" w:type="dxa"/>
          <w:cantSplit/>
          <w:trHeight w:val="476"/>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3880" w:type="dxa"/>
            <w:gridSpan w:val="2"/>
            <w:vMerge/>
            <w:vAlign w:val="center"/>
          </w:tcPr>
          <w:p w:rsidR="00A32067" w:rsidRDefault="00A32067">
            <w:pPr>
              <w:widowControl/>
              <w:adjustRightInd w:val="0"/>
              <w:snapToGrid w:val="0"/>
              <w:spacing w:after="200"/>
              <w:jc w:val="center"/>
              <w:rPr>
                <w:kern w:val="0"/>
              </w:rPr>
            </w:pPr>
          </w:p>
        </w:tc>
      </w:tr>
      <w:tr w:rsidR="00A32067">
        <w:trPr>
          <w:gridAfter w:val="1"/>
          <w:wAfter w:w="6" w:type="dxa"/>
          <w:cantSplit/>
          <w:trHeight w:hRule="exact" w:val="772"/>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工程质量鉴定</w:t>
            </w:r>
          </w:p>
        </w:tc>
        <w:tc>
          <w:tcPr>
            <w:tcW w:w="1085" w:type="dxa"/>
            <w:vMerge w:val="restart"/>
            <w:vAlign w:val="center"/>
          </w:tcPr>
          <w:p w:rsidR="00A32067" w:rsidRDefault="00A32067">
            <w:pPr>
              <w:widowControl/>
              <w:adjustRightInd w:val="0"/>
              <w:snapToGrid w:val="0"/>
              <w:spacing w:after="200"/>
              <w:jc w:val="center"/>
              <w:rPr>
                <w:kern w:val="0"/>
              </w:rPr>
            </w:pPr>
            <w:r>
              <w:rPr>
                <w:kern w:val="0"/>
              </w:rPr>
              <w:t>P26</w:t>
            </w:r>
          </w:p>
        </w:tc>
        <w:tc>
          <w:tcPr>
            <w:tcW w:w="992" w:type="dxa"/>
            <w:vMerge w:val="restart"/>
            <w:vAlign w:val="center"/>
          </w:tcPr>
          <w:p w:rsidR="00A32067" w:rsidRDefault="00A32067" w:rsidP="00A32067">
            <w:pPr>
              <w:widowControl/>
              <w:adjustRightInd w:val="0"/>
              <w:snapToGrid w:val="0"/>
              <w:spacing w:after="200"/>
              <w:ind w:leftChars="-32" w:left="31680" w:rightChars="-20" w:right="31680" w:hangingChars="1" w:firstLine="31680"/>
              <w:jc w:val="center"/>
              <w:rPr>
                <w:kern w:val="0"/>
              </w:rPr>
            </w:pPr>
            <w:r>
              <w:rPr>
                <w:rFonts w:cs="宋体" w:hint="eastAsia"/>
                <w:kern w:val="0"/>
              </w:rPr>
              <w:t>承载力、</w:t>
            </w:r>
          </w:p>
          <w:p w:rsidR="00A32067" w:rsidRDefault="00A32067" w:rsidP="00A32067">
            <w:pPr>
              <w:widowControl/>
              <w:adjustRightInd w:val="0"/>
              <w:snapToGrid w:val="0"/>
              <w:spacing w:after="200"/>
              <w:ind w:leftChars="-32" w:left="31680" w:rightChars="-20" w:right="31680" w:hangingChars="1" w:firstLine="31680"/>
              <w:jc w:val="left"/>
              <w:rPr>
                <w:kern w:val="0"/>
              </w:rPr>
            </w:pPr>
            <w:r>
              <w:rPr>
                <w:rFonts w:cs="宋体" w:hint="eastAsia"/>
                <w:kern w:val="0"/>
              </w:rPr>
              <w:t>单个构件承载力核验</w:t>
            </w: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件</w:t>
            </w:r>
          </w:p>
        </w:tc>
        <w:tc>
          <w:tcPr>
            <w:tcW w:w="992" w:type="dxa"/>
            <w:vAlign w:val="center"/>
          </w:tcPr>
          <w:p w:rsidR="00A32067" w:rsidRDefault="00A32067" w:rsidP="00A32067">
            <w:pPr>
              <w:widowControl/>
              <w:adjustRightInd w:val="0"/>
              <w:snapToGrid w:val="0"/>
              <w:spacing w:after="200"/>
              <w:ind w:leftChars="-66" w:left="31680" w:rightChars="-51" w:right="31680" w:firstLineChars="15" w:firstLine="31680"/>
              <w:jc w:val="center"/>
              <w:rPr>
                <w:kern w:val="0"/>
              </w:rPr>
            </w:pPr>
            <w:r>
              <w:rPr>
                <w:rFonts w:cs="宋体" w:hint="eastAsia"/>
                <w:kern w:val="0"/>
              </w:rPr>
              <w:t>按相关设计标准取费</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适用于各种材料，整体结构</w:t>
            </w:r>
          </w:p>
        </w:tc>
      </w:tr>
      <w:tr w:rsidR="00A32067">
        <w:trPr>
          <w:gridAfter w:val="1"/>
          <w:wAfter w:w="6" w:type="dxa"/>
          <w:cantSplit/>
          <w:trHeight w:hRule="exact" w:val="714"/>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每跨</w:t>
            </w:r>
          </w:p>
        </w:tc>
        <w:tc>
          <w:tcPr>
            <w:tcW w:w="992"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800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适用于梁、板（包括阳台板）</w:t>
            </w:r>
          </w:p>
        </w:tc>
      </w:tr>
      <w:tr w:rsidR="00A32067">
        <w:trPr>
          <w:gridAfter w:val="1"/>
          <w:wAfter w:w="6" w:type="dxa"/>
          <w:cantSplit/>
          <w:trHeight w:hRule="exact" w:val="696"/>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每跨</w:t>
            </w:r>
          </w:p>
        </w:tc>
        <w:tc>
          <w:tcPr>
            <w:tcW w:w="992"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1500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适用于吊车梁</w:t>
            </w:r>
          </w:p>
        </w:tc>
      </w:tr>
      <w:tr w:rsidR="00A32067">
        <w:trPr>
          <w:gridAfter w:val="1"/>
          <w:wAfter w:w="6" w:type="dxa"/>
          <w:cantSplit/>
          <w:trHeight w:hRule="exact" w:val="537"/>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每条</w:t>
            </w:r>
          </w:p>
        </w:tc>
        <w:tc>
          <w:tcPr>
            <w:tcW w:w="992"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1200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适用于连续板</w:t>
            </w:r>
          </w:p>
        </w:tc>
      </w:tr>
      <w:tr w:rsidR="00A32067">
        <w:trPr>
          <w:gridAfter w:val="1"/>
          <w:wAfter w:w="6" w:type="dxa"/>
          <w:cantSplit/>
          <w:trHeight w:hRule="exact" w:val="559"/>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center"/>
              <w:rPr>
                <w:kern w:val="0"/>
              </w:rPr>
            </w:pPr>
            <w:r>
              <w:rPr>
                <w:rFonts w:cs="宋体" w:hint="eastAsia"/>
                <w:kern w:val="0"/>
              </w:rPr>
              <w:t>结构平面</w:t>
            </w:r>
          </w:p>
        </w:tc>
        <w:tc>
          <w:tcPr>
            <w:tcW w:w="992"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kern w:val="0"/>
              </w:rPr>
              <w:t>2200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适用于井字梁板</w:t>
            </w:r>
          </w:p>
        </w:tc>
      </w:tr>
      <w:tr w:rsidR="00A32067">
        <w:trPr>
          <w:gridAfter w:val="1"/>
          <w:wAfter w:w="6" w:type="dxa"/>
          <w:cantSplit/>
          <w:trHeight w:hRule="exact" w:val="567"/>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每榀</w:t>
            </w:r>
          </w:p>
        </w:tc>
        <w:tc>
          <w:tcPr>
            <w:tcW w:w="992" w:type="dxa"/>
            <w:vAlign w:val="center"/>
          </w:tcPr>
          <w:p w:rsidR="00A32067" w:rsidRDefault="00A32067">
            <w:pPr>
              <w:widowControl/>
              <w:adjustRightInd w:val="0"/>
              <w:snapToGrid w:val="0"/>
              <w:spacing w:after="200"/>
              <w:jc w:val="center"/>
              <w:rPr>
                <w:kern w:val="0"/>
              </w:rPr>
            </w:pPr>
            <w:r>
              <w:rPr>
                <w:kern w:val="0"/>
              </w:rPr>
              <w:t>2000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适用于木屋架</w:t>
            </w:r>
          </w:p>
        </w:tc>
      </w:tr>
      <w:tr w:rsidR="00A32067">
        <w:trPr>
          <w:gridAfter w:val="1"/>
          <w:wAfter w:w="6" w:type="dxa"/>
          <w:cantSplit/>
          <w:trHeight w:hRule="exact" w:val="516"/>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每榀</w:t>
            </w:r>
          </w:p>
        </w:tc>
        <w:tc>
          <w:tcPr>
            <w:tcW w:w="992" w:type="dxa"/>
            <w:vAlign w:val="center"/>
          </w:tcPr>
          <w:p w:rsidR="00A32067" w:rsidRDefault="00A32067">
            <w:pPr>
              <w:widowControl/>
              <w:adjustRightInd w:val="0"/>
              <w:snapToGrid w:val="0"/>
              <w:spacing w:after="200"/>
              <w:jc w:val="center"/>
              <w:rPr>
                <w:kern w:val="0"/>
              </w:rPr>
            </w:pPr>
            <w:r>
              <w:rPr>
                <w:kern w:val="0"/>
              </w:rPr>
              <w:t>2500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适用于柁架、屋架、薄腹梁</w:t>
            </w:r>
          </w:p>
        </w:tc>
      </w:tr>
      <w:tr w:rsidR="00A32067">
        <w:trPr>
          <w:gridAfter w:val="1"/>
          <w:wAfter w:w="6" w:type="dxa"/>
          <w:cantSplit/>
          <w:trHeight w:hRule="exact" w:val="593"/>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计算单元</w:t>
            </w:r>
          </w:p>
        </w:tc>
        <w:tc>
          <w:tcPr>
            <w:tcW w:w="992" w:type="dxa"/>
            <w:vAlign w:val="center"/>
          </w:tcPr>
          <w:p w:rsidR="00A32067" w:rsidRDefault="00A32067">
            <w:pPr>
              <w:widowControl/>
              <w:adjustRightInd w:val="0"/>
              <w:snapToGrid w:val="0"/>
              <w:spacing w:after="200"/>
              <w:jc w:val="center"/>
              <w:rPr>
                <w:kern w:val="0"/>
              </w:rPr>
            </w:pPr>
            <w:r>
              <w:rPr>
                <w:kern w:val="0"/>
              </w:rPr>
              <w:t>1000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适用于墙砌体</w:t>
            </w:r>
          </w:p>
        </w:tc>
      </w:tr>
      <w:tr w:rsidR="00A32067">
        <w:trPr>
          <w:gridAfter w:val="1"/>
          <w:wAfter w:w="6" w:type="dxa"/>
          <w:cantSplit/>
          <w:trHeight w:hRule="exact" w:val="787"/>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每根</w:t>
            </w:r>
          </w:p>
        </w:tc>
        <w:tc>
          <w:tcPr>
            <w:tcW w:w="992" w:type="dxa"/>
            <w:vAlign w:val="center"/>
          </w:tcPr>
          <w:p w:rsidR="00A32067" w:rsidRDefault="00A32067">
            <w:pPr>
              <w:widowControl/>
              <w:adjustRightInd w:val="0"/>
              <w:snapToGrid w:val="0"/>
              <w:spacing w:after="200"/>
              <w:jc w:val="center"/>
              <w:rPr>
                <w:kern w:val="0"/>
              </w:rPr>
            </w:pPr>
            <w:r>
              <w:rPr>
                <w:kern w:val="0"/>
              </w:rPr>
              <w:t>1500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适用于砼柱，牛腿柱增调附加费</w:t>
            </w:r>
            <w:r>
              <w:rPr>
                <w:kern w:val="0"/>
              </w:rPr>
              <w:t>20</w:t>
            </w:r>
            <w:r>
              <w:rPr>
                <w:rFonts w:cs="宋体" w:hint="eastAsia"/>
                <w:kern w:val="0"/>
              </w:rPr>
              <w:t>％</w:t>
            </w:r>
          </w:p>
        </w:tc>
      </w:tr>
      <w:tr w:rsidR="00A32067">
        <w:trPr>
          <w:gridAfter w:val="1"/>
          <w:wAfter w:w="6" w:type="dxa"/>
          <w:cantSplit/>
          <w:trHeight w:hRule="exact" w:val="575"/>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每榀</w:t>
            </w:r>
          </w:p>
        </w:tc>
        <w:tc>
          <w:tcPr>
            <w:tcW w:w="992" w:type="dxa"/>
            <w:vAlign w:val="center"/>
          </w:tcPr>
          <w:p w:rsidR="00A32067" w:rsidRDefault="00A32067">
            <w:pPr>
              <w:widowControl/>
              <w:adjustRightInd w:val="0"/>
              <w:snapToGrid w:val="0"/>
              <w:spacing w:after="200"/>
              <w:jc w:val="center"/>
              <w:rPr>
                <w:kern w:val="0"/>
              </w:rPr>
            </w:pPr>
            <w:r>
              <w:rPr>
                <w:kern w:val="0"/>
              </w:rPr>
              <w:t>3000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适用于砼框架</w:t>
            </w:r>
          </w:p>
        </w:tc>
      </w:tr>
      <w:tr w:rsidR="00A32067">
        <w:trPr>
          <w:gridAfter w:val="1"/>
          <w:wAfter w:w="6" w:type="dxa"/>
          <w:cantSplit/>
          <w:trHeight w:hRule="exact" w:val="580"/>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计算单元</w:t>
            </w:r>
          </w:p>
        </w:tc>
        <w:tc>
          <w:tcPr>
            <w:tcW w:w="992" w:type="dxa"/>
            <w:vAlign w:val="center"/>
          </w:tcPr>
          <w:p w:rsidR="00A32067" w:rsidRDefault="00A32067">
            <w:pPr>
              <w:widowControl/>
              <w:adjustRightInd w:val="0"/>
              <w:snapToGrid w:val="0"/>
              <w:spacing w:after="200"/>
              <w:jc w:val="center"/>
              <w:rPr>
                <w:kern w:val="0"/>
              </w:rPr>
            </w:pPr>
            <w:r>
              <w:rPr>
                <w:kern w:val="0"/>
              </w:rPr>
              <w:t>4000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适用于砼剪力墙</w:t>
            </w:r>
          </w:p>
        </w:tc>
      </w:tr>
      <w:tr w:rsidR="00A32067">
        <w:trPr>
          <w:gridAfter w:val="1"/>
          <w:wAfter w:w="6" w:type="dxa"/>
          <w:cantSplit/>
          <w:trHeight w:hRule="exact" w:val="579"/>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pPr>
              <w:widowControl/>
              <w:adjustRightInd w:val="0"/>
              <w:snapToGrid w:val="0"/>
              <w:spacing w:after="200"/>
              <w:jc w:val="left"/>
              <w:rPr>
                <w:kern w:val="0"/>
              </w:rPr>
            </w:pPr>
            <w:r>
              <w:rPr>
                <w:rFonts w:cs="宋体" w:hint="eastAsia"/>
                <w:kern w:val="0"/>
              </w:rPr>
              <w:t>计算单元</w:t>
            </w:r>
          </w:p>
        </w:tc>
        <w:tc>
          <w:tcPr>
            <w:tcW w:w="992" w:type="dxa"/>
            <w:vAlign w:val="center"/>
          </w:tcPr>
          <w:p w:rsidR="00A32067" w:rsidRDefault="00A32067">
            <w:pPr>
              <w:widowControl/>
              <w:adjustRightInd w:val="0"/>
              <w:snapToGrid w:val="0"/>
              <w:spacing w:after="200"/>
              <w:jc w:val="center"/>
              <w:rPr>
                <w:kern w:val="0"/>
              </w:rPr>
            </w:pPr>
            <w:r>
              <w:rPr>
                <w:kern w:val="0"/>
              </w:rPr>
              <w:t>1000</w:t>
            </w:r>
          </w:p>
        </w:tc>
        <w:tc>
          <w:tcPr>
            <w:tcW w:w="3880" w:type="dxa"/>
            <w:gridSpan w:val="2"/>
            <w:vAlign w:val="center"/>
          </w:tcPr>
          <w:p w:rsidR="00A32067" w:rsidRDefault="00A32067">
            <w:pPr>
              <w:widowControl/>
              <w:adjustRightInd w:val="0"/>
              <w:snapToGrid w:val="0"/>
              <w:spacing w:after="200"/>
              <w:jc w:val="left"/>
              <w:rPr>
                <w:kern w:val="0"/>
              </w:rPr>
            </w:pPr>
            <w:r>
              <w:rPr>
                <w:rFonts w:cs="宋体" w:hint="eastAsia"/>
                <w:kern w:val="0"/>
              </w:rPr>
              <w:t>适用于基础</w:t>
            </w:r>
          </w:p>
        </w:tc>
      </w:tr>
      <w:tr w:rsidR="00A32067">
        <w:trPr>
          <w:cantSplit/>
          <w:trHeight w:hRule="exact" w:val="623"/>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工程质量鉴定</w:t>
            </w:r>
          </w:p>
        </w:tc>
        <w:tc>
          <w:tcPr>
            <w:tcW w:w="1085" w:type="dxa"/>
            <w:vMerge w:val="restart"/>
            <w:vAlign w:val="center"/>
          </w:tcPr>
          <w:p w:rsidR="00A32067" w:rsidRDefault="00A32067">
            <w:pPr>
              <w:widowControl/>
              <w:adjustRightInd w:val="0"/>
              <w:snapToGrid w:val="0"/>
              <w:spacing w:after="200"/>
              <w:jc w:val="center"/>
              <w:rPr>
                <w:kern w:val="0"/>
              </w:rPr>
            </w:pPr>
            <w:r>
              <w:rPr>
                <w:kern w:val="0"/>
              </w:rPr>
              <w:t>P27</w:t>
            </w:r>
          </w:p>
        </w:tc>
        <w:tc>
          <w:tcPr>
            <w:tcW w:w="992" w:type="dxa"/>
            <w:vMerge w:val="restart"/>
            <w:vAlign w:val="center"/>
          </w:tcPr>
          <w:p w:rsidR="00A32067" w:rsidRDefault="00A32067">
            <w:pPr>
              <w:widowControl/>
              <w:adjustRightInd w:val="0"/>
              <w:snapToGrid w:val="0"/>
              <w:spacing w:after="200"/>
              <w:jc w:val="center"/>
              <w:rPr>
                <w:kern w:val="0"/>
              </w:rPr>
            </w:pPr>
            <w:r>
              <w:rPr>
                <w:rFonts w:cs="宋体" w:hint="eastAsia"/>
                <w:kern w:val="0"/>
              </w:rPr>
              <w:t>结构侧向位移</w:t>
            </w:r>
          </w:p>
        </w:tc>
        <w:tc>
          <w:tcPr>
            <w:tcW w:w="1134" w:type="dxa"/>
            <w:vAlign w:val="center"/>
          </w:tcPr>
          <w:p w:rsidR="00A32067" w:rsidRDefault="00A32067" w:rsidP="00A32067">
            <w:pPr>
              <w:widowControl/>
              <w:adjustRightInd w:val="0"/>
              <w:snapToGrid w:val="0"/>
              <w:spacing w:after="200"/>
              <w:ind w:leftChars="-45" w:left="31680" w:rightChars="-38" w:right="31680" w:firstLineChars="45" w:firstLine="31680"/>
              <w:jc w:val="center"/>
              <w:rPr>
                <w:kern w:val="0"/>
              </w:rPr>
            </w:pPr>
            <w:r>
              <w:rPr>
                <w:rFonts w:cs="宋体" w:hint="eastAsia"/>
                <w:kern w:val="0"/>
              </w:rPr>
              <w:t>轴</w:t>
            </w:r>
          </w:p>
        </w:tc>
        <w:tc>
          <w:tcPr>
            <w:tcW w:w="992" w:type="dxa"/>
            <w:vAlign w:val="center"/>
          </w:tcPr>
          <w:p w:rsidR="00A32067" w:rsidRDefault="00A32067">
            <w:pPr>
              <w:widowControl/>
              <w:adjustRightInd w:val="0"/>
              <w:snapToGrid w:val="0"/>
              <w:spacing w:after="200"/>
              <w:jc w:val="center"/>
              <w:rPr>
                <w:kern w:val="0"/>
              </w:rPr>
            </w:pPr>
            <w:r>
              <w:rPr>
                <w:kern w:val="0"/>
              </w:rPr>
              <w:t>200</w:t>
            </w: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适用于</w:t>
            </w:r>
            <w:r>
              <w:rPr>
                <w:kern w:val="0"/>
              </w:rPr>
              <w:t>≤2</w:t>
            </w:r>
            <w:r>
              <w:rPr>
                <w:rFonts w:cs="宋体" w:hint="eastAsia"/>
                <w:kern w:val="0"/>
              </w:rPr>
              <w:t>层、多层总高</w:t>
            </w:r>
          </w:p>
        </w:tc>
        <w:tc>
          <w:tcPr>
            <w:tcW w:w="2326" w:type="dxa"/>
            <w:gridSpan w:val="2"/>
            <w:vMerge w:val="restart"/>
            <w:vAlign w:val="center"/>
          </w:tcPr>
          <w:p w:rsidR="00A32067" w:rsidRDefault="00A32067">
            <w:pPr>
              <w:widowControl/>
              <w:adjustRightInd w:val="0"/>
              <w:snapToGrid w:val="0"/>
              <w:spacing w:after="200"/>
              <w:jc w:val="left"/>
              <w:rPr>
                <w:kern w:val="0"/>
              </w:rPr>
            </w:pPr>
            <w:r>
              <w:rPr>
                <w:rFonts w:cs="宋体" w:hint="eastAsia"/>
                <w:kern w:val="0"/>
              </w:rPr>
              <w:t>取费以被测的轴数计算；层间或总高系指每条测线，上下两点的位移偏差值</w:t>
            </w:r>
          </w:p>
        </w:tc>
      </w:tr>
      <w:tr w:rsidR="00A32067">
        <w:trPr>
          <w:cantSplit/>
          <w:trHeight w:hRule="exact" w:val="703"/>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rsidP="00A32067">
            <w:pPr>
              <w:widowControl/>
              <w:adjustRightInd w:val="0"/>
              <w:snapToGrid w:val="0"/>
              <w:spacing w:after="200"/>
              <w:ind w:leftChars="-45" w:left="31680" w:rightChars="-38" w:right="31680" w:firstLineChars="45" w:firstLine="31680"/>
              <w:jc w:val="center"/>
              <w:rPr>
                <w:kern w:val="0"/>
              </w:rPr>
            </w:pPr>
            <w:r>
              <w:rPr>
                <w:rFonts w:cs="宋体" w:hint="eastAsia"/>
                <w:kern w:val="0"/>
              </w:rPr>
              <w:t>层</w:t>
            </w:r>
            <w:r>
              <w:rPr>
                <w:kern w:val="0"/>
              </w:rPr>
              <w:t>/</w:t>
            </w:r>
            <w:r>
              <w:rPr>
                <w:rFonts w:cs="宋体" w:hint="eastAsia"/>
                <w:kern w:val="0"/>
              </w:rPr>
              <w:t>轴</w:t>
            </w:r>
          </w:p>
        </w:tc>
        <w:tc>
          <w:tcPr>
            <w:tcW w:w="992" w:type="dxa"/>
            <w:vAlign w:val="center"/>
          </w:tcPr>
          <w:p w:rsidR="00A32067" w:rsidRDefault="00A32067">
            <w:pPr>
              <w:widowControl/>
              <w:adjustRightInd w:val="0"/>
              <w:snapToGrid w:val="0"/>
              <w:spacing w:after="200"/>
              <w:jc w:val="center"/>
              <w:rPr>
                <w:kern w:val="0"/>
              </w:rPr>
            </w:pPr>
            <w:r>
              <w:rPr>
                <w:kern w:val="0"/>
              </w:rPr>
              <w:t>120</w:t>
            </w: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适用于</w:t>
            </w:r>
            <w:r>
              <w:rPr>
                <w:kern w:val="0"/>
              </w:rPr>
              <w:t>3</w:t>
            </w:r>
            <w:r>
              <w:rPr>
                <w:rFonts w:cs="宋体" w:hint="eastAsia"/>
                <w:kern w:val="0"/>
              </w:rPr>
              <w:t>～</w:t>
            </w:r>
            <w:r>
              <w:rPr>
                <w:kern w:val="0"/>
              </w:rPr>
              <w:t>8</w:t>
            </w:r>
            <w:r>
              <w:rPr>
                <w:rFonts w:cs="宋体" w:hint="eastAsia"/>
                <w:kern w:val="0"/>
              </w:rPr>
              <w:t>层</w:t>
            </w:r>
          </w:p>
        </w:tc>
        <w:tc>
          <w:tcPr>
            <w:tcW w:w="2326" w:type="dxa"/>
            <w:gridSpan w:val="2"/>
            <w:vMerge/>
            <w:vAlign w:val="center"/>
          </w:tcPr>
          <w:p w:rsidR="00A32067" w:rsidRDefault="00A32067">
            <w:pPr>
              <w:widowControl/>
              <w:adjustRightInd w:val="0"/>
              <w:snapToGrid w:val="0"/>
              <w:spacing w:after="200"/>
              <w:jc w:val="left"/>
              <w:rPr>
                <w:kern w:val="0"/>
              </w:rPr>
            </w:pPr>
          </w:p>
        </w:tc>
      </w:tr>
      <w:tr w:rsidR="00A32067">
        <w:trPr>
          <w:cantSplit/>
          <w:trHeight w:hRule="exact" w:val="646"/>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1134" w:type="dxa"/>
            <w:vAlign w:val="center"/>
          </w:tcPr>
          <w:p w:rsidR="00A32067" w:rsidRDefault="00A32067" w:rsidP="00A32067">
            <w:pPr>
              <w:widowControl/>
              <w:adjustRightInd w:val="0"/>
              <w:snapToGrid w:val="0"/>
              <w:spacing w:after="200"/>
              <w:ind w:leftChars="-45" w:left="31680" w:rightChars="-38" w:right="31680" w:firstLineChars="45" w:firstLine="31680"/>
              <w:jc w:val="center"/>
              <w:rPr>
                <w:kern w:val="0"/>
              </w:rPr>
            </w:pPr>
            <w:r>
              <w:rPr>
                <w:rFonts w:cs="宋体" w:hint="eastAsia"/>
                <w:kern w:val="0"/>
              </w:rPr>
              <w:t>层</w:t>
            </w:r>
            <w:r>
              <w:rPr>
                <w:kern w:val="0"/>
              </w:rPr>
              <w:t>/</w:t>
            </w:r>
            <w:r>
              <w:rPr>
                <w:rFonts w:cs="宋体" w:hint="eastAsia"/>
                <w:kern w:val="0"/>
              </w:rPr>
              <w:t>轴</w:t>
            </w:r>
          </w:p>
        </w:tc>
        <w:tc>
          <w:tcPr>
            <w:tcW w:w="992" w:type="dxa"/>
            <w:vAlign w:val="center"/>
          </w:tcPr>
          <w:p w:rsidR="00A32067" w:rsidRDefault="00A32067">
            <w:pPr>
              <w:widowControl/>
              <w:adjustRightInd w:val="0"/>
              <w:snapToGrid w:val="0"/>
              <w:spacing w:after="200"/>
              <w:jc w:val="center"/>
              <w:rPr>
                <w:kern w:val="0"/>
              </w:rPr>
            </w:pPr>
            <w:r>
              <w:rPr>
                <w:kern w:val="0"/>
              </w:rPr>
              <w:t>150</w:t>
            </w: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适用于</w:t>
            </w:r>
            <w:r>
              <w:rPr>
                <w:kern w:val="0"/>
              </w:rPr>
              <w:t>≥9</w:t>
            </w:r>
            <w:r>
              <w:rPr>
                <w:rFonts w:cs="宋体" w:hint="eastAsia"/>
                <w:kern w:val="0"/>
              </w:rPr>
              <w:t>层</w:t>
            </w:r>
          </w:p>
        </w:tc>
        <w:tc>
          <w:tcPr>
            <w:tcW w:w="2326" w:type="dxa"/>
            <w:gridSpan w:val="2"/>
            <w:vMerge/>
            <w:vAlign w:val="center"/>
          </w:tcPr>
          <w:p w:rsidR="00A32067" w:rsidRDefault="00A32067">
            <w:pPr>
              <w:widowControl/>
              <w:adjustRightInd w:val="0"/>
              <w:snapToGrid w:val="0"/>
              <w:spacing w:after="200"/>
              <w:jc w:val="left"/>
              <w:rPr>
                <w:kern w:val="0"/>
              </w:rPr>
            </w:pPr>
          </w:p>
        </w:tc>
      </w:tr>
      <w:tr w:rsidR="00A32067">
        <w:trPr>
          <w:cantSplit/>
          <w:trHeight w:hRule="exact" w:val="717"/>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建筑功能</w:t>
            </w:r>
          </w:p>
        </w:tc>
        <w:tc>
          <w:tcPr>
            <w:tcW w:w="1085" w:type="dxa"/>
            <w:vAlign w:val="center"/>
          </w:tcPr>
          <w:p w:rsidR="00A32067" w:rsidRDefault="00A32067">
            <w:pPr>
              <w:widowControl/>
              <w:adjustRightInd w:val="0"/>
              <w:snapToGrid w:val="0"/>
              <w:spacing w:after="200"/>
              <w:jc w:val="center"/>
              <w:rPr>
                <w:kern w:val="0"/>
              </w:rPr>
            </w:pPr>
            <w:r>
              <w:rPr>
                <w:kern w:val="0"/>
              </w:rPr>
              <w:t>P28</w:t>
            </w:r>
          </w:p>
        </w:tc>
        <w:tc>
          <w:tcPr>
            <w:tcW w:w="992" w:type="dxa"/>
            <w:vAlign w:val="center"/>
          </w:tcPr>
          <w:p w:rsidR="00A32067" w:rsidRDefault="00A32067" w:rsidP="00A32067">
            <w:pPr>
              <w:widowControl/>
              <w:adjustRightInd w:val="0"/>
              <w:snapToGrid w:val="0"/>
              <w:spacing w:after="200"/>
              <w:ind w:leftChars="-45" w:left="31680" w:rightChars="-57" w:right="31680" w:firstLineChars="45" w:firstLine="31680"/>
              <w:jc w:val="center"/>
              <w:rPr>
                <w:kern w:val="0"/>
              </w:rPr>
            </w:pPr>
            <w:r>
              <w:rPr>
                <w:rFonts w:cs="宋体" w:hint="eastAsia"/>
                <w:kern w:val="0"/>
              </w:rPr>
              <w:t>建筑平立面测绘</w:t>
            </w:r>
          </w:p>
        </w:tc>
        <w:tc>
          <w:tcPr>
            <w:tcW w:w="1134" w:type="dxa"/>
            <w:vAlign w:val="center"/>
          </w:tcPr>
          <w:p w:rsidR="00A32067" w:rsidRDefault="00A32067">
            <w:pPr>
              <w:widowControl/>
              <w:adjustRightInd w:val="0"/>
              <w:snapToGrid w:val="0"/>
              <w:spacing w:after="200"/>
              <w:jc w:val="center"/>
              <w:rPr>
                <w:kern w:val="0"/>
                <w:vertAlign w:val="superscript"/>
              </w:rPr>
            </w:pPr>
            <w:r>
              <w:rPr>
                <w:kern w:val="0"/>
              </w:rPr>
              <w:t>m</w:t>
            </w:r>
            <w:r>
              <w:rPr>
                <w:kern w:val="0"/>
                <w:vertAlign w:val="superscript"/>
              </w:rPr>
              <w:t>2</w:t>
            </w:r>
          </w:p>
        </w:tc>
        <w:tc>
          <w:tcPr>
            <w:tcW w:w="992" w:type="dxa"/>
            <w:vAlign w:val="center"/>
          </w:tcPr>
          <w:p w:rsidR="00A32067" w:rsidRDefault="00A32067">
            <w:pPr>
              <w:widowControl/>
              <w:adjustRightInd w:val="0"/>
              <w:snapToGrid w:val="0"/>
              <w:spacing w:after="200"/>
              <w:jc w:val="center"/>
              <w:rPr>
                <w:kern w:val="0"/>
              </w:rPr>
            </w:pPr>
            <w:r>
              <w:rPr>
                <w:kern w:val="0"/>
              </w:rPr>
              <w:t>2.0</w:t>
            </w:r>
          </w:p>
        </w:tc>
        <w:tc>
          <w:tcPr>
            <w:tcW w:w="3886" w:type="dxa"/>
            <w:gridSpan w:val="3"/>
            <w:vAlign w:val="center"/>
          </w:tcPr>
          <w:p w:rsidR="00A32067" w:rsidRDefault="00A32067">
            <w:pPr>
              <w:widowControl/>
              <w:adjustRightInd w:val="0"/>
              <w:snapToGrid w:val="0"/>
              <w:spacing w:after="200"/>
              <w:jc w:val="center"/>
              <w:rPr>
                <w:kern w:val="0"/>
              </w:rPr>
            </w:pPr>
            <w:r>
              <w:rPr>
                <w:rFonts w:cs="宋体" w:hint="eastAsia"/>
                <w:kern w:val="0"/>
              </w:rPr>
              <w:t>委托方配合</w:t>
            </w:r>
          </w:p>
        </w:tc>
      </w:tr>
      <w:tr w:rsidR="00A32067">
        <w:trPr>
          <w:cantSplit/>
          <w:trHeight w:val="603"/>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Align w:val="center"/>
          </w:tcPr>
          <w:p w:rsidR="00A32067" w:rsidRDefault="00A32067">
            <w:pPr>
              <w:widowControl/>
              <w:adjustRightInd w:val="0"/>
              <w:snapToGrid w:val="0"/>
              <w:spacing w:after="200"/>
              <w:jc w:val="center"/>
              <w:rPr>
                <w:kern w:val="0"/>
              </w:rPr>
            </w:pPr>
            <w:r>
              <w:rPr>
                <w:kern w:val="0"/>
              </w:rPr>
              <w:t>P29</w:t>
            </w:r>
          </w:p>
        </w:tc>
        <w:tc>
          <w:tcPr>
            <w:tcW w:w="992"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日照分析</w:t>
            </w:r>
          </w:p>
        </w:tc>
        <w:tc>
          <w:tcPr>
            <w:tcW w:w="1134" w:type="dxa"/>
            <w:vAlign w:val="center"/>
          </w:tcPr>
          <w:p w:rsidR="00A32067" w:rsidRDefault="00A32067">
            <w:pPr>
              <w:widowControl/>
              <w:adjustRightInd w:val="0"/>
              <w:snapToGrid w:val="0"/>
              <w:spacing w:after="200"/>
              <w:jc w:val="center"/>
              <w:rPr>
                <w:kern w:val="0"/>
              </w:rPr>
            </w:pPr>
            <w:r>
              <w:rPr>
                <w:rFonts w:cs="宋体" w:hint="eastAsia"/>
                <w:kern w:val="0"/>
              </w:rPr>
              <w:t>栋</w:t>
            </w:r>
          </w:p>
        </w:tc>
        <w:tc>
          <w:tcPr>
            <w:tcW w:w="992" w:type="dxa"/>
            <w:vAlign w:val="center"/>
          </w:tcPr>
          <w:p w:rsidR="00A32067" w:rsidRDefault="00A32067">
            <w:pPr>
              <w:widowControl/>
              <w:adjustRightInd w:val="0"/>
              <w:snapToGrid w:val="0"/>
              <w:spacing w:after="200"/>
              <w:jc w:val="center"/>
              <w:rPr>
                <w:kern w:val="0"/>
              </w:rPr>
            </w:pPr>
            <w:r>
              <w:rPr>
                <w:kern w:val="0"/>
              </w:rPr>
              <w:t>5000</w:t>
            </w:r>
          </w:p>
        </w:tc>
        <w:tc>
          <w:tcPr>
            <w:tcW w:w="3886" w:type="dxa"/>
            <w:gridSpan w:val="3"/>
            <w:vAlign w:val="center"/>
          </w:tcPr>
          <w:p w:rsidR="00A32067" w:rsidRDefault="00A32067">
            <w:pPr>
              <w:widowControl/>
              <w:adjustRightInd w:val="0"/>
              <w:snapToGrid w:val="0"/>
              <w:spacing w:after="200"/>
              <w:jc w:val="center"/>
              <w:rPr>
                <w:kern w:val="0"/>
              </w:rPr>
            </w:pPr>
            <w:r>
              <w:rPr>
                <w:rFonts w:cs="宋体" w:hint="eastAsia"/>
                <w:kern w:val="0"/>
              </w:rPr>
              <w:t>委托方协调现场工作</w:t>
            </w:r>
          </w:p>
        </w:tc>
      </w:tr>
      <w:tr w:rsidR="00A32067">
        <w:trPr>
          <w:cantSplit/>
          <w:trHeight w:val="826"/>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restart"/>
            <w:vAlign w:val="center"/>
          </w:tcPr>
          <w:p w:rsidR="00A32067" w:rsidRDefault="00A32067">
            <w:pPr>
              <w:widowControl/>
              <w:adjustRightInd w:val="0"/>
              <w:snapToGrid w:val="0"/>
              <w:spacing w:after="200"/>
              <w:jc w:val="center"/>
              <w:rPr>
                <w:kern w:val="0"/>
              </w:rPr>
            </w:pPr>
            <w:r>
              <w:rPr>
                <w:kern w:val="0"/>
              </w:rPr>
              <w:t>P30</w:t>
            </w:r>
          </w:p>
        </w:tc>
        <w:tc>
          <w:tcPr>
            <w:tcW w:w="992"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屋面防水检漏</w:t>
            </w:r>
          </w:p>
        </w:tc>
        <w:tc>
          <w:tcPr>
            <w:tcW w:w="1134" w:type="dxa"/>
            <w:vAlign w:val="center"/>
          </w:tcPr>
          <w:p w:rsidR="00A32067" w:rsidRDefault="00A32067">
            <w:pPr>
              <w:widowControl/>
              <w:adjustRightInd w:val="0"/>
              <w:snapToGrid w:val="0"/>
              <w:spacing w:after="200"/>
              <w:jc w:val="center"/>
              <w:rPr>
                <w:kern w:val="0"/>
                <w:vertAlign w:val="superscript"/>
              </w:rPr>
            </w:pPr>
            <w:r>
              <w:rPr>
                <w:rFonts w:cs="宋体" w:hint="eastAsia"/>
                <w:kern w:val="0"/>
              </w:rPr>
              <w:t>屋面</w:t>
            </w:r>
            <w:r>
              <w:rPr>
                <w:kern w:val="0"/>
              </w:rPr>
              <w:t>m</w:t>
            </w:r>
            <w:r>
              <w:rPr>
                <w:kern w:val="0"/>
                <w:vertAlign w:val="superscript"/>
              </w:rPr>
              <w:t>2</w:t>
            </w:r>
          </w:p>
        </w:tc>
        <w:tc>
          <w:tcPr>
            <w:tcW w:w="992" w:type="dxa"/>
            <w:vAlign w:val="center"/>
          </w:tcPr>
          <w:p w:rsidR="00A32067" w:rsidRDefault="00A32067">
            <w:pPr>
              <w:widowControl/>
              <w:adjustRightInd w:val="0"/>
              <w:snapToGrid w:val="0"/>
              <w:spacing w:after="200"/>
              <w:jc w:val="center"/>
              <w:rPr>
                <w:kern w:val="0"/>
              </w:rPr>
            </w:pPr>
            <w:r>
              <w:rPr>
                <w:kern w:val="0"/>
              </w:rPr>
              <w:t>10</w:t>
            </w:r>
          </w:p>
        </w:tc>
        <w:tc>
          <w:tcPr>
            <w:tcW w:w="3886" w:type="dxa"/>
            <w:gridSpan w:val="3"/>
            <w:vAlign w:val="center"/>
          </w:tcPr>
          <w:p w:rsidR="00A32067" w:rsidRDefault="00A32067">
            <w:pPr>
              <w:widowControl/>
              <w:adjustRightInd w:val="0"/>
              <w:snapToGrid w:val="0"/>
              <w:spacing w:after="200"/>
              <w:jc w:val="left"/>
              <w:rPr>
                <w:kern w:val="0"/>
              </w:rPr>
            </w:pPr>
          </w:p>
        </w:tc>
      </w:tr>
      <w:tr w:rsidR="00A32067">
        <w:trPr>
          <w:cantSplit/>
          <w:trHeight w:val="780"/>
          <w:jc w:val="center"/>
        </w:trPr>
        <w:tc>
          <w:tcPr>
            <w:tcW w:w="1008" w:type="dxa"/>
            <w:vMerge/>
            <w:vAlign w:val="center"/>
          </w:tcPr>
          <w:p w:rsidR="00A32067" w:rsidRDefault="00A32067">
            <w:pPr>
              <w:widowControl/>
              <w:adjustRightInd w:val="0"/>
              <w:snapToGrid w:val="0"/>
              <w:spacing w:after="200"/>
              <w:jc w:val="center"/>
              <w:rPr>
                <w:kern w:val="0"/>
              </w:rPr>
            </w:pPr>
          </w:p>
        </w:tc>
        <w:tc>
          <w:tcPr>
            <w:tcW w:w="1085" w:type="dxa"/>
            <w:vMerge/>
            <w:vAlign w:val="center"/>
          </w:tcPr>
          <w:p w:rsidR="00A32067" w:rsidRDefault="00A32067">
            <w:pPr>
              <w:widowControl/>
              <w:adjustRightInd w:val="0"/>
              <w:snapToGrid w:val="0"/>
              <w:spacing w:after="200"/>
              <w:jc w:val="center"/>
              <w:rPr>
                <w:kern w:val="0"/>
              </w:rPr>
            </w:pPr>
          </w:p>
        </w:tc>
        <w:tc>
          <w:tcPr>
            <w:tcW w:w="992"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屋面做法</w:t>
            </w:r>
          </w:p>
        </w:tc>
        <w:tc>
          <w:tcPr>
            <w:tcW w:w="1134" w:type="dxa"/>
            <w:vAlign w:val="center"/>
          </w:tcPr>
          <w:p w:rsidR="00A32067" w:rsidRDefault="00A32067">
            <w:pPr>
              <w:widowControl/>
              <w:adjustRightInd w:val="0"/>
              <w:snapToGrid w:val="0"/>
              <w:spacing w:after="200"/>
              <w:jc w:val="center"/>
              <w:rPr>
                <w:kern w:val="0"/>
              </w:rPr>
            </w:pPr>
            <w:r>
              <w:rPr>
                <w:rFonts w:cs="宋体" w:hint="eastAsia"/>
                <w:kern w:val="0"/>
              </w:rPr>
              <w:t>栋</w:t>
            </w:r>
          </w:p>
        </w:tc>
        <w:tc>
          <w:tcPr>
            <w:tcW w:w="992" w:type="dxa"/>
            <w:vAlign w:val="center"/>
          </w:tcPr>
          <w:p w:rsidR="00A32067" w:rsidRDefault="00A32067">
            <w:pPr>
              <w:widowControl/>
              <w:adjustRightInd w:val="0"/>
              <w:snapToGrid w:val="0"/>
              <w:spacing w:after="200"/>
              <w:jc w:val="center"/>
              <w:rPr>
                <w:kern w:val="0"/>
              </w:rPr>
            </w:pPr>
            <w:r>
              <w:rPr>
                <w:kern w:val="0"/>
              </w:rPr>
              <w:t>500</w:t>
            </w:r>
          </w:p>
        </w:tc>
        <w:tc>
          <w:tcPr>
            <w:tcW w:w="3886" w:type="dxa"/>
            <w:gridSpan w:val="3"/>
            <w:vAlign w:val="center"/>
          </w:tcPr>
          <w:p w:rsidR="00A32067" w:rsidRDefault="00A32067">
            <w:pPr>
              <w:widowControl/>
              <w:adjustRightInd w:val="0"/>
              <w:snapToGrid w:val="0"/>
              <w:spacing w:after="200"/>
              <w:jc w:val="left"/>
              <w:rPr>
                <w:kern w:val="0"/>
              </w:rPr>
            </w:pPr>
          </w:p>
        </w:tc>
      </w:tr>
    </w:tbl>
    <w:p w:rsidR="00A32067" w:rsidRDefault="00A32067" w:rsidP="00A32067">
      <w:pPr>
        <w:widowControl/>
        <w:adjustRightInd w:val="0"/>
        <w:snapToGrid w:val="0"/>
        <w:spacing w:after="200"/>
        <w:ind w:firstLineChars="100" w:firstLine="31680"/>
        <w:jc w:val="left"/>
        <w:rPr>
          <w:rFonts w:eastAsia="微软雅黑"/>
          <w:b/>
          <w:bCs/>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P31</w:t>
      </w:r>
      <w:r>
        <w:rPr>
          <w:rFonts w:ascii="Times New Roman" w:hAnsi="Times New Roman" w:hint="eastAsia"/>
          <w:b/>
          <w:bCs/>
          <w:kern w:val="2"/>
        </w:rPr>
        <w:t>～</w:t>
      </w:r>
      <w:r>
        <w:rPr>
          <w:rFonts w:ascii="Times New Roman" w:hAnsi="Times New Roman" w:cs="Times New Roman"/>
          <w:b/>
          <w:bCs/>
          <w:kern w:val="2"/>
        </w:rPr>
        <w:t>P42</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865"/>
        <w:gridCol w:w="1701"/>
        <w:gridCol w:w="836"/>
        <w:gridCol w:w="851"/>
        <w:gridCol w:w="1878"/>
        <w:gridCol w:w="315"/>
        <w:gridCol w:w="2059"/>
      </w:tblGrid>
      <w:tr w:rsidR="00A32067">
        <w:trPr>
          <w:cantSplit/>
          <w:trHeight w:val="1240"/>
          <w:jc w:val="center"/>
        </w:trPr>
        <w:tc>
          <w:tcPr>
            <w:tcW w:w="993" w:type="dxa"/>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865" w:type="dxa"/>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701" w:type="dxa"/>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51" w:type="dxa"/>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hRule="exact" w:val="565"/>
          <w:jc w:val="center"/>
        </w:trPr>
        <w:tc>
          <w:tcPr>
            <w:tcW w:w="993" w:type="dxa"/>
            <w:vMerge w:val="restart"/>
            <w:vAlign w:val="center"/>
          </w:tcPr>
          <w:p w:rsidR="00A32067" w:rsidRDefault="00A32067">
            <w:pPr>
              <w:widowControl/>
              <w:adjustRightInd w:val="0"/>
              <w:snapToGrid w:val="0"/>
              <w:spacing w:after="200"/>
              <w:jc w:val="center"/>
              <w:rPr>
                <w:kern w:val="0"/>
              </w:rPr>
            </w:pPr>
            <w:r>
              <w:rPr>
                <w:rFonts w:cs="宋体" w:hint="eastAsia"/>
                <w:kern w:val="0"/>
              </w:rPr>
              <w:t>建筑功能</w:t>
            </w:r>
          </w:p>
        </w:tc>
        <w:tc>
          <w:tcPr>
            <w:tcW w:w="865" w:type="dxa"/>
            <w:vMerge w:val="restart"/>
            <w:vAlign w:val="center"/>
          </w:tcPr>
          <w:p w:rsidR="00A32067" w:rsidRDefault="00A32067">
            <w:pPr>
              <w:widowControl/>
              <w:adjustRightInd w:val="0"/>
              <w:snapToGrid w:val="0"/>
              <w:spacing w:after="200"/>
              <w:jc w:val="center"/>
              <w:rPr>
                <w:kern w:val="0"/>
              </w:rPr>
            </w:pPr>
            <w:r>
              <w:rPr>
                <w:kern w:val="0"/>
              </w:rPr>
              <w:t>P31</w:t>
            </w:r>
          </w:p>
        </w:tc>
        <w:tc>
          <w:tcPr>
            <w:tcW w:w="1701" w:type="dxa"/>
            <w:vMerge w:val="restart"/>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外装修</w:t>
            </w:r>
          </w:p>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检测</w:t>
            </w:r>
          </w:p>
        </w:tc>
        <w:tc>
          <w:tcPr>
            <w:tcW w:w="836" w:type="dxa"/>
            <w:vMerge w:val="restart"/>
            <w:vAlign w:val="center"/>
          </w:tcPr>
          <w:p w:rsidR="00A32067" w:rsidRDefault="00A32067">
            <w:pPr>
              <w:widowControl/>
              <w:adjustRightInd w:val="0"/>
              <w:snapToGrid w:val="0"/>
              <w:spacing w:after="200"/>
              <w:jc w:val="center"/>
              <w:rPr>
                <w:kern w:val="0"/>
                <w:vertAlign w:val="superscript"/>
              </w:rPr>
            </w:pPr>
            <w:r>
              <w:rPr>
                <w:kern w:val="0"/>
              </w:rPr>
              <w:t>m</w:t>
            </w:r>
            <w:r>
              <w:rPr>
                <w:kern w:val="0"/>
                <w:vertAlign w:val="superscript"/>
              </w:rPr>
              <w:t>2</w:t>
            </w:r>
          </w:p>
        </w:tc>
        <w:tc>
          <w:tcPr>
            <w:tcW w:w="851" w:type="dxa"/>
            <w:vAlign w:val="center"/>
          </w:tcPr>
          <w:p w:rsidR="00A32067" w:rsidRDefault="00A32067">
            <w:pPr>
              <w:widowControl/>
              <w:adjustRightInd w:val="0"/>
              <w:snapToGrid w:val="0"/>
              <w:spacing w:after="200"/>
              <w:jc w:val="center"/>
              <w:rPr>
                <w:kern w:val="0"/>
              </w:rPr>
            </w:pPr>
            <w:r>
              <w:rPr>
                <w:kern w:val="0"/>
              </w:rPr>
              <w:t>3</w:t>
            </w:r>
          </w:p>
        </w:tc>
        <w:tc>
          <w:tcPr>
            <w:tcW w:w="2193" w:type="dxa"/>
            <w:gridSpan w:val="2"/>
            <w:vAlign w:val="center"/>
          </w:tcPr>
          <w:p w:rsidR="00A32067" w:rsidRDefault="00A32067">
            <w:pPr>
              <w:widowControl/>
              <w:adjustRightInd w:val="0"/>
              <w:snapToGrid w:val="0"/>
              <w:spacing w:after="200"/>
              <w:jc w:val="center"/>
              <w:rPr>
                <w:kern w:val="0"/>
              </w:rPr>
            </w:pPr>
            <w:r>
              <w:rPr>
                <w:rFonts w:cs="宋体" w:hint="eastAsia"/>
                <w:kern w:val="0"/>
              </w:rPr>
              <w:t>适用于高度</w:t>
            </w:r>
            <w:r>
              <w:rPr>
                <w:kern w:val="0"/>
              </w:rPr>
              <w:t>H&lt;3m</w:t>
            </w:r>
          </w:p>
        </w:tc>
        <w:tc>
          <w:tcPr>
            <w:tcW w:w="2059" w:type="dxa"/>
            <w:vMerge w:val="restart"/>
            <w:vAlign w:val="center"/>
          </w:tcPr>
          <w:p w:rsidR="00A32067" w:rsidRDefault="00A32067">
            <w:pPr>
              <w:widowControl/>
              <w:adjustRightInd w:val="0"/>
              <w:snapToGrid w:val="0"/>
              <w:spacing w:after="200"/>
              <w:jc w:val="center"/>
              <w:rPr>
                <w:kern w:val="0"/>
              </w:rPr>
            </w:pPr>
            <w:r>
              <w:rPr>
                <w:rFonts w:cs="宋体" w:hint="eastAsia"/>
                <w:kern w:val="0"/>
              </w:rPr>
              <w:t>不含恢复工作</w:t>
            </w:r>
          </w:p>
        </w:tc>
      </w:tr>
      <w:tr w:rsidR="00A32067">
        <w:trPr>
          <w:cantSplit/>
          <w:trHeight w:hRule="exact" w:val="529"/>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p>
        </w:tc>
        <w:tc>
          <w:tcPr>
            <w:tcW w:w="836" w:type="dxa"/>
            <w:vMerge/>
            <w:vAlign w:val="center"/>
          </w:tcPr>
          <w:p w:rsidR="00A32067" w:rsidRDefault="00A32067">
            <w:pPr>
              <w:widowControl/>
              <w:adjustRightInd w:val="0"/>
              <w:snapToGrid w:val="0"/>
              <w:spacing w:after="20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4</w:t>
            </w:r>
          </w:p>
        </w:tc>
        <w:tc>
          <w:tcPr>
            <w:tcW w:w="2193" w:type="dxa"/>
            <w:gridSpan w:val="2"/>
            <w:vAlign w:val="center"/>
          </w:tcPr>
          <w:p w:rsidR="00A32067" w:rsidRDefault="00A32067" w:rsidP="00A32067">
            <w:pPr>
              <w:widowControl/>
              <w:adjustRightInd w:val="0"/>
              <w:snapToGrid w:val="0"/>
              <w:spacing w:after="200"/>
              <w:ind w:leftChars="-64" w:left="31680" w:rightChars="-51" w:right="31680" w:hangingChars="64" w:firstLine="31680"/>
              <w:jc w:val="center"/>
              <w:rPr>
                <w:kern w:val="0"/>
              </w:rPr>
            </w:pPr>
            <w:r>
              <w:rPr>
                <w:rFonts w:cs="宋体" w:hint="eastAsia"/>
                <w:kern w:val="0"/>
              </w:rPr>
              <w:t>适用于</w:t>
            </w:r>
            <w:r>
              <w:rPr>
                <w:kern w:val="0"/>
              </w:rPr>
              <w:t>3.0m&lt; H&lt;9m</w:t>
            </w:r>
          </w:p>
        </w:tc>
        <w:tc>
          <w:tcPr>
            <w:tcW w:w="2059" w:type="dxa"/>
            <w:vMerge/>
            <w:vAlign w:val="center"/>
          </w:tcPr>
          <w:p w:rsidR="00A32067" w:rsidRDefault="00A32067">
            <w:pPr>
              <w:widowControl/>
              <w:adjustRightInd w:val="0"/>
              <w:snapToGrid w:val="0"/>
              <w:spacing w:after="200"/>
              <w:jc w:val="center"/>
              <w:rPr>
                <w:kern w:val="0"/>
              </w:rPr>
            </w:pPr>
          </w:p>
        </w:tc>
      </w:tr>
      <w:tr w:rsidR="00A32067">
        <w:trPr>
          <w:cantSplit/>
          <w:trHeight w:hRule="exact" w:val="506"/>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p>
        </w:tc>
        <w:tc>
          <w:tcPr>
            <w:tcW w:w="836" w:type="dxa"/>
            <w:vMerge/>
            <w:vAlign w:val="center"/>
          </w:tcPr>
          <w:p w:rsidR="00A32067" w:rsidRDefault="00A32067">
            <w:pPr>
              <w:widowControl/>
              <w:adjustRightInd w:val="0"/>
              <w:snapToGrid w:val="0"/>
              <w:spacing w:after="20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5</w:t>
            </w:r>
          </w:p>
        </w:tc>
        <w:tc>
          <w:tcPr>
            <w:tcW w:w="2193" w:type="dxa"/>
            <w:gridSpan w:val="2"/>
            <w:vAlign w:val="center"/>
          </w:tcPr>
          <w:p w:rsidR="00A32067" w:rsidRDefault="00A32067">
            <w:pPr>
              <w:widowControl/>
              <w:adjustRightInd w:val="0"/>
              <w:snapToGrid w:val="0"/>
              <w:spacing w:after="200"/>
              <w:jc w:val="center"/>
              <w:rPr>
                <w:kern w:val="0"/>
              </w:rPr>
            </w:pPr>
            <w:r>
              <w:rPr>
                <w:rFonts w:cs="宋体" w:hint="eastAsia"/>
                <w:kern w:val="0"/>
              </w:rPr>
              <w:t>适用于</w:t>
            </w:r>
            <w:r>
              <w:rPr>
                <w:kern w:val="0"/>
              </w:rPr>
              <w:t>H&gt;9.0m</w:t>
            </w:r>
          </w:p>
        </w:tc>
        <w:tc>
          <w:tcPr>
            <w:tcW w:w="2059" w:type="dxa"/>
            <w:vMerge/>
            <w:vAlign w:val="center"/>
          </w:tcPr>
          <w:p w:rsidR="00A32067" w:rsidRDefault="00A32067">
            <w:pPr>
              <w:widowControl/>
              <w:adjustRightInd w:val="0"/>
              <w:snapToGrid w:val="0"/>
              <w:spacing w:after="200"/>
              <w:jc w:val="center"/>
              <w:rPr>
                <w:kern w:val="0"/>
              </w:rPr>
            </w:pPr>
          </w:p>
        </w:tc>
      </w:tr>
      <w:tr w:rsidR="00A32067">
        <w:trPr>
          <w:cantSplit/>
          <w:trHeight w:hRule="exact" w:val="786"/>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P32</w:t>
            </w:r>
          </w:p>
        </w:tc>
        <w:tc>
          <w:tcPr>
            <w:tcW w:w="1701" w:type="dxa"/>
            <w:vAlign w:val="center"/>
          </w:tcPr>
          <w:p w:rsidR="00A32067" w:rsidRDefault="00A32067" w:rsidP="00A32067">
            <w:pPr>
              <w:widowControl/>
              <w:adjustRightInd w:val="0"/>
              <w:snapToGrid w:val="0"/>
              <w:spacing w:after="200"/>
              <w:ind w:leftChars="-46" w:left="31680" w:rightChars="-57" w:right="31680"/>
              <w:jc w:val="center"/>
              <w:rPr>
                <w:kern w:val="0"/>
              </w:rPr>
            </w:pPr>
            <w:r>
              <w:rPr>
                <w:rFonts w:cs="宋体" w:hint="eastAsia"/>
                <w:kern w:val="0"/>
              </w:rPr>
              <w:t>饰面砖粘接强度</w:t>
            </w:r>
          </w:p>
        </w:tc>
        <w:tc>
          <w:tcPr>
            <w:tcW w:w="836" w:type="dxa"/>
            <w:vAlign w:val="center"/>
          </w:tcPr>
          <w:p w:rsidR="00A32067" w:rsidRDefault="00A32067">
            <w:pPr>
              <w:widowControl/>
              <w:adjustRightInd w:val="0"/>
              <w:snapToGrid w:val="0"/>
              <w:spacing w:after="200"/>
              <w:jc w:val="center"/>
              <w:rPr>
                <w:kern w:val="0"/>
              </w:rPr>
            </w:pPr>
            <w:r>
              <w:rPr>
                <w:kern w:val="0"/>
              </w:rPr>
              <w:t>3</w:t>
            </w:r>
            <w:r>
              <w:rPr>
                <w:rFonts w:cs="宋体" w:hint="eastAsia"/>
                <w:kern w:val="0"/>
              </w:rPr>
              <w:t>个</w:t>
            </w:r>
            <w:r>
              <w:rPr>
                <w:kern w:val="0"/>
              </w:rPr>
              <w:t>/</w:t>
            </w:r>
            <w:r>
              <w:rPr>
                <w:rFonts w:cs="宋体" w:hint="eastAsia"/>
                <w:kern w:val="0"/>
              </w:rPr>
              <w:t>组</w:t>
            </w:r>
          </w:p>
        </w:tc>
        <w:tc>
          <w:tcPr>
            <w:tcW w:w="851" w:type="dxa"/>
            <w:vAlign w:val="center"/>
          </w:tcPr>
          <w:p w:rsidR="00A32067" w:rsidRDefault="00A32067">
            <w:pPr>
              <w:widowControl/>
              <w:adjustRightInd w:val="0"/>
              <w:snapToGrid w:val="0"/>
              <w:spacing w:after="200"/>
              <w:jc w:val="center"/>
              <w:rPr>
                <w:kern w:val="0"/>
              </w:rPr>
            </w:pPr>
            <w:r>
              <w:rPr>
                <w:kern w:val="0"/>
              </w:rPr>
              <w:t>1600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修复由委托方负责</w:t>
            </w:r>
          </w:p>
        </w:tc>
      </w:tr>
      <w:tr w:rsidR="00A32067">
        <w:trPr>
          <w:cantSplit/>
          <w:trHeight w:hRule="exact" w:val="698"/>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P33</w:t>
            </w:r>
          </w:p>
        </w:tc>
        <w:tc>
          <w:tcPr>
            <w:tcW w:w="1701" w:type="dxa"/>
            <w:vAlign w:val="center"/>
          </w:tcPr>
          <w:p w:rsidR="00A32067" w:rsidRDefault="00A32067" w:rsidP="00A32067">
            <w:pPr>
              <w:widowControl/>
              <w:adjustRightInd w:val="0"/>
              <w:snapToGrid w:val="0"/>
              <w:spacing w:after="200"/>
              <w:ind w:leftChars="-46" w:left="31680" w:rightChars="-57" w:right="31680"/>
              <w:jc w:val="center"/>
              <w:rPr>
                <w:kern w:val="0"/>
              </w:rPr>
            </w:pPr>
            <w:r>
              <w:rPr>
                <w:rFonts w:cs="宋体" w:hint="eastAsia"/>
                <w:kern w:val="0"/>
              </w:rPr>
              <w:t>埋装螺栓抗拔力</w:t>
            </w:r>
          </w:p>
        </w:tc>
        <w:tc>
          <w:tcPr>
            <w:tcW w:w="836" w:type="dxa"/>
            <w:vAlign w:val="center"/>
          </w:tcPr>
          <w:p w:rsidR="00A32067" w:rsidRDefault="00A32067">
            <w:pPr>
              <w:widowControl/>
              <w:adjustRightInd w:val="0"/>
              <w:snapToGrid w:val="0"/>
              <w:spacing w:after="200"/>
              <w:jc w:val="center"/>
              <w:rPr>
                <w:kern w:val="0"/>
              </w:rPr>
            </w:pPr>
            <w:r>
              <w:rPr>
                <w:kern w:val="0"/>
              </w:rPr>
              <w:t>3</w:t>
            </w:r>
            <w:r>
              <w:rPr>
                <w:rFonts w:cs="宋体" w:hint="eastAsia"/>
                <w:kern w:val="0"/>
              </w:rPr>
              <w:t>个</w:t>
            </w:r>
            <w:r>
              <w:rPr>
                <w:kern w:val="0"/>
              </w:rPr>
              <w:t>/</w:t>
            </w:r>
            <w:r>
              <w:rPr>
                <w:rFonts w:cs="宋体" w:hint="eastAsia"/>
                <w:kern w:val="0"/>
              </w:rPr>
              <w:t>组</w:t>
            </w:r>
          </w:p>
        </w:tc>
        <w:tc>
          <w:tcPr>
            <w:tcW w:w="851" w:type="dxa"/>
            <w:vAlign w:val="center"/>
          </w:tcPr>
          <w:p w:rsidR="00A32067" w:rsidRDefault="00A32067">
            <w:pPr>
              <w:widowControl/>
              <w:adjustRightInd w:val="0"/>
              <w:snapToGrid w:val="0"/>
              <w:spacing w:after="200"/>
              <w:jc w:val="center"/>
              <w:rPr>
                <w:kern w:val="0"/>
              </w:rPr>
            </w:pPr>
            <w:r>
              <w:rPr>
                <w:kern w:val="0"/>
              </w:rPr>
              <w:t>1000</w:t>
            </w:r>
          </w:p>
        </w:tc>
        <w:tc>
          <w:tcPr>
            <w:tcW w:w="4252" w:type="dxa"/>
            <w:gridSpan w:val="3"/>
            <w:vAlign w:val="center"/>
          </w:tcPr>
          <w:p w:rsidR="00A32067" w:rsidRDefault="00A32067">
            <w:pPr>
              <w:widowControl/>
              <w:adjustRightInd w:val="0"/>
              <w:snapToGrid w:val="0"/>
              <w:spacing w:after="200"/>
              <w:jc w:val="left"/>
              <w:rPr>
                <w:kern w:val="0"/>
              </w:rPr>
            </w:pPr>
            <w:r>
              <w:rPr>
                <w:rFonts w:cs="宋体" w:hint="eastAsia"/>
                <w:kern w:val="0"/>
              </w:rPr>
              <w:t>埋装由委托方负责，拔出终止条件合同约定</w:t>
            </w:r>
          </w:p>
        </w:tc>
      </w:tr>
      <w:tr w:rsidR="00A32067">
        <w:trPr>
          <w:cantSplit/>
          <w:trHeight w:hRule="exact" w:val="821"/>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P34</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高级装修</w:t>
            </w:r>
          </w:p>
        </w:tc>
        <w:tc>
          <w:tcPr>
            <w:tcW w:w="836" w:type="dxa"/>
            <w:vAlign w:val="center"/>
          </w:tcPr>
          <w:p w:rsidR="00A32067" w:rsidRDefault="00A32067" w:rsidP="00A32067">
            <w:pPr>
              <w:widowControl/>
              <w:adjustRightInd w:val="0"/>
              <w:snapToGrid w:val="0"/>
              <w:spacing w:after="200"/>
              <w:ind w:leftChars="-46" w:left="31680" w:rightChars="-51" w:right="31680" w:firstLine="1"/>
              <w:jc w:val="center"/>
              <w:rPr>
                <w:kern w:val="0"/>
              </w:rPr>
            </w:pPr>
            <w:r>
              <w:rPr>
                <w:rFonts w:cs="宋体" w:hint="eastAsia"/>
                <w:kern w:val="0"/>
              </w:rPr>
              <w:t>工程造价每百元</w:t>
            </w:r>
          </w:p>
        </w:tc>
        <w:tc>
          <w:tcPr>
            <w:tcW w:w="851" w:type="dxa"/>
            <w:vAlign w:val="center"/>
          </w:tcPr>
          <w:p w:rsidR="00A32067" w:rsidRDefault="00A32067">
            <w:pPr>
              <w:widowControl/>
              <w:adjustRightInd w:val="0"/>
              <w:snapToGrid w:val="0"/>
              <w:spacing w:after="200"/>
              <w:jc w:val="center"/>
              <w:rPr>
                <w:kern w:val="0"/>
              </w:rPr>
            </w:pPr>
            <w:r>
              <w:rPr>
                <w:kern w:val="0"/>
              </w:rPr>
              <w:t>3~5</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造价高时取下限</w:t>
            </w:r>
          </w:p>
        </w:tc>
      </w:tr>
      <w:tr w:rsidR="00A32067">
        <w:trPr>
          <w:cantSplit/>
          <w:trHeight w:hRule="exact" w:val="694"/>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P35</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建筑物振动测试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每测点</w:t>
            </w:r>
          </w:p>
          <w:p w:rsidR="00A32067" w:rsidRDefault="00A32067">
            <w:pPr>
              <w:widowControl/>
              <w:adjustRightInd w:val="0"/>
              <w:snapToGrid w:val="0"/>
              <w:spacing w:after="200"/>
              <w:jc w:val="center"/>
              <w:rPr>
                <w:kern w:val="0"/>
              </w:rPr>
            </w:pPr>
            <w:r>
              <w:rPr>
                <w:rFonts w:cs="宋体" w:hint="eastAsia"/>
                <w:kern w:val="0"/>
              </w:rPr>
              <w:t>每方向</w:t>
            </w:r>
          </w:p>
        </w:tc>
        <w:tc>
          <w:tcPr>
            <w:tcW w:w="851" w:type="dxa"/>
            <w:vAlign w:val="center"/>
          </w:tcPr>
          <w:p w:rsidR="00A32067" w:rsidRDefault="00A32067">
            <w:pPr>
              <w:widowControl/>
              <w:adjustRightInd w:val="0"/>
              <w:snapToGrid w:val="0"/>
              <w:spacing w:after="200"/>
              <w:jc w:val="center"/>
              <w:rPr>
                <w:kern w:val="0"/>
              </w:rPr>
            </w:pPr>
            <w:r>
              <w:rPr>
                <w:kern w:val="0"/>
              </w:rPr>
              <w:t>2000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每栋建筑物测试要求，合同约定</w:t>
            </w:r>
          </w:p>
        </w:tc>
      </w:tr>
      <w:tr w:rsidR="00A32067">
        <w:trPr>
          <w:cantSplit/>
          <w:trHeight w:hRule="exact" w:val="1032"/>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P36</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荷载调查</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每种荷载组合</w:t>
            </w:r>
          </w:p>
        </w:tc>
        <w:tc>
          <w:tcPr>
            <w:tcW w:w="851" w:type="dxa"/>
            <w:vAlign w:val="center"/>
          </w:tcPr>
          <w:p w:rsidR="00A32067" w:rsidRDefault="00A32067">
            <w:pPr>
              <w:widowControl/>
              <w:adjustRightInd w:val="0"/>
              <w:snapToGrid w:val="0"/>
              <w:spacing w:after="200"/>
              <w:jc w:val="center"/>
              <w:rPr>
                <w:kern w:val="0"/>
              </w:rPr>
            </w:pPr>
            <w:r>
              <w:rPr>
                <w:kern w:val="0"/>
              </w:rPr>
              <w:t>800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含破损检查</w:t>
            </w:r>
          </w:p>
        </w:tc>
      </w:tr>
      <w:tr w:rsidR="00A32067">
        <w:trPr>
          <w:cantSplit/>
          <w:trHeight w:hRule="exact" w:val="536"/>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P37</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建筑物抗震验算</w:t>
            </w:r>
          </w:p>
        </w:tc>
        <w:tc>
          <w:tcPr>
            <w:tcW w:w="836" w:type="dxa"/>
            <w:vAlign w:val="center"/>
          </w:tcPr>
          <w:p w:rsidR="00A32067" w:rsidRDefault="00A32067">
            <w:pPr>
              <w:widowControl/>
              <w:adjustRightInd w:val="0"/>
              <w:snapToGrid w:val="0"/>
              <w:spacing w:after="200"/>
              <w:jc w:val="center"/>
              <w:rPr>
                <w:kern w:val="0"/>
                <w:vertAlign w:val="superscript"/>
              </w:rPr>
            </w:pPr>
            <w:r>
              <w:rPr>
                <w:kern w:val="0"/>
              </w:rPr>
              <w:t>m</w:t>
            </w:r>
            <w:r>
              <w:rPr>
                <w:kern w:val="0"/>
                <w:vertAlign w:val="superscript"/>
              </w:rPr>
              <w:t>2</w:t>
            </w:r>
          </w:p>
        </w:tc>
        <w:tc>
          <w:tcPr>
            <w:tcW w:w="851" w:type="dxa"/>
            <w:vAlign w:val="center"/>
          </w:tcPr>
          <w:p w:rsidR="00A32067" w:rsidRDefault="00A32067">
            <w:pPr>
              <w:widowControl/>
              <w:adjustRightInd w:val="0"/>
              <w:snapToGrid w:val="0"/>
              <w:spacing w:after="200"/>
              <w:jc w:val="center"/>
              <w:rPr>
                <w:kern w:val="0"/>
              </w:rPr>
            </w:pPr>
            <w:r>
              <w:rPr>
                <w:kern w:val="0"/>
              </w:rPr>
              <w:t>1.5</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依据检测评定报告</w:t>
            </w:r>
          </w:p>
        </w:tc>
      </w:tr>
      <w:tr w:rsidR="00A32067">
        <w:trPr>
          <w:cantSplit/>
          <w:trHeight w:val="709"/>
          <w:jc w:val="center"/>
        </w:trPr>
        <w:tc>
          <w:tcPr>
            <w:tcW w:w="993" w:type="dxa"/>
            <w:vMerge w:val="restart"/>
            <w:vAlign w:val="center"/>
          </w:tcPr>
          <w:p w:rsidR="00A32067" w:rsidRDefault="00A32067">
            <w:pPr>
              <w:widowControl/>
              <w:adjustRightInd w:val="0"/>
              <w:snapToGrid w:val="0"/>
              <w:spacing w:after="200"/>
              <w:jc w:val="center"/>
              <w:rPr>
                <w:kern w:val="0"/>
              </w:rPr>
            </w:pPr>
            <w:r>
              <w:rPr>
                <w:rFonts w:cs="宋体" w:hint="eastAsia"/>
                <w:kern w:val="0"/>
              </w:rPr>
              <w:t>专家咨询</w:t>
            </w:r>
          </w:p>
        </w:tc>
        <w:tc>
          <w:tcPr>
            <w:tcW w:w="865" w:type="dxa"/>
            <w:vMerge w:val="restart"/>
            <w:vAlign w:val="center"/>
          </w:tcPr>
          <w:p w:rsidR="00A32067" w:rsidRDefault="00A32067">
            <w:pPr>
              <w:widowControl/>
              <w:adjustRightInd w:val="0"/>
              <w:snapToGrid w:val="0"/>
              <w:spacing w:after="200"/>
              <w:jc w:val="center"/>
              <w:rPr>
                <w:kern w:val="0"/>
              </w:rPr>
            </w:pPr>
            <w:r>
              <w:rPr>
                <w:kern w:val="0"/>
              </w:rPr>
              <w:t>P38</w:t>
            </w:r>
          </w:p>
        </w:tc>
        <w:tc>
          <w:tcPr>
            <w:tcW w:w="1701" w:type="dxa"/>
            <w:vMerge w:val="restart"/>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各类鉴定</w:t>
            </w:r>
          </w:p>
        </w:tc>
        <w:tc>
          <w:tcPr>
            <w:tcW w:w="836" w:type="dxa"/>
            <w:vMerge w:val="restart"/>
            <w:vAlign w:val="center"/>
          </w:tcPr>
          <w:p w:rsidR="00A32067" w:rsidRDefault="00A32067">
            <w:pPr>
              <w:widowControl/>
              <w:adjustRightInd w:val="0"/>
              <w:snapToGrid w:val="0"/>
              <w:spacing w:after="200"/>
              <w:jc w:val="center"/>
              <w:rPr>
                <w:kern w:val="0"/>
              </w:rPr>
            </w:pPr>
            <w:r>
              <w:rPr>
                <w:rFonts w:cs="宋体" w:hint="eastAsia"/>
                <w:kern w:val="0"/>
              </w:rPr>
              <w:t>工作日</w:t>
            </w:r>
          </w:p>
        </w:tc>
        <w:tc>
          <w:tcPr>
            <w:tcW w:w="851" w:type="dxa"/>
            <w:vAlign w:val="center"/>
          </w:tcPr>
          <w:p w:rsidR="00A32067" w:rsidRDefault="00A32067">
            <w:pPr>
              <w:widowControl/>
              <w:adjustRightInd w:val="0"/>
              <w:snapToGrid w:val="0"/>
              <w:spacing w:after="200"/>
              <w:jc w:val="center"/>
              <w:rPr>
                <w:kern w:val="0"/>
              </w:rPr>
            </w:pPr>
            <w:r>
              <w:rPr>
                <w:kern w:val="0"/>
              </w:rPr>
              <w:t>600</w:t>
            </w:r>
          </w:p>
        </w:tc>
        <w:tc>
          <w:tcPr>
            <w:tcW w:w="1878" w:type="dxa"/>
            <w:vAlign w:val="center"/>
          </w:tcPr>
          <w:p w:rsidR="00A32067" w:rsidRDefault="00A32067">
            <w:pPr>
              <w:widowControl/>
              <w:adjustRightInd w:val="0"/>
              <w:snapToGrid w:val="0"/>
              <w:spacing w:after="200"/>
              <w:jc w:val="center"/>
              <w:rPr>
                <w:kern w:val="0"/>
              </w:rPr>
            </w:pPr>
            <w:r>
              <w:rPr>
                <w:rFonts w:cs="宋体" w:hint="eastAsia"/>
                <w:kern w:val="0"/>
              </w:rPr>
              <w:t>适用于高级工程师</w:t>
            </w:r>
          </w:p>
        </w:tc>
        <w:tc>
          <w:tcPr>
            <w:tcW w:w="2374" w:type="dxa"/>
            <w:gridSpan w:val="2"/>
            <w:vMerge w:val="restart"/>
            <w:vAlign w:val="center"/>
          </w:tcPr>
          <w:p w:rsidR="00A32067" w:rsidRDefault="00A32067">
            <w:pPr>
              <w:widowControl/>
              <w:adjustRightInd w:val="0"/>
              <w:snapToGrid w:val="0"/>
              <w:spacing w:after="200"/>
              <w:jc w:val="center"/>
              <w:rPr>
                <w:kern w:val="0"/>
              </w:rPr>
            </w:pPr>
            <w:r>
              <w:rPr>
                <w:rFonts w:cs="宋体" w:hint="eastAsia"/>
                <w:kern w:val="0"/>
              </w:rPr>
              <w:t>聘请方负责往返接送，路途每日补贴</w:t>
            </w:r>
            <w:r>
              <w:rPr>
                <w:kern w:val="0"/>
              </w:rPr>
              <w:t>100</w:t>
            </w:r>
            <w:r>
              <w:rPr>
                <w:rFonts w:cs="宋体" w:hint="eastAsia"/>
                <w:kern w:val="0"/>
              </w:rPr>
              <w:t>元</w:t>
            </w:r>
          </w:p>
        </w:tc>
      </w:tr>
      <w:tr w:rsidR="00A32067">
        <w:trPr>
          <w:cantSplit/>
          <w:trHeight w:val="563"/>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p>
        </w:tc>
        <w:tc>
          <w:tcPr>
            <w:tcW w:w="836" w:type="dxa"/>
            <w:vMerge/>
            <w:vAlign w:val="center"/>
          </w:tcPr>
          <w:p w:rsidR="00A32067" w:rsidRDefault="00A32067">
            <w:pPr>
              <w:widowControl/>
              <w:adjustRightInd w:val="0"/>
              <w:snapToGrid w:val="0"/>
              <w:spacing w:after="200"/>
              <w:jc w:val="center"/>
              <w:rPr>
                <w:kern w:val="0"/>
              </w:rPr>
            </w:pPr>
          </w:p>
        </w:tc>
        <w:tc>
          <w:tcPr>
            <w:tcW w:w="851" w:type="dxa"/>
            <w:vAlign w:val="center"/>
          </w:tcPr>
          <w:p w:rsidR="00A32067" w:rsidRDefault="00A32067">
            <w:pPr>
              <w:widowControl/>
              <w:adjustRightInd w:val="0"/>
              <w:snapToGrid w:val="0"/>
              <w:spacing w:after="200"/>
              <w:jc w:val="center"/>
              <w:rPr>
                <w:kern w:val="0"/>
              </w:rPr>
            </w:pPr>
            <w:r>
              <w:rPr>
                <w:kern w:val="0"/>
              </w:rPr>
              <w:t>400</w:t>
            </w:r>
          </w:p>
        </w:tc>
        <w:tc>
          <w:tcPr>
            <w:tcW w:w="1878" w:type="dxa"/>
            <w:vAlign w:val="center"/>
          </w:tcPr>
          <w:p w:rsidR="00A32067" w:rsidRDefault="00A32067">
            <w:pPr>
              <w:widowControl/>
              <w:adjustRightInd w:val="0"/>
              <w:snapToGrid w:val="0"/>
              <w:spacing w:after="200"/>
              <w:jc w:val="center"/>
              <w:rPr>
                <w:kern w:val="0"/>
              </w:rPr>
            </w:pPr>
            <w:r>
              <w:rPr>
                <w:rFonts w:cs="宋体" w:hint="eastAsia"/>
                <w:kern w:val="0"/>
              </w:rPr>
              <w:t>适用于工程师</w:t>
            </w:r>
          </w:p>
        </w:tc>
        <w:tc>
          <w:tcPr>
            <w:tcW w:w="2374" w:type="dxa"/>
            <w:gridSpan w:val="2"/>
            <w:vMerge/>
            <w:vAlign w:val="center"/>
          </w:tcPr>
          <w:p w:rsidR="00A32067" w:rsidRDefault="00A32067">
            <w:pPr>
              <w:widowControl/>
              <w:adjustRightInd w:val="0"/>
              <w:snapToGrid w:val="0"/>
              <w:spacing w:after="200"/>
              <w:jc w:val="center"/>
              <w:rPr>
                <w:kern w:val="0"/>
              </w:rPr>
            </w:pPr>
          </w:p>
        </w:tc>
      </w:tr>
      <w:tr w:rsidR="00A32067">
        <w:trPr>
          <w:cantSplit/>
          <w:trHeight w:hRule="exact" w:val="607"/>
          <w:jc w:val="center"/>
        </w:trPr>
        <w:tc>
          <w:tcPr>
            <w:tcW w:w="993" w:type="dxa"/>
            <w:vMerge w:val="restart"/>
            <w:vAlign w:val="center"/>
          </w:tcPr>
          <w:p w:rsidR="00A32067" w:rsidRDefault="00A32067">
            <w:pPr>
              <w:widowControl/>
              <w:adjustRightInd w:val="0"/>
              <w:snapToGrid w:val="0"/>
              <w:spacing w:after="200"/>
              <w:jc w:val="center"/>
              <w:rPr>
                <w:kern w:val="0"/>
              </w:rPr>
            </w:pPr>
            <w:r>
              <w:rPr>
                <w:rFonts w:cs="宋体" w:hint="eastAsia"/>
                <w:kern w:val="0"/>
              </w:rPr>
              <w:t>空调风系统测试</w:t>
            </w:r>
          </w:p>
        </w:tc>
        <w:tc>
          <w:tcPr>
            <w:tcW w:w="865" w:type="dxa"/>
            <w:vMerge w:val="restart"/>
            <w:vAlign w:val="center"/>
          </w:tcPr>
          <w:p w:rsidR="00A32067" w:rsidRDefault="00A32067">
            <w:pPr>
              <w:widowControl/>
              <w:adjustRightInd w:val="0"/>
              <w:snapToGrid w:val="0"/>
              <w:spacing w:after="200"/>
              <w:jc w:val="center"/>
              <w:rPr>
                <w:kern w:val="0"/>
              </w:rPr>
            </w:pPr>
            <w:r>
              <w:rPr>
                <w:kern w:val="0"/>
              </w:rPr>
              <w:t>P39</w:t>
            </w:r>
          </w:p>
        </w:tc>
        <w:tc>
          <w:tcPr>
            <w:tcW w:w="1701" w:type="dxa"/>
            <w:vAlign w:val="center"/>
          </w:tcPr>
          <w:p w:rsidR="00A32067" w:rsidRDefault="00A32067" w:rsidP="00A32067">
            <w:pPr>
              <w:widowControl/>
              <w:adjustRightInd w:val="0"/>
              <w:snapToGrid w:val="0"/>
              <w:spacing w:after="200"/>
              <w:ind w:leftChars="-45" w:left="31680" w:rightChars="-57" w:right="31680" w:firstLineChars="100" w:firstLine="31680"/>
              <w:jc w:val="left"/>
              <w:rPr>
                <w:kern w:val="0"/>
              </w:rPr>
            </w:pPr>
            <w:r>
              <w:rPr>
                <w:rFonts w:cs="宋体" w:hint="eastAsia"/>
                <w:kern w:val="0"/>
              </w:rPr>
              <w:t>漏风量测试</w:t>
            </w:r>
          </w:p>
        </w:tc>
        <w:tc>
          <w:tcPr>
            <w:tcW w:w="836" w:type="dxa"/>
            <w:vAlign w:val="center"/>
          </w:tcPr>
          <w:p w:rsidR="00A32067" w:rsidRDefault="00A32067" w:rsidP="00A32067">
            <w:pPr>
              <w:widowControl/>
              <w:adjustRightInd w:val="0"/>
              <w:snapToGrid w:val="0"/>
              <w:spacing w:after="200"/>
              <w:ind w:leftChars="-51" w:left="31680" w:rightChars="-51" w:right="31680" w:hangingChars="51" w:firstLine="31680"/>
              <w:jc w:val="center"/>
              <w:rPr>
                <w:kern w:val="0"/>
              </w:rPr>
            </w:pPr>
            <w:r>
              <w:rPr>
                <w:rFonts w:cs="宋体" w:hint="eastAsia"/>
                <w:kern w:val="0"/>
              </w:rPr>
              <w:t>支系统</w:t>
            </w:r>
          </w:p>
        </w:tc>
        <w:tc>
          <w:tcPr>
            <w:tcW w:w="851" w:type="dxa"/>
            <w:vAlign w:val="center"/>
          </w:tcPr>
          <w:p w:rsidR="00A32067" w:rsidRDefault="00A32067">
            <w:pPr>
              <w:widowControl/>
              <w:adjustRightInd w:val="0"/>
              <w:snapToGrid w:val="0"/>
              <w:spacing w:after="200"/>
              <w:jc w:val="center"/>
              <w:rPr>
                <w:kern w:val="0"/>
              </w:rPr>
            </w:pPr>
            <w:r>
              <w:rPr>
                <w:kern w:val="0"/>
              </w:rPr>
              <w:t>1550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盲板的制安，渗漏修补由委托方负责</w:t>
            </w:r>
          </w:p>
        </w:tc>
      </w:tr>
      <w:tr w:rsidR="00A32067">
        <w:trPr>
          <w:cantSplit/>
          <w:trHeight w:hRule="exact" w:val="434"/>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Merge w:val="restart"/>
            <w:vAlign w:val="center"/>
          </w:tcPr>
          <w:p w:rsidR="00A32067" w:rsidRDefault="00A32067" w:rsidP="00A32067">
            <w:pPr>
              <w:widowControl/>
              <w:adjustRightInd w:val="0"/>
              <w:snapToGrid w:val="0"/>
              <w:spacing w:after="200"/>
              <w:ind w:leftChars="-46" w:left="31680" w:rightChars="-57" w:right="31680"/>
              <w:jc w:val="center"/>
              <w:rPr>
                <w:kern w:val="0"/>
              </w:rPr>
            </w:pPr>
            <w:r>
              <w:rPr>
                <w:rFonts w:cs="宋体" w:hint="eastAsia"/>
                <w:kern w:val="0"/>
              </w:rPr>
              <w:t>风量测试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断面</w:t>
            </w:r>
          </w:p>
        </w:tc>
        <w:tc>
          <w:tcPr>
            <w:tcW w:w="851" w:type="dxa"/>
            <w:vAlign w:val="center"/>
          </w:tcPr>
          <w:p w:rsidR="00A32067" w:rsidRDefault="00A32067">
            <w:pPr>
              <w:widowControl/>
              <w:adjustRightInd w:val="0"/>
              <w:snapToGrid w:val="0"/>
              <w:spacing w:after="200"/>
              <w:jc w:val="center"/>
              <w:rPr>
                <w:kern w:val="0"/>
              </w:rPr>
            </w:pPr>
            <w:r>
              <w:rPr>
                <w:kern w:val="0"/>
              </w:rPr>
              <w:t>500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适用于毕托管微压计法</w:t>
            </w:r>
          </w:p>
        </w:tc>
      </w:tr>
      <w:tr w:rsidR="00A32067">
        <w:trPr>
          <w:cantSplit/>
          <w:trHeight w:hRule="exact" w:val="419"/>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Merge/>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风口</w:t>
            </w:r>
          </w:p>
        </w:tc>
        <w:tc>
          <w:tcPr>
            <w:tcW w:w="851" w:type="dxa"/>
            <w:vAlign w:val="center"/>
          </w:tcPr>
          <w:p w:rsidR="00A32067" w:rsidRDefault="00A32067">
            <w:pPr>
              <w:widowControl/>
              <w:adjustRightInd w:val="0"/>
              <w:snapToGrid w:val="0"/>
              <w:spacing w:after="200"/>
              <w:jc w:val="center"/>
              <w:rPr>
                <w:kern w:val="0"/>
              </w:rPr>
            </w:pPr>
            <w:r>
              <w:rPr>
                <w:kern w:val="0"/>
              </w:rPr>
              <w:t>200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适用于风速仪</w:t>
            </w:r>
          </w:p>
        </w:tc>
      </w:tr>
      <w:tr w:rsidR="00A32067">
        <w:trPr>
          <w:cantSplit/>
          <w:trHeight w:val="315"/>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Merge/>
            <w:vAlign w:val="center"/>
          </w:tcPr>
          <w:p w:rsidR="00A32067" w:rsidRDefault="00A32067">
            <w:pPr>
              <w:widowControl/>
              <w:adjustRightInd w:val="0"/>
              <w:snapToGrid w:val="0"/>
              <w:spacing w:after="200"/>
              <w:jc w:val="center"/>
              <w:rPr>
                <w:kern w:val="0"/>
              </w:rPr>
            </w:pP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风速场测试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点</w:t>
            </w:r>
          </w:p>
        </w:tc>
        <w:tc>
          <w:tcPr>
            <w:tcW w:w="851" w:type="dxa"/>
            <w:vAlign w:val="center"/>
          </w:tcPr>
          <w:p w:rsidR="00A32067" w:rsidRDefault="00A32067">
            <w:pPr>
              <w:widowControl/>
              <w:adjustRightInd w:val="0"/>
              <w:snapToGrid w:val="0"/>
              <w:spacing w:after="200"/>
              <w:jc w:val="center"/>
              <w:rPr>
                <w:kern w:val="0"/>
              </w:rPr>
            </w:pPr>
            <w:r>
              <w:rPr>
                <w:kern w:val="0"/>
              </w:rPr>
              <w:t>200</w:t>
            </w:r>
          </w:p>
        </w:tc>
        <w:tc>
          <w:tcPr>
            <w:tcW w:w="4252" w:type="dxa"/>
            <w:gridSpan w:val="3"/>
            <w:vAlign w:val="center"/>
          </w:tcPr>
          <w:p w:rsidR="00A32067" w:rsidRDefault="00A32067">
            <w:pPr>
              <w:widowControl/>
              <w:adjustRightInd w:val="0"/>
              <w:snapToGrid w:val="0"/>
              <w:spacing w:after="200"/>
              <w:jc w:val="center"/>
              <w:rPr>
                <w:kern w:val="0"/>
              </w:rPr>
            </w:pPr>
          </w:p>
        </w:tc>
      </w:tr>
      <w:tr w:rsidR="00A32067">
        <w:trPr>
          <w:cantSplit/>
          <w:trHeight w:val="587"/>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P40</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温度场测试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点</w:t>
            </w:r>
          </w:p>
        </w:tc>
        <w:tc>
          <w:tcPr>
            <w:tcW w:w="851" w:type="dxa"/>
            <w:vAlign w:val="center"/>
          </w:tcPr>
          <w:p w:rsidR="00A32067" w:rsidRDefault="00A32067">
            <w:pPr>
              <w:widowControl/>
              <w:adjustRightInd w:val="0"/>
              <w:snapToGrid w:val="0"/>
              <w:spacing w:after="200"/>
              <w:jc w:val="center"/>
              <w:rPr>
                <w:kern w:val="0"/>
              </w:rPr>
            </w:pPr>
            <w:r>
              <w:rPr>
                <w:kern w:val="0"/>
              </w:rPr>
              <w:t>200</w:t>
            </w:r>
          </w:p>
        </w:tc>
        <w:tc>
          <w:tcPr>
            <w:tcW w:w="4252" w:type="dxa"/>
            <w:gridSpan w:val="3"/>
            <w:vAlign w:val="center"/>
          </w:tcPr>
          <w:p w:rsidR="00A32067" w:rsidRDefault="00A32067">
            <w:pPr>
              <w:widowControl/>
              <w:adjustRightInd w:val="0"/>
              <w:snapToGrid w:val="0"/>
              <w:spacing w:after="200"/>
              <w:jc w:val="left"/>
              <w:rPr>
                <w:kern w:val="0"/>
              </w:rPr>
            </w:pPr>
          </w:p>
        </w:tc>
      </w:tr>
      <w:tr w:rsidR="00A32067">
        <w:trPr>
          <w:cantSplit/>
          <w:trHeight w:val="475"/>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P41</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湿度测试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点</w:t>
            </w:r>
          </w:p>
        </w:tc>
        <w:tc>
          <w:tcPr>
            <w:tcW w:w="851" w:type="dxa"/>
            <w:vAlign w:val="center"/>
          </w:tcPr>
          <w:p w:rsidR="00A32067" w:rsidRDefault="00A32067">
            <w:pPr>
              <w:widowControl/>
              <w:adjustRightInd w:val="0"/>
              <w:snapToGrid w:val="0"/>
              <w:spacing w:after="200"/>
              <w:jc w:val="center"/>
              <w:rPr>
                <w:kern w:val="0"/>
              </w:rPr>
            </w:pPr>
            <w:r>
              <w:rPr>
                <w:kern w:val="0"/>
              </w:rPr>
              <w:t>200</w:t>
            </w:r>
          </w:p>
        </w:tc>
        <w:tc>
          <w:tcPr>
            <w:tcW w:w="4252" w:type="dxa"/>
            <w:gridSpan w:val="3"/>
            <w:vAlign w:val="center"/>
          </w:tcPr>
          <w:p w:rsidR="00A32067" w:rsidRDefault="00A32067">
            <w:pPr>
              <w:widowControl/>
              <w:adjustRightInd w:val="0"/>
              <w:snapToGrid w:val="0"/>
              <w:spacing w:after="200"/>
              <w:jc w:val="left"/>
              <w:rPr>
                <w:kern w:val="0"/>
              </w:rPr>
            </w:pPr>
          </w:p>
        </w:tc>
      </w:tr>
      <w:tr w:rsidR="00A32067">
        <w:trPr>
          <w:cantSplit/>
          <w:trHeight w:val="1215"/>
          <w:jc w:val="center"/>
        </w:trPr>
        <w:tc>
          <w:tcPr>
            <w:tcW w:w="993" w:type="dxa"/>
            <w:vMerge/>
            <w:vAlign w:val="center"/>
          </w:tcPr>
          <w:p w:rsidR="00A32067" w:rsidRDefault="00A32067">
            <w:pPr>
              <w:widowControl/>
              <w:adjustRightInd w:val="0"/>
              <w:snapToGrid w:val="0"/>
              <w:spacing w:after="200"/>
              <w:jc w:val="center"/>
              <w:rPr>
                <w:kern w:val="0"/>
              </w:rPr>
            </w:pPr>
          </w:p>
        </w:tc>
        <w:tc>
          <w:tcPr>
            <w:tcW w:w="865" w:type="dxa"/>
            <w:vAlign w:val="center"/>
          </w:tcPr>
          <w:p w:rsidR="00A32067" w:rsidRDefault="00A32067">
            <w:pPr>
              <w:widowControl/>
              <w:adjustRightInd w:val="0"/>
              <w:snapToGrid w:val="0"/>
              <w:spacing w:after="200"/>
              <w:jc w:val="center"/>
              <w:rPr>
                <w:kern w:val="0"/>
              </w:rPr>
            </w:pPr>
            <w:r>
              <w:rPr>
                <w:kern w:val="0"/>
              </w:rPr>
              <w:t>P42</w:t>
            </w:r>
          </w:p>
        </w:tc>
        <w:tc>
          <w:tcPr>
            <w:tcW w:w="1701" w:type="dxa"/>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r>
              <w:rPr>
                <w:rFonts w:cs="宋体" w:hint="eastAsia"/>
                <w:kern w:val="0"/>
              </w:rPr>
              <w:t>管道绝热及保温层厚度测试</w:t>
            </w:r>
          </w:p>
        </w:tc>
        <w:tc>
          <w:tcPr>
            <w:tcW w:w="836" w:type="dxa"/>
            <w:vAlign w:val="center"/>
          </w:tcPr>
          <w:p w:rsidR="00A32067" w:rsidRDefault="00A32067">
            <w:pPr>
              <w:widowControl/>
              <w:adjustRightInd w:val="0"/>
              <w:snapToGrid w:val="0"/>
              <w:spacing w:after="200"/>
              <w:jc w:val="center"/>
              <w:rPr>
                <w:kern w:val="0"/>
              </w:rPr>
            </w:pPr>
            <w:r>
              <w:rPr>
                <w:rFonts w:cs="宋体" w:hint="eastAsia"/>
                <w:kern w:val="0"/>
              </w:rPr>
              <w:t>断面</w:t>
            </w:r>
          </w:p>
        </w:tc>
        <w:tc>
          <w:tcPr>
            <w:tcW w:w="851" w:type="dxa"/>
            <w:vAlign w:val="center"/>
          </w:tcPr>
          <w:p w:rsidR="00A32067" w:rsidRDefault="00A32067">
            <w:pPr>
              <w:widowControl/>
              <w:adjustRightInd w:val="0"/>
              <w:snapToGrid w:val="0"/>
              <w:spacing w:after="200"/>
              <w:jc w:val="center"/>
              <w:rPr>
                <w:kern w:val="0"/>
              </w:rPr>
            </w:pPr>
            <w:r>
              <w:rPr>
                <w:kern w:val="0"/>
              </w:rPr>
              <w:t>20</w:t>
            </w:r>
          </w:p>
        </w:tc>
        <w:tc>
          <w:tcPr>
            <w:tcW w:w="4252" w:type="dxa"/>
            <w:gridSpan w:val="3"/>
            <w:vAlign w:val="center"/>
          </w:tcPr>
          <w:p w:rsidR="00A32067" w:rsidRDefault="00A32067">
            <w:pPr>
              <w:widowControl/>
              <w:adjustRightInd w:val="0"/>
              <w:snapToGrid w:val="0"/>
              <w:spacing w:after="200"/>
              <w:jc w:val="center"/>
              <w:rPr>
                <w:kern w:val="0"/>
              </w:rPr>
            </w:pPr>
            <w:r>
              <w:rPr>
                <w:rFonts w:cs="宋体" w:hint="eastAsia"/>
                <w:kern w:val="0"/>
              </w:rPr>
              <w:t>适用于针刺法</w:t>
            </w:r>
          </w:p>
        </w:tc>
      </w:tr>
    </w:tbl>
    <w:p w:rsidR="00A32067" w:rsidRDefault="00A32067" w:rsidP="00A32067">
      <w:pPr>
        <w:widowControl/>
        <w:adjustRightInd w:val="0"/>
        <w:snapToGrid w:val="0"/>
        <w:spacing w:after="200"/>
        <w:ind w:firstLineChars="100" w:firstLine="31680"/>
        <w:jc w:val="left"/>
        <w:rPr>
          <w:rFonts w:eastAsia="微软雅黑"/>
          <w:b/>
          <w:bCs/>
          <w:kern w:val="0"/>
          <w:sz w:val="24"/>
          <w:szCs w:val="24"/>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P</w:t>
      </w:r>
      <w:r>
        <w:rPr>
          <w:rFonts w:ascii="Times New Roman" w:hAnsi="Times New Roman" w:hint="eastAsia"/>
          <w:b/>
          <w:bCs/>
          <w:kern w:val="2"/>
        </w:rPr>
        <w:t>、建筑工程质量</w:t>
      </w:r>
      <w:r>
        <w:rPr>
          <w:rFonts w:ascii="Times New Roman" w:hAnsi="Times New Roman" w:cs="Times New Roman"/>
          <w:b/>
          <w:bCs/>
          <w:kern w:val="2"/>
        </w:rPr>
        <w:t>:                                             P43</w:t>
      </w:r>
      <w:r>
        <w:rPr>
          <w:rFonts w:ascii="Times New Roman" w:hAnsi="Times New Roman" w:hint="eastAsia"/>
          <w:b/>
          <w:bCs/>
          <w:kern w:val="2"/>
        </w:rPr>
        <w:t>～</w:t>
      </w:r>
      <w:r>
        <w:rPr>
          <w:rFonts w:ascii="Times New Roman" w:hAnsi="Times New Roman" w:cs="Times New Roman"/>
          <w:b/>
          <w:bCs/>
          <w:kern w:val="2"/>
        </w:rPr>
        <w:t>P45</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801"/>
        <w:gridCol w:w="1413"/>
        <w:gridCol w:w="786"/>
        <w:gridCol w:w="840"/>
        <w:gridCol w:w="4260"/>
      </w:tblGrid>
      <w:tr w:rsidR="00A32067">
        <w:trPr>
          <w:cantSplit/>
          <w:trHeight w:val="312"/>
          <w:jc w:val="center"/>
        </w:trPr>
        <w:tc>
          <w:tcPr>
            <w:tcW w:w="1008" w:type="dxa"/>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801" w:type="dxa"/>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413" w:type="dxa"/>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631"/>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给排水系统测试</w:t>
            </w:r>
          </w:p>
        </w:tc>
        <w:tc>
          <w:tcPr>
            <w:tcW w:w="801" w:type="dxa"/>
            <w:vMerge w:val="restart"/>
            <w:vAlign w:val="center"/>
          </w:tcPr>
          <w:p w:rsidR="00A32067" w:rsidRDefault="00A32067">
            <w:pPr>
              <w:widowControl/>
              <w:adjustRightInd w:val="0"/>
              <w:snapToGrid w:val="0"/>
              <w:spacing w:after="200"/>
              <w:jc w:val="center"/>
              <w:rPr>
                <w:kern w:val="0"/>
              </w:rPr>
            </w:pPr>
            <w:r>
              <w:rPr>
                <w:kern w:val="0"/>
              </w:rPr>
              <w:t>P43</w:t>
            </w: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水（气）压试验</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系统</w:t>
            </w:r>
          </w:p>
        </w:tc>
        <w:tc>
          <w:tcPr>
            <w:tcW w:w="840" w:type="dxa"/>
            <w:vAlign w:val="center"/>
          </w:tcPr>
          <w:p w:rsidR="00A32067" w:rsidRDefault="00A32067">
            <w:pPr>
              <w:widowControl/>
              <w:adjustRightInd w:val="0"/>
              <w:snapToGrid w:val="0"/>
              <w:spacing w:after="200"/>
              <w:jc w:val="center"/>
              <w:rPr>
                <w:kern w:val="0"/>
              </w:rPr>
            </w:pPr>
            <w:r>
              <w:rPr>
                <w:kern w:val="0"/>
              </w:rPr>
              <w:t>1500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辅助管的安装由委托方负责</w:t>
            </w:r>
          </w:p>
        </w:tc>
      </w:tr>
      <w:tr w:rsidR="00A32067">
        <w:trPr>
          <w:cantSplit/>
          <w:trHeight w:val="597"/>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left"/>
              <w:rPr>
                <w:kern w:val="0"/>
              </w:rPr>
            </w:pPr>
            <w:r>
              <w:rPr>
                <w:rFonts w:cs="宋体" w:hint="eastAsia"/>
                <w:kern w:val="0"/>
              </w:rPr>
              <w:t>排水系统灌水试验</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系统</w:t>
            </w:r>
          </w:p>
        </w:tc>
        <w:tc>
          <w:tcPr>
            <w:tcW w:w="840" w:type="dxa"/>
            <w:vAlign w:val="center"/>
          </w:tcPr>
          <w:p w:rsidR="00A32067" w:rsidRDefault="00A32067">
            <w:pPr>
              <w:widowControl/>
              <w:adjustRightInd w:val="0"/>
              <w:snapToGrid w:val="0"/>
              <w:spacing w:after="200"/>
              <w:jc w:val="center"/>
              <w:rPr>
                <w:kern w:val="0"/>
              </w:rPr>
            </w:pPr>
            <w:r>
              <w:rPr>
                <w:kern w:val="0"/>
              </w:rPr>
              <w:t>450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60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给排水系统渗漏测试</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初测管段</w:t>
            </w:r>
          </w:p>
        </w:tc>
        <w:tc>
          <w:tcPr>
            <w:tcW w:w="840" w:type="dxa"/>
            <w:vAlign w:val="center"/>
          </w:tcPr>
          <w:p w:rsidR="00A32067" w:rsidRDefault="00A32067">
            <w:pPr>
              <w:widowControl/>
              <w:adjustRightInd w:val="0"/>
              <w:snapToGrid w:val="0"/>
              <w:spacing w:after="200"/>
              <w:jc w:val="center"/>
              <w:rPr>
                <w:kern w:val="0"/>
              </w:rPr>
            </w:pPr>
            <w:r>
              <w:rPr>
                <w:kern w:val="0"/>
              </w:rPr>
              <w:t>550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每增加</w:t>
            </w:r>
            <w:r>
              <w:rPr>
                <w:kern w:val="0"/>
              </w:rPr>
              <w:t>1</w:t>
            </w:r>
            <w:r>
              <w:rPr>
                <w:rFonts w:cs="宋体" w:hint="eastAsia"/>
                <w:kern w:val="0"/>
              </w:rPr>
              <w:t>管长增调</w:t>
            </w:r>
            <w:r>
              <w:rPr>
                <w:kern w:val="0"/>
              </w:rPr>
              <w:t>5%</w:t>
            </w:r>
          </w:p>
        </w:tc>
      </w:tr>
      <w:tr w:rsidR="00A32067">
        <w:trPr>
          <w:cantSplit/>
          <w:trHeight w:val="930"/>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采暖系统及空调水系统测试</w:t>
            </w:r>
          </w:p>
        </w:tc>
        <w:tc>
          <w:tcPr>
            <w:tcW w:w="801" w:type="dxa"/>
            <w:vMerge w:val="restart"/>
            <w:vAlign w:val="center"/>
          </w:tcPr>
          <w:p w:rsidR="00A32067" w:rsidRDefault="00A32067">
            <w:pPr>
              <w:widowControl/>
              <w:adjustRightInd w:val="0"/>
              <w:snapToGrid w:val="0"/>
              <w:spacing w:after="200"/>
              <w:jc w:val="center"/>
              <w:rPr>
                <w:kern w:val="0"/>
              </w:rPr>
            </w:pPr>
            <w:r>
              <w:rPr>
                <w:kern w:val="0"/>
              </w:rPr>
              <w:t>P44</w:t>
            </w: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水（气）压试验</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系统</w:t>
            </w:r>
          </w:p>
        </w:tc>
        <w:tc>
          <w:tcPr>
            <w:tcW w:w="840" w:type="dxa"/>
            <w:vAlign w:val="center"/>
          </w:tcPr>
          <w:p w:rsidR="00A32067" w:rsidRDefault="00A32067">
            <w:pPr>
              <w:widowControl/>
              <w:adjustRightInd w:val="0"/>
              <w:snapToGrid w:val="0"/>
              <w:spacing w:after="200"/>
              <w:jc w:val="center"/>
              <w:rPr>
                <w:kern w:val="0"/>
              </w:rPr>
            </w:pPr>
            <w:r>
              <w:rPr>
                <w:kern w:val="0"/>
              </w:rPr>
              <w:t>1500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辅助管的安装由委托方负责</w:t>
            </w:r>
          </w:p>
        </w:tc>
      </w:tr>
      <w:tr w:rsidR="00A32067">
        <w:trPr>
          <w:cantSplit/>
          <w:trHeight w:val="93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热流量</w:t>
            </w:r>
          </w:p>
          <w:p w:rsidR="00A32067" w:rsidRDefault="00A32067">
            <w:pPr>
              <w:widowControl/>
              <w:adjustRightInd w:val="0"/>
              <w:snapToGrid w:val="0"/>
              <w:spacing w:after="200"/>
              <w:jc w:val="center"/>
              <w:rPr>
                <w:kern w:val="0"/>
              </w:rPr>
            </w:pPr>
            <w:r>
              <w:rPr>
                <w:rFonts w:cs="宋体" w:hint="eastAsia"/>
                <w:kern w:val="0"/>
              </w:rPr>
              <w:t>测试</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系统</w:t>
            </w:r>
          </w:p>
        </w:tc>
        <w:tc>
          <w:tcPr>
            <w:tcW w:w="840" w:type="dxa"/>
            <w:vAlign w:val="center"/>
          </w:tcPr>
          <w:p w:rsidR="00A32067" w:rsidRDefault="00A32067">
            <w:pPr>
              <w:widowControl/>
              <w:adjustRightInd w:val="0"/>
              <w:snapToGrid w:val="0"/>
              <w:spacing w:after="200"/>
              <w:jc w:val="center"/>
              <w:rPr>
                <w:kern w:val="0"/>
              </w:rPr>
            </w:pPr>
            <w:r>
              <w:rPr>
                <w:kern w:val="0"/>
              </w:rPr>
              <w:t>2800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流量计的安装由委托方协助</w:t>
            </w:r>
          </w:p>
        </w:tc>
      </w:tr>
      <w:tr w:rsidR="00A32067">
        <w:trPr>
          <w:cantSplit/>
          <w:trHeight w:val="93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系统阻力测试</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系统</w:t>
            </w:r>
          </w:p>
        </w:tc>
        <w:tc>
          <w:tcPr>
            <w:tcW w:w="840" w:type="dxa"/>
            <w:vAlign w:val="center"/>
          </w:tcPr>
          <w:p w:rsidR="00A32067" w:rsidRDefault="00A32067">
            <w:pPr>
              <w:widowControl/>
              <w:adjustRightInd w:val="0"/>
              <w:snapToGrid w:val="0"/>
              <w:spacing w:after="200"/>
              <w:jc w:val="center"/>
              <w:rPr>
                <w:kern w:val="0"/>
              </w:rPr>
            </w:pPr>
            <w:r>
              <w:rPr>
                <w:kern w:val="0"/>
              </w:rPr>
              <w:t>1800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93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管道坡度测试</w:t>
            </w:r>
          </w:p>
        </w:tc>
        <w:tc>
          <w:tcPr>
            <w:tcW w:w="786" w:type="dxa"/>
            <w:vAlign w:val="center"/>
          </w:tcPr>
          <w:p w:rsidR="00A32067" w:rsidRDefault="00A32067">
            <w:pPr>
              <w:widowControl/>
              <w:adjustRightInd w:val="0"/>
              <w:snapToGrid w:val="0"/>
              <w:spacing w:after="200"/>
              <w:jc w:val="center"/>
              <w:rPr>
                <w:kern w:val="0"/>
              </w:rPr>
            </w:pPr>
            <w:r>
              <w:rPr>
                <w:rFonts w:cs="宋体" w:hint="eastAsia"/>
                <w:kern w:val="0"/>
              </w:rPr>
              <w:t>管段</w:t>
            </w:r>
          </w:p>
        </w:tc>
        <w:tc>
          <w:tcPr>
            <w:tcW w:w="840" w:type="dxa"/>
            <w:vAlign w:val="center"/>
          </w:tcPr>
          <w:p w:rsidR="00A32067" w:rsidRDefault="00A32067">
            <w:pPr>
              <w:widowControl/>
              <w:adjustRightInd w:val="0"/>
              <w:snapToGrid w:val="0"/>
              <w:spacing w:after="200"/>
              <w:jc w:val="center"/>
              <w:rPr>
                <w:kern w:val="0"/>
              </w:rPr>
            </w:pPr>
            <w:r>
              <w:rPr>
                <w:kern w:val="0"/>
              </w:rPr>
              <w:t>300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1457"/>
          <w:jc w:val="center"/>
        </w:trPr>
        <w:tc>
          <w:tcPr>
            <w:tcW w:w="1008" w:type="dxa"/>
            <w:vMerge w:val="restart"/>
            <w:vAlign w:val="center"/>
          </w:tcPr>
          <w:p w:rsidR="00A32067" w:rsidRDefault="00A32067">
            <w:pPr>
              <w:widowControl/>
              <w:adjustRightInd w:val="0"/>
              <w:snapToGrid w:val="0"/>
              <w:spacing w:after="200"/>
              <w:jc w:val="left"/>
              <w:rPr>
                <w:kern w:val="0"/>
              </w:rPr>
            </w:pPr>
            <w:r>
              <w:rPr>
                <w:rFonts w:cs="宋体" w:hint="eastAsia"/>
                <w:kern w:val="0"/>
              </w:rPr>
              <w:t>电气系统测试</w:t>
            </w:r>
          </w:p>
        </w:tc>
        <w:tc>
          <w:tcPr>
            <w:tcW w:w="801" w:type="dxa"/>
            <w:vMerge w:val="restart"/>
            <w:vAlign w:val="center"/>
          </w:tcPr>
          <w:p w:rsidR="00A32067" w:rsidRDefault="00A32067">
            <w:pPr>
              <w:widowControl/>
              <w:adjustRightInd w:val="0"/>
              <w:snapToGrid w:val="0"/>
              <w:spacing w:after="200"/>
              <w:jc w:val="center"/>
              <w:rPr>
                <w:kern w:val="0"/>
              </w:rPr>
            </w:pPr>
            <w:r>
              <w:rPr>
                <w:kern w:val="0"/>
              </w:rPr>
              <w:t>P45</w:t>
            </w:r>
          </w:p>
          <w:p w:rsidR="00A32067" w:rsidRDefault="00A32067">
            <w:pPr>
              <w:widowControl/>
              <w:adjustRightInd w:val="0"/>
              <w:snapToGrid w:val="0"/>
              <w:spacing w:after="200"/>
              <w:jc w:val="center"/>
              <w:rPr>
                <w:kern w:val="0"/>
              </w:rPr>
            </w:pPr>
          </w:p>
        </w:tc>
        <w:tc>
          <w:tcPr>
            <w:tcW w:w="1413" w:type="dxa"/>
            <w:vAlign w:val="center"/>
          </w:tcPr>
          <w:p w:rsidR="00A32067" w:rsidRDefault="00A32067" w:rsidP="00A32067">
            <w:pPr>
              <w:widowControl/>
              <w:adjustRightInd w:val="0"/>
              <w:snapToGrid w:val="0"/>
              <w:spacing w:after="200"/>
              <w:ind w:leftChars="-51" w:left="31680" w:rightChars="-69" w:right="31680" w:firstLineChars="4" w:firstLine="31680"/>
              <w:jc w:val="center"/>
              <w:rPr>
                <w:kern w:val="0"/>
              </w:rPr>
            </w:pPr>
            <w:r>
              <w:rPr>
                <w:rFonts w:cs="宋体" w:hint="eastAsia"/>
                <w:kern w:val="0"/>
              </w:rPr>
              <w:t>电线、缆的保护管及线槽安装</w:t>
            </w:r>
          </w:p>
        </w:tc>
        <w:tc>
          <w:tcPr>
            <w:tcW w:w="786" w:type="dxa"/>
            <w:vAlign w:val="center"/>
          </w:tcPr>
          <w:p w:rsidR="00A32067" w:rsidRDefault="00A32067">
            <w:pPr>
              <w:widowControl/>
              <w:adjustRightInd w:val="0"/>
              <w:snapToGrid w:val="0"/>
              <w:spacing w:after="200"/>
              <w:jc w:val="center"/>
              <w:rPr>
                <w:kern w:val="0"/>
              </w:rPr>
            </w:pPr>
            <w:r>
              <w:rPr>
                <w:kern w:val="0"/>
              </w:rPr>
              <w:t>10</w:t>
            </w:r>
            <w:r>
              <w:rPr>
                <w:rFonts w:cs="宋体" w:hint="eastAsia"/>
                <w:kern w:val="0"/>
              </w:rPr>
              <w:t>点</w:t>
            </w:r>
          </w:p>
        </w:tc>
        <w:tc>
          <w:tcPr>
            <w:tcW w:w="840" w:type="dxa"/>
            <w:vAlign w:val="center"/>
          </w:tcPr>
          <w:p w:rsidR="00A32067" w:rsidRDefault="00A32067">
            <w:pPr>
              <w:widowControl/>
              <w:adjustRightInd w:val="0"/>
              <w:snapToGrid w:val="0"/>
              <w:spacing w:after="200"/>
              <w:jc w:val="center"/>
              <w:rPr>
                <w:kern w:val="0"/>
              </w:rPr>
            </w:pPr>
            <w:r>
              <w:rPr>
                <w:kern w:val="0"/>
              </w:rPr>
              <w:t>300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每种材质测</w:t>
            </w:r>
            <w:r>
              <w:rPr>
                <w:kern w:val="0"/>
              </w:rPr>
              <w:t>10</w:t>
            </w:r>
            <w:r>
              <w:rPr>
                <w:rFonts w:cs="宋体" w:hint="eastAsia"/>
                <w:kern w:val="0"/>
              </w:rPr>
              <w:t>点</w:t>
            </w:r>
          </w:p>
        </w:tc>
      </w:tr>
      <w:tr w:rsidR="00A32067">
        <w:trPr>
          <w:cantSplit/>
          <w:trHeight w:val="75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Merge w:val="restart"/>
            <w:vAlign w:val="center"/>
          </w:tcPr>
          <w:p w:rsidR="00A32067" w:rsidRDefault="00A32067" w:rsidP="00A32067">
            <w:pPr>
              <w:widowControl/>
              <w:adjustRightInd w:val="0"/>
              <w:snapToGrid w:val="0"/>
              <w:spacing w:after="200"/>
              <w:ind w:leftChars="-27" w:left="31680" w:rightChars="-69" w:right="31680"/>
              <w:jc w:val="center"/>
              <w:rPr>
                <w:kern w:val="0"/>
              </w:rPr>
            </w:pPr>
            <w:r>
              <w:rPr>
                <w:rFonts w:cs="宋体" w:hint="eastAsia"/>
                <w:kern w:val="0"/>
              </w:rPr>
              <w:t>管内配线接地电阻测试</w:t>
            </w:r>
          </w:p>
        </w:tc>
        <w:tc>
          <w:tcPr>
            <w:tcW w:w="786" w:type="dxa"/>
            <w:vAlign w:val="center"/>
          </w:tcPr>
          <w:p w:rsidR="00A32067" w:rsidRDefault="00A32067" w:rsidP="00A32067">
            <w:pPr>
              <w:widowControl/>
              <w:tabs>
                <w:tab w:val="left" w:pos="769"/>
              </w:tabs>
              <w:adjustRightInd w:val="0"/>
              <w:snapToGrid w:val="0"/>
              <w:spacing w:after="200"/>
              <w:ind w:leftChars="-33" w:left="31680" w:rightChars="-69" w:right="31680" w:hangingChars="33" w:firstLine="31680"/>
              <w:jc w:val="center"/>
              <w:rPr>
                <w:kern w:val="0"/>
              </w:rPr>
            </w:pPr>
            <w:r>
              <w:rPr>
                <w:rFonts w:cs="宋体" w:hint="eastAsia"/>
                <w:kern w:val="0"/>
              </w:rPr>
              <w:t>支回路</w:t>
            </w:r>
          </w:p>
        </w:tc>
        <w:tc>
          <w:tcPr>
            <w:tcW w:w="840" w:type="dxa"/>
            <w:vAlign w:val="center"/>
          </w:tcPr>
          <w:p w:rsidR="00A32067" w:rsidRDefault="00A32067">
            <w:pPr>
              <w:widowControl/>
              <w:adjustRightInd w:val="0"/>
              <w:snapToGrid w:val="0"/>
              <w:spacing w:after="200"/>
              <w:jc w:val="center"/>
              <w:rPr>
                <w:kern w:val="0"/>
              </w:rPr>
            </w:pPr>
            <w:r>
              <w:rPr>
                <w:kern w:val="0"/>
              </w:rPr>
              <w:t>1600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778"/>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Merge/>
            <w:vAlign w:val="center"/>
          </w:tcPr>
          <w:p w:rsidR="00A32067" w:rsidRDefault="00A32067" w:rsidP="00A32067">
            <w:pPr>
              <w:widowControl/>
              <w:adjustRightInd w:val="0"/>
              <w:snapToGrid w:val="0"/>
              <w:spacing w:after="200"/>
              <w:ind w:leftChars="-45" w:left="31680" w:rightChars="-57" w:right="31680" w:hangingChars="45" w:firstLine="31680"/>
              <w:jc w:val="center"/>
              <w:rPr>
                <w:kern w:val="0"/>
              </w:rPr>
            </w:pPr>
          </w:p>
        </w:tc>
        <w:tc>
          <w:tcPr>
            <w:tcW w:w="786" w:type="dxa"/>
            <w:vAlign w:val="center"/>
          </w:tcPr>
          <w:p w:rsidR="00A32067" w:rsidRDefault="00A32067" w:rsidP="00A32067">
            <w:pPr>
              <w:widowControl/>
              <w:adjustRightInd w:val="0"/>
              <w:snapToGrid w:val="0"/>
              <w:spacing w:after="200"/>
              <w:ind w:leftChars="-33" w:left="31680" w:rightChars="-69" w:right="31680" w:hangingChars="33" w:firstLine="31680"/>
              <w:jc w:val="center"/>
              <w:rPr>
                <w:kern w:val="0"/>
              </w:rPr>
            </w:pPr>
            <w:r>
              <w:rPr>
                <w:rFonts w:cs="宋体" w:hint="eastAsia"/>
                <w:kern w:val="0"/>
              </w:rPr>
              <w:t>测试点</w:t>
            </w:r>
          </w:p>
        </w:tc>
        <w:tc>
          <w:tcPr>
            <w:tcW w:w="840" w:type="dxa"/>
            <w:vAlign w:val="center"/>
          </w:tcPr>
          <w:p w:rsidR="00A32067" w:rsidRDefault="00A32067">
            <w:pPr>
              <w:widowControl/>
              <w:adjustRightInd w:val="0"/>
              <w:snapToGrid w:val="0"/>
              <w:spacing w:after="200"/>
              <w:jc w:val="center"/>
              <w:rPr>
                <w:kern w:val="0"/>
              </w:rPr>
            </w:pPr>
            <w:r>
              <w:rPr>
                <w:kern w:val="0"/>
              </w:rPr>
              <w:t>200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772"/>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电缆</w:t>
            </w:r>
          </w:p>
        </w:tc>
        <w:tc>
          <w:tcPr>
            <w:tcW w:w="786" w:type="dxa"/>
            <w:vAlign w:val="center"/>
          </w:tcPr>
          <w:p w:rsidR="00A32067" w:rsidRDefault="00A32067">
            <w:pPr>
              <w:widowControl/>
              <w:adjustRightInd w:val="0"/>
              <w:snapToGrid w:val="0"/>
              <w:spacing w:after="200"/>
              <w:jc w:val="center"/>
              <w:rPr>
                <w:kern w:val="0"/>
              </w:rPr>
            </w:pPr>
            <w:r>
              <w:rPr>
                <w:rFonts w:cs="宋体" w:hint="eastAsia"/>
                <w:spacing w:val="-8"/>
                <w:kern w:val="0"/>
              </w:rPr>
              <w:t>支路</w:t>
            </w:r>
          </w:p>
        </w:tc>
        <w:tc>
          <w:tcPr>
            <w:tcW w:w="840" w:type="dxa"/>
            <w:vAlign w:val="center"/>
          </w:tcPr>
          <w:p w:rsidR="00A32067" w:rsidRDefault="00A32067">
            <w:pPr>
              <w:widowControl/>
              <w:adjustRightInd w:val="0"/>
              <w:snapToGrid w:val="0"/>
              <w:spacing w:after="200"/>
              <w:jc w:val="center"/>
              <w:rPr>
                <w:kern w:val="0"/>
              </w:rPr>
            </w:pPr>
            <w:r>
              <w:rPr>
                <w:kern w:val="0"/>
              </w:rPr>
              <w:t>60</w:t>
            </w:r>
          </w:p>
        </w:tc>
        <w:tc>
          <w:tcPr>
            <w:tcW w:w="4260" w:type="dxa"/>
            <w:vAlign w:val="center"/>
          </w:tcPr>
          <w:p w:rsidR="00A32067" w:rsidRDefault="00A32067">
            <w:pPr>
              <w:widowControl/>
              <w:adjustRightInd w:val="0"/>
              <w:snapToGrid w:val="0"/>
              <w:spacing w:after="200"/>
              <w:jc w:val="center"/>
              <w:rPr>
                <w:kern w:val="0"/>
              </w:rPr>
            </w:pPr>
          </w:p>
        </w:tc>
      </w:tr>
      <w:tr w:rsidR="00A32067">
        <w:trPr>
          <w:cantSplit/>
          <w:trHeight w:val="768"/>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413" w:type="dxa"/>
            <w:vAlign w:val="center"/>
          </w:tcPr>
          <w:p w:rsidR="00A32067" w:rsidRDefault="00A32067">
            <w:pPr>
              <w:widowControl/>
              <w:adjustRightInd w:val="0"/>
              <w:snapToGrid w:val="0"/>
              <w:spacing w:after="200"/>
              <w:jc w:val="center"/>
              <w:rPr>
                <w:kern w:val="0"/>
              </w:rPr>
            </w:pPr>
            <w:r>
              <w:rPr>
                <w:rFonts w:cs="宋体" w:hint="eastAsia"/>
                <w:kern w:val="0"/>
              </w:rPr>
              <w:t>光缆</w:t>
            </w:r>
          </w:p>
        </w:tc>
        <w:tc>
          <w:tcPr>
            <w:tcW w:w="786" w:type="dxa"/>
            <w:vAlign w:val="center"/>
          </w:tcPr>
          <w:p w:rsidR="00A32067" w:rsidRDefault="00A32067">
            <w:pPr>
              <w:widowControl/>
              <w:adjustRightInd w:val="0"/>
              <w:snapToGrid w:val="0"/>
              <w:spacing w:after="200"/>
              <w:jc w:val="center"/>
              <w:rPr>
                <w:kern w:val="0"/>
              </w:rPr>
            </w:pPr>
            <w:r>
              <w:rPr>
                <w:rFonts w:cs="宋体" w:hint="eastAsia"/>
                <w:spacing w:val="-8"/>
                <w:kern w:val="0"/>
              </w:rPr>
              <w:t>支路</w:t>
            </w:r>
          </w:p>
        </w:tc>
        <w:tc>
          <w:tcPr>
            <w:tcW w:w="840" w:type="dxa"/>
            <w:vAlign w:val="center"/>
          </w:tcPr>
          <w:p w:rsidR="00A32067" w:rsidRDefault="00A32067">
            <w:pPr>
              <w:widowControl/>
              <w:adjustRightInd w:val="0"/>
              <w:snapToGrid w:val="0"/>
              <w:spacing w:after="200"/>
              <w:jc w:val="center"/>
              <w:rPr>
                <w:kern w:val="0"/>
              </w:rPr>
            </w:pPr>
            <w:r>
              <w:rPr>
                <w:kern w:val="0"/>
              </w:rPr>
              <w:t>60</w:t>
            </w:r>
          </w:p>
        </w:tc>
        <w:tc>
          <w:tcPr>
            <w:tcW w:w="4260" w:type="dxa"/>
            <w:vAlign w:val="center"/>
          </w:tcPr>
          <w:p w:rsidR="00A32067" w:rsidRDefault="00A32067">
            <w:pPr>
              <w:widowControl/>
              <w:adjustRightInd w:val="0"/>
              <w:snapToGrid w:val="0"/>
              <w:spacing w:after="200"/>
              <w:jc w:val="left"/>
              <w:rPr>
                <w:kern w:val="0"/>
              </w:rPr>
            </w:pPr>
          </w:p>
          <w:p w:rsidR="00A32067" w:rsidRDefault="00A32067">
            <w:pPr>
              <w:widowControl/>
              <w:adjustRightInd w:val="0"/>
              <w:snapToGrid w:val="0"/>
              <w:spacing w:after="200"/>
              <w:jc w:val="left"/>
              <w:rPr>
                <w:kern w:val="0"/>
              </w:rPr>
            </w:pPr>
          </w:p>
        </w:tc>
      </w:tr>
    </w:tbl>
    <w:p w:rsidR="00A32067" w:rsidRDefault="00A32067">
      <w:pPr>
        <w:widowControl/>
        <w:adjustRightInd w:val="0"/>
        <w:snapToGrid w:val="0"/>
        <w:spacing w:after="200"/>
        <w:jc w:val="left"/>
        <w:rPr>
          <w:rFonts w:eastAsia="微软雅黑"/>
          <w:b/>
          <w:bCs/>
          <w:kern w:val="0"/>
        </w:rPr>
      </w:pPr>
    </w:p>
    <w:p w:rsidR="00A32067" w:rsidRDefault="00A32067">
      <w:pPr>
        <w:widowControl/>
        <w:adjustRightInd w:val="0"/>
        <w:snapToGrid w:val="0"/>
        <w:spacing w:after="200"/>
        <w:jc w:val="left"/>
        <w:rPr>
          <w:rFonts w:eastAsia="微软雅黑"/>
          <w:b/>
          <w:bCs/>
          <w:kern w:val="0"/>
          <w:sz w:val="22"/>
          <w:szCs w:val="22"/>
        </w:rPr>
      </w:pPr>
    </w:p>
    <w:p w:rsidR="00A32067" w:rsidRDefault="00A32067">
      <w:pPr>
        <w:widowControl/>
        <w:adjustRightInd w:val="0"/>
        <w:snapToGrid w:val="0"/>
        <w:spacing w:after="200"/>
        <w:jc w:val="left"/>
        <w:rPr>
          <w:rFonts w:eastAsia="微软雅黑"/>
          <w:b/>
          <w:bCs/>
          <w:kern w:val="0"/>
          <w:sz w:val="22"/>
          <w:szCs w:val="22"/>
        </w:rPr>
      </w:pPr>
    </w:p>
    <w:p w:rsidR="00A32067" w:rsidRDefault="00A32067">
      <w:pPr>
        <w:widowControl/>
        <w:adjustRightInd w:val="0"/>
        <w:snapToGrid w:val="0"/>
        <w:spacing w:after="200"/>
        <w:jc w:val="left"/>
        <w:rPr>
          <w:rFonts w:eastAsia="微软雅黑"/>
          <w:b/>
          <w:bCs/>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Q</w:t>
      </w:r>
      <w:r>
        <w:rPr>
          <w:rFonts w:ascii="Times New Roman" w:hAnsi="Times New Roman" w:hint="eastAsia"/>
          <w:b/>
          <w:bCs/>
          <w:kern w:val="2"/>
        </w:rPr>
        <w:t>、建筑安全器具</w:t>
      </w:r>
      <w:r>
        <w:rPr>
          <w:rFonts w:ascii="Times New Roman" w:hAnsi="Times New Roman" w:cs="Times New Roman"/>
          <w:b/>
          <w:bCs/>
          <w:kern w:val="2"/>
        </w:rPr>
        <w:t>:                                               Q01</w:t>
      </w:r>
      <w:r>
        <w:rPr>
          <w:rFonts w:ascii="Times New Roman" w:hAnsi="Times New Roman" w:hint="eastAsia"/>
          <w:b/>
          <w:bCs/>
          <w:kern w:val="2"/>
        </w:rPr>
        <w:t>～</w:t>
      </w:r>
      <w:r>
        <w:rPr>
          <w:rFonts w:ascii="Times New Roman" w:hAnsi="Times New Roman" w:cs="Times New Roman"/>
          <w:b/>
          <w:bCs/>
          <w:kern w:val="2"/>
        </w:rPr>
        <w:t>Q02</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801"/>
        <w:gridCol w:w="1359"/>
        <w:gridCol w:w="840"/>
        <w:gridCol w:w="840"/>
        <w:gridCol w:w="4474"/>
      </w:tblGrid>
      <w:tr w:rsidR="00A32067">
        <w:trPr>
          <w:cantSplit/>
          <w:trHeight w:val="476"/>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801"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359" w:type="dxa"/>
            <w:vMerge w:val="restart"/>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840"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40"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474" w:type="dxa"/>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476"/>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Merge/>
            <w:vAlign w:val="center"/>
          </w:tcPr>
          <w:p w:rsidR="00A32067" w:rsidRDefault="00A32067">
            <w:pPr>
              <w:widowControl/>
              <w:adjustRightInd w:val="0"/>
              <w:snapToGrid w:val="0"/>
              <w:spacing w:after="200"/>
              <w:jc w:val="center"/>
              <w:rPr>
                <w:kern w:val="0"/>
              </w:rPr>
            </w:pPr>
          </w:p>
        </w:tc>
        <w:tc>
          <w:tcPr>
            <w:tcW w:w="840" w:type="dxa"/>
            <w:vMerge/>
            <w:vAlign w:val="center"/>
          </w:tcPr>
          <w:p w:rsidR="00A32067" w:rsidRDefault="00A32067">
            <w:pPr>
              <w:widowControl/>
              <w:adjustRightInd w:val="0"/>
              <w:snapToGrid w:val="0"/>
              <w:spacing w:after="200"/>
              <w:jc w:val="center"/>
              <w:rPr>
                <w:kern w:val="0"/>
              </w:rPr>
            </w:pPr>
          </w:p>
        </w:tc>
        <w:tc>
          <w:tcPr>
            <w:tcW w:w="840" w:type="dxa"/>
            <w:vMerge/>
            <w:vAlign w:val="center"/>
          </w:tcPr>
          <w:p w:rsidR="00A32067" w:rsidRDefault="00A32067">
            <w:pPr>
              <w:widowControl/>
              <w:adjustRightInd w:val="0"/>
              <w:snapToGrid w:val="0"/>
              <w:spacing w:after="200"/>
              <w:jc w:val="center"/>
              <w:rPr>
                <w:kern w:val="0"/>
              </w:rPr>
            </w:pPr>
          </w:p>
        </w:tc>
        <w:tc>
          <w:tcPr>
            <w:tcW w:w="4474" w:type="dxa"/>
            <w:vMerge/>
            <w:vAlign w:val="center"/>
          </w:tcPr>
          <w:p w:rsidR="00A32067" w:rsidRDefault="00A32067">
            <w:pPr>
              <w:widowControl/>
              <w:adjustRightInd w:val="0"/>
              <w:snapToGrid w:val="0"/>
              <w:spacing w:after="200"/>
              <w:jc w:val="center"/>
              <w:rPr>
                <w:kern w:val="0"/>
              </w:rPr>
            </w:pPr>
          </w:p>
        </w:tc>
      </w:tr>
      <w:tr w:rsidR="00A32067">
        <w:trPr>
          <w:cantSplit/>
          <w:trHeight w:val="568"/>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绳索</w:t>
            </w:r>
          </w:p>
        </w:tc>
        <w:tc>
          <w:tcPr>
            <w:tcW w:w="801" w:type="dxa"/>
            <w:vMerge w:val="restart"/>
            <w:vAlign w:val="center"/>
          </w:tcPr>
          <w:p w:rsidR="00A32067" w:rsidRDefault="00A32067">
            <w:pPr>
              <w:widowControl/>
              <w:adjustRightInd w:val="0"/>
              <w:snapToGrid w:val="0"/>
              <w:spacing w:after="200"/>
              <w:jc w:val="center"/>
              <w:rPr>
                <w:kern w:val="0"/>
              </w:rPr>
            </w:pPr>
            <w:r>
              <w:rPr>
                <w:kern w:val="0"/>
              </w:rPr>
              <w:t>Q01</w:t>
            </w: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线密度</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center"/>
              <w:rPr>
                <w:kern w:val="0"/>
              </w:rPr>
            </w:pPr>
          </w:p>
        </w:tc>
      </w:tr>
      <w:tr w:rsidR="00A32067">
        <w:trPr>
          <w:cantSplit/>
          <w:trHeight w:hRule="exact" w:val="77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left"/>
              <w:rPr>
                <w:kern w:val="0"/>
              </w:rPr>
            </w:pPr>
            <w:r>
              <w:rPr>
                <w:rFonts w:cs="宋体" w:hint="eastAsia"/>
                <w:kern w:val="0"/>
              </w:rPr>
              <w:t>直径或周长</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center"/>
              <w:rPr>
                <w:kern w:val="0"/>
              </w:rPr>
            </w:pPr>
            <w:r>
              <w:rPr>
                <w:rFonts w:cs="宋体" w:hint="eastAsia"/>
                <w:kern w:val="0"/>
              </w:rPr>
              <w:t>具体事宜双方协商</w:t>
            </w:r>
          </w:p>
        </w:tc>
      </w:tr>
      <w:tr w:rsidR="00A32067">
        <w:trPr>
          <w:cantSplit/>
          <w:trHeight w:val="45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捻距</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center"/>
              <w:rPr>
                <w:kern w:val="0"/>
              </w:rPr>
            </w:pPr>
          </w:p>
        </w:tc>
      </w:tr>
      <w:tr w:rsidR="00A32067">
        <w:trPr>
          <w:cantSplit/>
          <w:trHeight w:val="461"/>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伸长率</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120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921"/>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断裂强力</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60</w:t>
            </w:r>
          </w:p>
        </w:tc>
        <w:tc>
          <w:tcPr>
            <w:tcW w:w="4474" w:type="dxa"/>
            <w:vAlign w:val="center"/>
          </w:tcPr>
          <w:p w:rsidR="00A32067" w:rsidRDefault="00A32067">
            <w:pPr>
              <w:widowControl/>
              <w:adjustRightInd w:val="0"/>
              <w:snapToGrid w:val="0"/>
              <w:spacing w:after="200"/>
              <w:jc w:val="center"/>
              <w:rPr>
                <w:kern w:val="0"/>
              </w:rPr>
            </w:pPr>
            <w:r>
              <w:rPr>
                <w:rFonts w:cs="宋体" w:hint="eastAsia"/>
                <w:kern w:val="0"/>
              </w:rPr>
              <w:t>若断裂发生在标距之外</w:t>
            </w:r>
            <w:r>
              <w:rPr>
                <w:kern w:val="0"/>
              </w:rPr>
              <w:t>,</w:t>
            </w:r>
            <w:r>
              <w:rPr>
                <w:rFonts w:cs="宋体" w:hint="eastAsia"/>
                <w:kern w:val="0"/>
              </w:rPr>
              <w:t>且低于不最低断裂强力的</w:t>
            </w:r>
            <w:r>
              <w:rPr>
                <w:kern w:val="0"/>
              </w:rPr>
              <w:t>90%</w:t>
            </w:r>
            <w:r>
              <w:rPr>
                <w:rFonts w:cs="宋体" w:hint="eastAsia"/>
                <w:kern w:val="0"/>
              </w:rPr>
              <w:t>，则认为合格，否则试验无效。</w:t>
            </w:r>
          </w:p>
        </w:tc>
      </w:tr>
      <w:tr w:rsidR="00A32067">
        <w:trPr>
          <w:cantSplit/>
          <w:trHeight w:val="594"/>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安全网</w:t>
            </w:r>
          </w:p>
        </w:tc>
        <w:tc>
          <w:tcPr>
            <w:tcW w:w="801" w:type="dxa"/>
            <w:vMerge w:val="restart"/>
            <w:vAlign w:val="center"/>
          </w:tcPr>
          <w:p w:rsidR="00A32067" w:rsidRDefault="00A32067" w:rsidP="00A32067">
            <w:pPr>
              <w:widowControl/>
              <w:adjustRightInd w:val="0"/>
              <w:snapToGrid w:val="0"/>
              <w:spacing w:after="200"/>
              <w:ind w:rightChars="-25" w:right="31680"/>
              <w:jc w:val="center"/>
              <w:rPr>
                <w:kern w:val="0"/>
              </w:rPr>
            </w:pPr>
            <w:r>
              <w:rPr>
                <w:kern w:val="0"/>
              </w:rPr>
              <w:t>Q02</w:t>
            </w: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外观</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59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规格尺寸</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594"/>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重量</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758"/>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绳断强力</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60</w:t>
            </w:r>
          </w:p>
        </w:tc>
        <w:tc>
          <w:tcPr>
            <w:tcW w:w="4474" w:type="dxa"/>
            <w:vAlign w:val="center"/>
          </w:tcPr>
          <w:p w:rsidR="00A32067" w:rsidRDefault="00A32067">
            <w:pPr>
              <w:widowControl/>
              <w:adjustRightInd w:val="0"/>
              <w:snapToGrid w:val="0"/>
              <w:spacing w:after="200"/>
              <w:jc w:val="center"/>
              <w:rPr>
                <w:kern w:val="0"/>
              </w:rPr>
            </w:pPr>
            <w:r>
              <w:rPr>
                <w:rFonts w:cs="宋体" w:hint="eastAsia"/>
                <w:kern w:val="0"/>
              </w:rPr>
              <w:t>若断裂发生在标距之外</w:t>
            </w:r>
            <w:r>
              <w:rPr>
                <w:kern w:val="0"/>
              </w:rPr>
              <w:t>,</w:t>
            </w:r>
            <w:r>
              <w:rPr>
                <w:rFonts w:cs="宋体" w:hint="eastAsia"/>
                <w:kern w:val="0"/>
              </w:rPr>
              <w:t>且低于不最低断裂强力的</w:t>
            </w:r>
            <w:r>
              <w:rPr>
                <w:kern w:val="0"/>
              </w:rPr>
              <w:t>90%</w:t>
            </w:r>
            <w:r>
              <w:rPr>
                <w:rFonts w:cs="宋体" w:hint="eastAsia"/>
                <w:kern w:val="0"/>
              </w:rPr>
              <w:t>，则认为合格，否则试验无效。</w:t>
            </w:r>
          </w:p>
        </w:tc>
      </w:tr>
      <w:tr w:rsidR="00A32067">
        <w:trPr>
          <w:cantSplit/>
          <w:trHeight w:hRule="exact" w:val="912"/>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断裂强力、断裂伸长率</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120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hRule="exact" w:val="700"/>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接缝部位抗拉强力</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90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hRule="exact" w:val="838"/>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梯形法撕裂强力</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120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hRule="exact" w:val="655"/>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耐冲击试验</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150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hRule="exact" w:val="726"/>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耐贯穿性</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90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686"/>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老化后断裂强力保留率</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400</w:t>
            </w:r>
          </w:p>
        </w:tc>
        <w:tc>
          <w:tcPr>
            <w:tcW w:w="4474" w:type="dxa"/>
            <w:vAlign w:val="center"/>
          </w:tcPr>
          <w:p w:rsidR="00A32067" w:rsidRDefault="00A32067">
            <w:pPr>
              <w:widowControl/>
              <w:adjustRightInd w:val="0"/>
              <w:snapToGrid w:val="0"/>
              <w:spacing w:after="200"/>
              <w:jc w:val="left"/>
              <w:rPr>
                <w:kern w:val="0"/>
              </w:rPr>
            </w:pPr>
          </w:p>
        </w:tc>
      </w:tr>
      <w:tr w:rsidR="00A32067">
        <w:trPr>
          <w:cantSplit/>
          <w:trHeight w:val="717"/>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开眼环扣强力</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90</w:t>
            </w:r>
          </w:p>
        </w:tc>
        <w:tc>
          <w:tcPr>
            <w:tcW w:w="4474" w:type="dxa"/>
            <w:vAlign w:val="center"/>
          </w:tcPr>
          <w:p w:rsidR="00A32067" w:rsidRDefault="00A32067">
            <w:pPr>
              <w:widowControl/>
              <w:adjustRightInd w:val="0"/>
              <w:snapToGrid w:val="0"/>
              <w:spacing w:after="200"/>
              <w:jc w:val="left"/>
              <w:rPr>
                <w:kern w:val="0"/>
              </w:rPr>
            </w:pPr>
            <w:r>
              <w:rPr>
                <w:rFonts w:cs="宋体" w:hint="eastAsia"/>
                <w:kern w:val="0"/>
              </w:rPr>
              <w:t>有争议时，在标准状态下进行试验。</w:t>
            </w:r>
          </w:p>
        </w:tc>
      </w:tr>
      <w:tr w:rsidR="00A32067">
        <w:trPr>
          <w:cantSplit/>
          <w:trHeight w:val="587"/>
          <w:jc w:val="center"/>
        </w:trPr>
        <w:tc>
          <w:tcPr>
            <w:tcW w:w="1008" w:type="dxa"/>
            <w:vMerge/>
            <w:vAlign w:val="center"/>
          </w:tcPr>
          <w:p w:rsidR="00A32067" w:rsidRDefault="00A32067">
            <w:pPr>
              <w:widowControl/>
              <w:adjustRightInd w:val="0"/>
              <w:snapToGrid w:val="0"/>
              <w:spacing w:after="200"/>
              <w:jc w:val="center"/>
              <w:rPr>
                <w:kern w:val="0"/>
              </w:rPr>
            </w:pPr>
          </w:p>
        </w:tc>
        <w:tc>
          <w:tcPr>
            <w:tcW w:w="801" w:type="dxa"/>
            <w:vMerge/>
            <w:vAlign w:val="center"/>
          </w:tcPr>
          <w:p w:rsidR="00A32067" w:rsidRDefault="00A32067">
            <w:pPr>
              <w:widowControl/>
              <w:adjustRightInd w:val="0"/>
              <w:snapToGrid w:val="0"/>
              <w:spacing w:after="200"/>
              <w:jc w:val="center"/>
              <w:rPr>
                <w:kern w:val="0"/>
              </w:rPr>
            </w:pPr>
          </w:p>
        </w:tc>
        <w:tc>
          <w:tcPr>
            <w:tcW w:w="1359" w:type="dxa"/>
            <w:vAlign w:val="center"/>
          </w:tcPr>
          <w:p w:rsidR="00A32067" w:rsidRDefault="00A32067">
            <w:pPr>
              <w:widowControl/>
              <w:adjustRightInd w:val="0"/>
              <w:snapToGrid w:val="0"/>
              <w:spacing w:after="200"/>
              <w:jc w:val="center"/>
              <w:rPr>
                <w:kern w:val="0"/>
              </w:rPr>
            </w:pPr>
            <w:r>
              <w:rPr>
                <w:rFonts w:cs="宋体" w:hint="eastAsia"/>
                <w:kern w:val="0"/>
              </w:rPr>
              <w:t>阻燃性</w:t>
            </w:r>
          </w:p>
        </w:tc>
        <w:tc>
          <w:tcPr>
            <w:tcW w:w="840"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40" w:type="dxa"/>
            <w:vAlign w:val="center"/>
          </w:tcPr>
          <w:p w:rsidR="00A32067" w:rsidRDefault="00A32067">
            <w:pPr>
              <w:widowControl/>
              <w:adjustRightInd w:val="0"/>
              <w:snapToGrid w:val="0"/>
              <w:spacing w:after="200"/>
              <w:jc w:val="center"/>
              <w:rPr>
                <w:kern w:val="0"/>
              </w:rPr>
            </w:pPr>
            <w:r>
              <w:rPr>
                <w:kern w:val="0"/>
              </w:rPr>
              <w:t>90</w:t>
            </w:r>
          </w:p>
        </w:tc>
        <w:tc>
          <w:tcPr>
            <w:tcW w:w="4474" w:type="dxa"/>
            <w:vAlign w:val="center"/>
          </w:tcPr>
          <w:p w:rsidR="00A32067" w:rsidRDefault="00A32067">
            <w:pPr>
              <w:widowControl/>
              <w:adjustRightInd w:val="0"/>
              <w:snapToGrid w:val="0"/>
              <w:spacing w:after="200"/>
              <w:jc w:val="left"/>
              <w:rPr>
                <w:kern w:val="0"/>
              </w:rPr>
            </w:pPr>
          </w:p>
        </w:tc>
      </w:tr>
    </w:tbl>
    <w:p w:rsidR="00A32067" w:rsidRDefault="00A32067" w:rsidP="00A32067">
      <w:pPr>
        <w:widowControl/>
        <w:adjustRightInd w:val="0"/>
        <w:snapToGrid w:val="0"/>
        <w:spacing w:after="200"/>
        <w:ind w:firstLineChars="100" w:firstLine="31680"/>
        <w:jc w:val="left"/>
        <w:rPr>
          <w:b/>
          <w:bCs/>
          <w:kern w:val="0"/>
          <w:sz w:val="20"/>
          <w:szCs w:val="20"/>
        </w:rPr>
      </w:pPr>
    </w:p>
    <w:p w:rsidR="00A32067" w:rsidRDefault="00A32067" w:rsidP="005431C7">
      <w:pPr>
        <w:widowControl/>
        <w:adjustRightInd w:val="0"/>
        <w:snapToGrid w:val="0"/>
        <w:spacing w:after="200"/>
        <w:ind w:firstLineChars="100" w:firstLine="31680"/>
        <w:jc w:val="left"/>
        <w:rPr>
          <w:rFonts w:eastAsia="微软雅黑"/>
          <w:b/>
          <w:bCs/>
          <w:kern w:val="0"/>
          <w:sz w:val="22"/>
          <w:szCs w:val="22"/>
        </w:rPr>
      </w:pPr>
    </w:p>
    <w:p w:rsidR="00A32067" w:rsidRDefault="00A32067" w:rsidP="005431C7">
      <w:pPr>
        <w:widowControl/>
        <w:adjustRightInd w:val="0"/>
        <w:snapToGrid w:val="0"/>
        <w:spacing w:after="200"/>
        <w:ind w:firstLineChars="100" w:firstLine="31680"/>
        <w:jc w:val="left"/>
        <w:rPr>
          <w:rFonts w:eastAsia="微软雅黑"/>
          <w:b/>
          <w:bCs/>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Q</w:t>
      </w:r>
      <w:r>
        <w:rPr>
          <w:rFonts w:ascii="Times New Roman" w:hAnsi="Times New Roman" w:hint="eastAsia"/>
          <w:b/>
          <w:bCs/>
          <w:kern w:val="2"/>
        </w:rPr>
        <w:t>、建筑安全器具</w:t>
      </w:r>
      <w:r>
        <w:rPr>
          <w:rFonts w:ascii="Times New Roman" w:hAnsi="Times New Roman" w:cs="Times New Roman"/>
          <w:b/>
          <w:bCs/>
          <w:kern w:val="2"/>
        </w:rPr>
        <w:t>:                                                 Q03</w:t>
      </w:r>
      <w:r>
        <w:rPr>
          <w:rFonts w:ascii="Times New Roman" w:hAnsi="Times New Roman" w:hint="eastAsia"/>
          <w:b/>
          <w:bCs/>
          <w:kern w:val="2"/>
        </w:rPr>
        <w:t>～</w:t>
      </w:r>
      <w:r>
        <w:rPr>
          <w:rFonts w:ascii="Times New Roman" w:hAnsi="Times New Roman" w:cs="Times New Roman"/>
          <w:b/>
          <w:bCs/>
          <w:kern w:val="2"/>
        </w:rPr>
        <w:t>Q04</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850"/>
        <w:gridCol w:w="1560"/>
        <w:gridCol w:w="992"/>
        <w:gridCol w:w="850"/>
        <w:gridCol w:w="4111"/>
      </w:tblGrid>
      <w:tr w:rsidR="00A32067">
        <w:trPr>
          <w:cantSplit/>
          <w:trHeight w:val="511"/>
          <w:jc w:val="center"/>
        </w:trPr>
        <w:tc>
          <w:tcPr>
            <w:tcW w:w="959"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850"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1560" w:type="dxa"/>
            <w:vMerge w:val="restart"/>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992"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50"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111" w:type="dxa"/>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511"/>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Merge/>
            <w:vAlign w:val="center"/>
          </w:tcPr>
          <w:p w:rsidR="00A32067" w:rsidRDefault="00A32067">
            <w:pPr>
              <w:widowControl/>
              <w:adjustRightInd w:val="0"/>
              <w:snapToGrid w:val="0"/>
              <w:spacing w:after="200"/>
              <w:jc w:val="center"/>
              <w:rPr>
                <w:kern w:val="0"/>
              </w:rPr>
            </w:pPr>
          </w:p>
        </w:tc>
        <w:tc>
          <w:tcPr>
            <w:tcW w:w="992"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4111" w:type="dxa"/>
            <w:vMerge/>
            <w:vAlign w:val="center"/>
          </w:tcPr>
          <w:p w:rsidR="00A32067" w:rsidRDefault="00A32067">
            <w:pPr>
              <w:widowControl/>
              <w:adjustRightInd w:val="0"/>
              <w:snapToGrid w:val="0"/>
              <w:spacing w:after="200"/>
              <w:jc w:val="center"/>
              <w:rPr>
                <w:kern w:val="0"/>
              </w:rPr>
            </w:pPr>
          </w:p>
        </w:tc>
      </w:tr>
      <w:tr w:rsidR="00A32067">
        <w:trPr>
          <w:cantSplit/>
          <w:trHeight w:hRule="exact" w:val="544"/>
          <w:jc w:val="center"/>
        </w:trPr>
        <w:tc>
          <w:tcPr>
            <w:tcW w:w="959" w:type="dxa"/>
            <w:vMerge w:val="restart"/>
            <w:vAlign w:val="center"/>
          </w:tcPr>
          <w:p w:rsidR="00A32067" w:rsidRDefault="00A32067">
            <w:pPr>
              <w:widowControl/>
              <w:adjustRightInd w:val="0"/>
              <w:snapToGrid w:val="0"/>
              <w:spacing w:after="200"/>
              <w:jc w:val="left"/>
              <w:rPr>
                <w:kern w:val="0"/>
              </w:rPr>
            </w:pPr>
            <w:r>
              <w:rPr>
                <w:rFonts w:cs="宋体" w:hint="eastAsia"/>
                <w:kern w:val="0"/>
              </w:rPr>
              <w:t>安全带</w:t>
            </w:r>
          </w:p>
        </w:tc>
        <w:tc>
          <w:tcPr>
            <w:tcW w:w="850" w:type="dxa"/>
            <w:vMerge w:val="restart"/>
            <w:vAlign w:val="center"/>
          </w:tcPr>
          <w:p w:rsidR="00A32067" w:rsidRDefault="00A32067">
            <w:pPr>
              <w:widowControl/>
              <w:adjustRightInd w:val="0"/>
              <w:snapToGrid w:val="0"/>
              <w:spacing w:after="200"/>
              <w:jc w:val="center"/>
              <w:rPr>
                <w:kern w:val="0"/>
              </w:rPr>
            </w:pPr>
            <w:r>
              <w:rPr>
                <w:kern w:val="0"/>
              </w:rPr>
              <w:t>Q03</w:t>
            </w: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外观质量</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15</w:t>
            </w:r>
          </w:p>
        </w:tc>
        <w:tc>
          <w:tcPr>
            <w:tcW w:w="4111" w:type="dxa"/>
            <w:vAlign w:val="center"/>
          </w:tcPr>
          <w:p w:rsidR="00A32067" w:rsidRDefault="00A32067">
            <w:pPr>
              <w:widowControl/>
              <w:adjustRightInd w:val="0"/>
              <w:snapToGrid w:val="0"/>
              <w:spacing w:after="200"/>
              <w:jc w:val="left"/>
              <w:rPr>
                <w:kern w:val="0"/>
              </w:rPr>
            </w:pPr>
            <w:r>
              <w:rPr>
                <w:rFonts w:cs="宋体" w:hint="eastAsia"/>
                <w:kern w:val="0"/>
              </w:rPr>
              <w:t>安全带必须是一整根。</w:t>
            </w:r>
          </w:p>
        </w:tc>
      </w:tr>
      <w:tr w:rsidR="00A32067">
        <w:trPr>
          <w:cantSplit/>
          <w:trHeight w:hRule="exact" w:val="509"/>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规格尺寸</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15</w:t>
            </w:r>
          </w:p>
        </w:tc>
        <w:tc>
          <w:tcPr>
            <w:tcW w:w="4111" w:type="dxa"/>
            <w:vAlign w:val="center"/>
          </w:tcPr>
          <w:p w:rsidR="00A32067" w:rsidRDefault="00A32067">
            <w:pPr>
              <w:widowControl/>
              <w:adjustRightInd w:val="0"/>
              <w:snapToGrid w:val="0"/>
              <w:spacing w:after="200"/>
              <w:jc w:val="left"/>
              <w:rPr>
                <w:kern w:val="0"/>
              </w:rPr>
            </w:pPr>
            <w:r>
              <w:rPr>
                <w:rFonts w:cs="宋体" w:hint="eastAsia"/>
                <w:kern w:val="0"/>
              </w:rPr>
              <w:t>安全带必须是一整根。</w:t>
            </w:r>
          </w:p>
        </w:tc>
      </w:tr>
      <w:tr w:rsidR="00A32067">
        <w:trPr>
          <w:cantSplit/>
          <w:trHeight w:hRule="exact" w:val="1076"/>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整体冲击</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150</w:t>
            </w:r>
          </w:p>
        </w:tc>
        <w:tc>
          <w:tcPr>
            <w:tcW w:w="4111" w:type="dxa"/>
            <w:vAlign w:val="center"/>
          </w:tcPr>
          <w:p w:rsidR="00A32067" w:rsidRDefault="00A32067">
            <w:pPr>
              <w:widowControl/>
              <w:adjustRightInd w:val="0"/>
              <w:snapToGrid w:val="0"/>
              <w:spacing w:after="200"/>
              <w:jc w:val="left"/>
              <w:rPr>
                <w:kern w:val="0"/>
              </w:rPr>
            </w:pPr>
            <w:r>
              <w:rPr>
                <w:kern w:val="0"/>
              </w:rPr>
              <w:t>3m</w:t>
            </w:r>
            <w:r>
              <w:rPr>
                <w:rFonts w:cs="宋体" w:hint="eastAsia"/>
                <w:kern w:val="0"/>
              </w:rPr>
              <w:t>以上长绳应加缓冲器联结使用。缓冲器在</w:t>
            </w:r>
            <w:r>
              <w:rPr>
                <w:kern w:val="0"/>
              </w:rPr>
              <w:t>4m</w:t>
            </w:r>
            <w:r>
              <w:rPr>
                <w:rFonts w:cs="宋体" w:hint="eastAsia"/>
                <w:kern w:val="0"/>
              </w:rPr>
              <w:t>冲距，冲击力在</w:t>
            </w:r>
            <w:r>
              <w:rPr>
                <w:kern w:val="0"/>
              </w:rPr>
              <w:t>8825.4N</w:t>
            </w:r>
            <w:r>
              <w:rPr>
                <w:rFonts w:cs="宋体" w:hint="eastAsia"/>
                <w:kern w:val="0"/>
              </w:rPr>
              <w:t>以下为合格。</w:t>
            </w:r>
          </w:p>
        </w:tc>
      </w:tr>
      <w:tr w:rsidR="00A32067">
        <w:trPr>
          <w:cantSplit/>
          <w:trHeight w:hRule="exact" w:val="566"/>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rsidP="00A32067">
            <w:pPr>
              <w:widowControl/>
              <w:adjustRightInd w:val="0"/>
              <w:snapToGrid w:val="0"/>
              <w:spacing w:after="200"/>
              <w:ind w:leftChars="-28" w:left="31680" w:rightChars="-51" w:right="31680" w:hangingChars="27" w:firstLine="31680"/>
              <w:jc w:val="left"/>
              <w:rPr>
                <w:kern w:val="0"/>
              </w:rPr>
            </w:pPr>
            <w:r>
              <w:rPr>
                <w:rFonts w:cs="宋体" w:hint="eastAsia"/>
                <w:kern w:val="0"/>
              </w:rPr>
              <w:t>整体静负荷</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150</w:t>
            </w:r>
          </w:p>
        </w:tc>
        <w:tc>
          <w:tcPr>
            <w:tcW w:w="4111" w:type="dxa"/>
            <w:vAlign w:val="center"/>
          </w:tcPr>
          <w:p w:rsidR="00A32067" w:rsidRDefault="00A32067">
            <w:pPr>
              <w:widowControl/>
              <w:adjustRightInd w:val="0"/>
              <w:snapToGrid w:val="0"/>
              <w:spacing w:after="200"/>
              <w:jc w:val="center"/>
              <w:rPr>
                <w:kern w:val="0"/>
              </w:rPr>
            </w:pPr>
          </w:p>
        </w:tc>
      </w:tr>
      <w:tr w:rsidR="00A32067">
        <w:trPr>
          <w:cantSplit/>
          <w:trHeight w:hRule="exact" w:val="560"/>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缝线试验</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90</w:t>
            </w:r>
          </w:p>
        </w:tc>
        <w:tc>
          <w:tcPr>
            <w:tcW w:w="4111" w:type="dxa"/>
            <w:vAlign w:val="center"/>
          </w:tcPr>
          <w:p w:rsidR="00A32067" w:rsidRDefault="00A32067">
            <w:pPr>
              <w:widowControl/>
              <w:adjustRightInd w:val="0"/>
              <w:snapToGrid w:val="0"/>
              <w:spacing w:after="200"/>
              <w:jc w:val="left"/>
              <w:rPr>
                <w:kern w:val="0"/>
              </w:rPr>
            </w:pPr>
            <w:r>
              <w:rPr>
                <w:rFonts w:cs="宋体" w:hint="eastAsia"/>
                <w:kern w:val="0"/>
              </w:rPr>
              <w:t>要求破断负荷为：</w:t>
            </w:r>
            <w:r>
              <w:rPr>
                <w:kern w:val="0"/>
              </w:rPr>
              <w:t>156.8N</w:t>
            </w:r>
          </w:p>
        </w:tc>
      </w:tr>
      <w:tr w:rsidR="00A32067">
        <w:trPr>
          <w:cantSplit/>
          <w:trHeight w:hRule="exact" w:val="724"/>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rsidP="00A32067">
            <w:pPr>
              <w:widowControl/>
              <w:adjustRightInd w:val="0"/>
              <w:snapToGrid w:val="0"/>
              <w:spacing w:after="200"/>
              <w:ind w:left="31680" w:hangingChars="150" w:firstLine="31680"/>
              <w:jc w:val="left"/>
              <w:rPr>
                <w:kern w:val="0"/>
              </w:rPr>
            </w:pPr>
            <w:r>
              <w:rPr>
                <w:rFonts w:cs="宋体" w:hint="eastAsia"/>
                <w:kern w:val="0"/>
              </w:rPr>
              <w:t>金属配件静负荷</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项</w:t>
            </w:r>
          </w:p>
        </w:tc>
        <w:tc>
          <w:tcPr>
            <w:tcW w:w="850" w:type="dxa"/>
            <w:vAlign w:val="center"/>
          </w:tcPr>
          <w:p w:rsidR="00A32067" w:rsidRDefault="00A32067">
            <w:pPr>
              <w:widowControl/>
              <w:adjustRightInd w:val="0"/>
              <w:snapToGrid w:val="0"/>
              <w:spacing w:after="200"/>
              <w:jc w:val="center"/>
              <w:rPr>
                <w:kern w:val="0"/>
              </w:rPr>
            </w:pPr>
            <w:r>
              <w:rPr>
                <w:kern w:val="0"/>
              </w:rPr>
              <w:t>90</w:t>
            </w:r>
          </w:p>
        </w:tc>
        <w:tc>
          <w:tcPr>
            <w:tcW w:w="4111" w:type="dxa"/>
            <w:vAlign w:val="center"/>
          </w:tcPr>
          <w:p w:rsidR="00A32067" w:rsidRDefault="00A32067">
            <w:pPr>
              <w:widowControl/>
              <w:adjustRightInd w:val="0"/>
              <w:snapToGrid w:val="0"/>
              <w:spacing w:after="200"/>
              <w:jc w:val="left"/>
              <w:rPr>
                <w:kern w:val="0"/>
              </w:rPr>
            </w:pPr>
          </w:p>
        </w:tc>
      </w:tr>
      <w:tr w:rsidR="00A32067">
        <w:trPr>
          <w:cantSplit/>
          <w:trHeight w:val="545"/>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带绳静负荷</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项</w:t>
            </w:r>
          </w:p>
        </w:tc>
        <w:tc>
          <w:tcPr>
            <w:tcW w:w="850" w:type="dxa"/>
            <w:vAlign w:val="center"/>
          </w:tcPr>
          <w:p w:rsidR="00A32067" w:rsidRDefault="00A32067">
            <w:pPr>
              <w:widowControl/>
              <w:adjustRightInd w:val="0"/>
              <w:snapToGrid w:val="0"/>
              <w:spacing w:after="200"/>
              <w:jc w:val="center"/>
              <w:rPr>
                <w:kern w:val="0"/>
              </w:rPr>
            </w:pPr>
            <w:r>
              <w:rPr>
                <w:kern w:val="0"/>
              </w:rPr>
              <w:t>90</w:t>
            </w:r>
          </w:p>
        </w:tc>
        <w:tc>
          <w:tcPr>
            <w:tcW w:w="4111" w:type="dxa"/>
            <w:vAlign w:val="center"/>
          </w:tcPr>
          <w:p w:rsidR="00A32067" w:rsidRDefault="00A32067">
            <w:pPr>
              <w:widowControl/>
              <w:adjustRightInd w:val="0"/>
              <w:snapToGrid w:val="0"/>
              <w:spacing w:after="200"/>
              <w:jc w:val="left"/>
              <w:rPr>
                <w:kern w:val="0"/>
              </w:rPr>
            </w:pPr>
          </w:p>
        </w:tc>
      </w:tr>
      <w:tr w:rsidR="00A32067">
        <w:trPr>
          <w:cantSplit/>
          <w:trHeight w:val="474"/>
          <w:jc w:val="center"/>
        </w:trPr>
        <w:tc>
          <w:tcPr>
            <w:tcW w:w="959" w:type="dxa"/>
            <w:vMerge w:val="restart"/>
            <w:vAlign w:val="center"/>
          </w:tcPr>
          <w:p w:rsidR="00A32067" w:rsidRDefault="00A32067">
            <w:pPr>
              <w:widowControl/>
              <w:adjustRightInd w:val="0"/>
              <w:snapToGrid w:val="0"/>
              <w:spacing w:after="200"/>
              <w:jc w:val="center"/>
              <w:rPr>
                <w:kern w:val="0"/>
              </w:rPr>
            </w:pPr>
            <w:r>
              <w:rPr>
                <w:rFonts w:cs="宋体" w:hint="eastAsia"/>
                <w:kern w:val="0"/>
              </w:rPr>
              <w:t>安</w:t>
            </w:r>
          </w:p>
          <w:p w:rsidR="00A32067" w:rsidRDefault="00A32067">
            <w:pPr>
              <w:widowControl/>
              <w:adjustRightInd w:val="0"/>
              <w:snapToGrid w:val="0"/>
              <w:spacing w:after="200"/>
              <w:jc w:val="center"/>
              <w:rPr>
                <w:kern w:val="0"/>
              </w:rPr>
            </w:pPr>
          </w:p>
          <w:p w:rsidR="00A32067" w:rsidRDefault="00A32067">
            <w:pPr>
              <w:widowControl/>
              <w:adjustRightInd w:val="0"/>
              <w:snapToGrid w:val="0"/>
              <w:spacing w:after="200"/>
              <w:jc w:val="center"/>
              <w:rPr>
                <w:kern w:val="0"/>
              </w:rPr>
            </w:pPr>
            <w:r>
              <w:rPr>
                <w:rFonts w:cs="宋体" w:hint="eastAsia"/>
                <w:kern w:val="0"/>
              </w:rPr>
              <w:t>全</w:t>
            </w:r>
          </w:p>
          <w:p w:rsidR="00A32067" w:rsidRDefault="00A32067">
            <w:pPr>
              <w:widowControl/>
              <w:adjustRightInd w:val="0"/>
              <w:snapToGrid w:val="0"/>
              <w:spacing w:after="200"/>
              <w:jc w:val="center"/>
              <w:rPr>
                <w:kern w:val="0"/>
              </w:rPr>
            </w:pPr>
          </w:p>
          <w:p w:rsidR="00A32067" w:rsidRDefault="00A32067">
            <w:pPr>
              <w:widowControl/>
              <w:adjustRightInd w:val="0"/>
              <w:snapToGrid w:val="0"/>
              <w:spacing w:after="200"/>
              <w:jc w:val="center"/>
              <w:rPr>
                <w:kern w:val="0"/>
              </w:rPr>
            </w:pPr>
            <w:r>
              <w:rPr>
                <w:rFonts w:cs="宋体" w:hint="eastAsia"/>
                <w:kern w:val="0"/>
              </w:rPr>
              <w:t>帽</w:t>
            </w:r>
          </w:p>
        </w:tc>
        <w:tc>
          <w:tcPr>
            <w:tcW w:w="850" w:type="dxa"/>
            <w:vMerge w:val="restart"/>
            <w:vAlign w:val="center"/>
          </w:tcPr>
          <w:p w:rsidR="00A32067" w:rsidRDefault="00A32067">
            <w:pPr>
              <w:widowControl/>
              <w:adjustRightInd w:val="0"/>
              <w:snapToGrid w:val="0"/>
              <w:spacing w:after="200"/>
              <w:jc w:val="center"/>
              <w:rPr>
                <w:kern w:val="0"/>
              </w:rPr>
            </w:pPr>
            <w:r>
              <w:rPr>
                <w:kern w:val="0"/>
              </w:rPr>
              <w:t>Q04</w:t>
            </w: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外观结构</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p w:rsidR="00A32067" w:rsidRDefault="00A32067">
            <w:pPr>
              <w:widowControl/>
              <w:adjustRightInd w:val="0"/>
              <w:snapToGrid w:val="0"/>
              <w:spacing w:after="200"/>
              <w:jc w:val="center"/>
              <w:rPr>
                <w:kern w:val="0"/>
              </w:rPr>
            </w:pPr>
            <w:r>
              <w:rPr>
                <w:kern w:val="0"/>
              </w:rPr>
              <w:t>(10</w:t>
            </w:r>
            <w:r>
              <w:rPr>
                <w:rFonts w:cs="宋体" w:hint="eastAsia"/>
                <w:kern w:val="0"/>
              </w:rPr>
              <w:t>个</w:t>
            </w:r>
            <w:r>
              <w:rPr>
                <w:kern w:val="0"/>
              </w:rPr>
              <w:t>)</w:t>
            </w:r>
          </w:p>
        </w:tc>
        <w:tc>
          <w:tcPr>
            <w:tcW w:w="850" w:type="dxa"/>
            <w:vAlign w:val="center"/>
          </w:tcPr>
          <w:p w:rsidR="00A32067" w:rsidRDefault="00A32067">
            <w:pPr>
              <w:widowControl/>
              <w:adjustRightInd w:val="0"/>
              <w:snapToGrid w:val="0"/>
              <w:spacing w:after="200"/>
              <w:jc w:val="center"/>
              <w:rPr>
                <w:kern w:val="0"/>
              </w:rPr>
            </w:pPr>
            <w:r>
              <w:rPr>
                <w:kern w:val="0"/>
              </w:rPr>
              <w:t>15</w:t>
            </w:r>
          </w:p>
        </w:tc>
        <w:tc>
          <w:tcPr>
            <w:tcW w:w="4111" w:type="dxa"/>
            <w:vAlign w:val="center"/>
          </w:tcPr>
          <w:p w:rsidR="00A32067" w:rsidRDefault="00A32067">
            <w:pPr>
              <w:widowControl/>
              <w:adjustRightInd w:val="0"/>
              <w:snapToGrid w:val="0"/>
              <w:spacing w:after="200"/>
              <w:jc w:val="left"/>
              <w:rPr>
                <w:kern w:val="0"/>
              </w:rPr>
            </w:pPr>
          </w:p>
        </w:tc>
      </w:tr>
      <w:tr w:rsidR="00A32067">
        <w:trPr>
          <w:cantSplit/>
          <w:trHeight w:val="571"/>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规格尺寸</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20</w:t>
            </w:r>
          </w:p>
        </w:tc>
        <w:tc>
          <w:tcPr>
            <w:tcW w:w="4111" w:type="dxa"/>
            <w:vAlign w:val="center"/>
          </w:tcPr>
          <w:p w:rsidR="00A32067" w:rsidRDefault="00A32067">
            <w:pPr>
              <w:widowControl/>
              <w:adjustRightInd w:val="0"/>
              <w:snapToGrid w:val="0"/>
              <w:spacing w:after="200"/>
              <w:jc w:val="center"/>
              <w:rPr>
                <w:kern w:val="0"/>
              </w:rPr>
            </w:pPr>
          </w:p>
        </w:tc>
      </w:tr>
      <w:tr w:rsidR="00A32067">
        <w:trPr>
          <w:cantSplit/>
          <w:trHeight w:val="976"/>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rsidP="00A32067">
            <w:pPr>
              <w:widowControl/>
              <w:adjustRightInd w:val="0"/>
              <w:snapToGrid w:val="0"/>
              <w:spacing w:after="200"/>
              <w:ind w:left="31680" w:hangingChars="100" w:firstLine="31680"/>
              <w:jc w:val="left"/>
              <w:rPr>
                <w:kern w:val="0"/>
              </w:rPr>
            </w:pPr>
            <w:r>
              <w:rPr>
                <w:rFonts w:cs="宋体" w:hint="eastAsia"/>
                <w:kern w:val="0"/>
              </w:rPr>
              <w:t>及重量冲击吸收性能</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p w:rsidR="00A32067" w:rsidRDefault="00A32067">
            <w:pPr>
              <w:widowControl/>
              <w:adjustRightInd w:val="0"/>
              <w:snapToGrid w:val="0"/>
              <w:spacing w:after="200"/>
              <w:jc w:val="center"/>
              <w:rPr>
                <w:kern w:val="0"/>
              </w:rPr>
            </w:pPr>
            <w:r>
              <w:rPr>
                <w:kern w:val="0"/>
              </w:rPr>
              <w:t>(10</w:t>
            </w:r>
            <w:r>
              <w:rPr>
                <w:rFonts w:cs="宋体" w:hint="eastAsia"/>
                <w:kern w:val="0"/>
              </w:rPr>
              <w:t>个</w:t>
            </w:r>
            <w:r>
              <w:rPr>
                <w:kern w:val="0"/>
              </w:rPr>
              <w:t>)</w:t>
            </w:r>
          </w:p>
        </w:tc>
        <w:tc>
          <w:tcPr>
            <w:tcW w:w="850" w:type="dxa"/>
            <w:vAlign w:val="center"/>
          </w:tcPr>
          <w:p w:rsidR="00A32067" w:rsidRDefault="00A32067">
            <w:pPr>
              <w:widowControl/>
              <w:adjustRightInd w:val="0"/>
              <w:snapToGrid w:val="0"/>
              <w:spacing w:after="200"/>
              <w:jc w:val="center"/>
              <w:rPr>
                <w:kern w:val="0"/>
              </w:rPr>
            </w:pPr>
          </w:p>
          <w:p w:rsidR="00A32067" w:rsidRDefault="00A32067">
            <w:pPr>
              <w:widowControl/>
              <w:adjustRightInd w:val="0"/>
              <w:snapToGrid w:val="0"/>
              <w:spacing w:after="200"/>
              <w:jc w:val="center"/>
              <w:rPr>
                <w:kern w:val="0"/>
              </w:rPr>
            </w:pPr>
            <w:r>
              <w:rPr>
                <w:kern w:val="0"/>
              </w:rPr>
              <w:t>300</w:t>
            </w:r>
          </w:p>
        </w:tc>
        <w:tc>
          <w:tcPr>
            <w:tcW w:w="4111" w:type="dxa"/>
            <w:vAlign w:val="center"/>
          </w:tcPr>
          <w:p w:rsidR="00A32067" w:rsidRDefault="00A32067">
            <w:pPr>
              <w:widowControl/>
              <w:adjustRightInd w:val="0"/>
              <w:snapToGrid w:val="0"/>
              <w:spacing w:after="200"/>
              <w:jc w:val="left"/>
              <w:rPr>
                <w:kern w:val="0"/>
              </w:rPr>
            </w:pPr>
            <w:r>
              <w:rPr>
                <w:rFonts w:cs="宋体" w:hint="eastAsia"/>
                <w:kern w:val="0"/>
              </w:rPr>
              <w:t>用于煤矿各种环境的安全帽收费相同。</w:t>
            </w:r>
          </w:p>
        </w:tc>
      </w:tr>
      <w:tr w:rsidR="00A32067">
        <w:trPr>
          <w:cantSplit/>
          <w:trHeight w:val="772"/>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left"/>
              <w:rPr>
                <w:kern w:val="0"/>
              </w:rPr>
            </w:pPr>
            <w:r>
              <w:rPr>
                <w:rFonts w:cs="宋体" w:hint="eastAsia"/>
                <w:kern w:val="0"/>
              </w:rPr>
              <w:t>耐穿刺性能</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100</w:t>
            </w:r>
          </w:p>
        </w:tc>
        <w:tc>
          <w:tcPr>
            <w:tcW w:w="4111" w:type="dxa"/>
            <w:vAlign w:val="center"/>
          </w:tcPr>
          <w:p w:rsidR="00A32067" w:rsidRDefault="00A32067">
            <w:pPr>
              <w:widowControl/>
              <w:adjustRightInd w:val="0"/>
              <w:snapToGrid w:val="0"/>
              <w:spacing w:after="200"/>
              <w:jc w:val="center"/>
              <w:rPr>
                <w:kern w:val="0"/>
              </w:rPr>
            </w:pPr>
            <w:r>
              <w:rPr>
                <w:rFonts w:cs="宋体" w:hint="eastAsia"/>
                <w:kern w:val="0"/>
              </w:rPr>
              <w:t>同上</w:t>
            </w:r>
          </w:p>
        </w:tc>
      </w:tr>
      <w:tr w:rsidR="00A32067">
        <w:trPr>
          <w:cantSplit/>
          <w:trHeight w:val="599"/>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阻燃性能</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50</w:t>
            </w:r>
          </w:p>
        </w:tc>
        <w:tc>
          <w:tcPr>
            <w:tcW w:w="4111" w:type="dxa"/>
            <w:vAlign w:val="center"/>
          </w:tcPr>
          <w:p w:rsidR="00A32067" w:rsidRDefault="00A32067">
            <w:pPr>
              <w:widowControl/>
              <w:adjustRightInd w:val="0"/>
              <w:snapToGrid w:val="0"/>
              <w:spacing w:after="200"/>
              <w:jc w:val="center"/>
              <w:rPr>
                <w:kern w:val="0"/>
              </w:rPr>
            </w:pPr>
            <w:r>
              <w:rPr>
                <w:rFonts w:cs="宋体" w:hint="eastAsia"/>
                <w:kern w:val="0"/>
              </w:rPr>
              <w:t>同上</w:t>
            </w:r>
          </w:p>
        </w:tc>
      </w:tr>
      <w:tr w:rsidR="00A32067">
        <w:trPr>
          <w:cantSplit/>
          <w:trHeight w:val="607"/>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侧向刚性</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75</w:t>
            </w:r>
          </w:p>
        </w:tc>
        <w:tc>
          <w:tcPr>
            <w:tcW w:w="4111" w:type="dxa"/>
            <w:vAlign w:val="center"/>
          </w:tcPr>
          <w:p w:rsidR="00A32067" w:rsidRDefault="00A32067">
            <w:pPr>
              <w:widowControl/>
              <w:adjustRightInd w:val="0"/>
              <w:snapToGrid w:val="0"/>
              <w:spacing w:after="200"/>
              <w:jc w:val="center"/>
              <w:rPr>
                <w:kern w:val="0"/>
              </w:rPr>
            </w:pPr>
            <w:r>
              <w:rPr>
                <w:rFonts w:cs="宋体" w:hint="eastAsia"/>
                <w:kern w:val="0"/>
              </w:rPr>
              <w:t>同上</w:t>
            </w:r>
          </w:p>
        </w:tc>
      </w:tr>
      <w:tr w:rsidR="00A32067">
        <w:trPr>
          <w:cantSplit/>
          <w:trHeight w:val="569"/>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电器绝缘性能</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150</w:t>
            </w:r>
          </w:p>
        </w:tc>
        <w:tc>
          <w:tcPr>
            <w:tcW w:w="4111" w:type="dxa"/>
            <w:vAlign w:val="center"/>
          </w:tcPr>
          <w:p w:rsidR="00A32067" w:rsidRDefault="00A32067">
            <w:pPr>
              <w:widowControl/>
              <w:adjustRightInd w:val="0"/>
              <w:snapToGrid w:val="0"/>
              <w:spacing w:after="200"/>
              <w:jc w:val="center"/>
              <w:rPr>
                <w:kern w:val="0"/>
              </w:rPr>
            </w:pPr>
            <w:r>
              <w:rPr>
                <w:rFonts w:cs="宋体" w:hint="eastAsia"/>
                <w:kern w:val="0"/>
              </w:rPr>
              <w:t>同上</w:t>
            </w:r>
          </w:p>
        </w:tc>
      </w:tr>
      <w:tr w:rsidR="00A32067">
        <w:trPr>
          <w:cantSplit/>
          <w:trHeight w:val="1374"/>
          <w:jc w:val="center"/>
        </w:trPr>
        <w:tc>
          <w:tcPr>
            <w:tcW w:w="959" w:type="dxa"/>
            <w:vMerge/>
            <w:vAlign w:val="center"/>
          </w:tcPr>
          <w:p w:rsidR="00A32067" w:rsidRDefault="00A32067">
            <w:pPr>
              <w:widowControl/>
              <w:adjustRightInd w:val="0"/>
              <w:snapToGrid w:val="0"/>
              <w:spacing w:after="200"/>
              <w:jc w:val="center"/>
              <w:rPr>
                <w:kern w:val="0"/>
              </w:rPr>
            </w:pPr>
          </w:p>
        </w:tc>
        <w:tc>
          <w:tcPr>
            <w:tcW w:w="850" w:type="dxa"/>
            <w:vMerge/>
            <w:vAlign w:val="center"/>
          </w:tcPr>
          <w:p w:rsidR="00A32067" w:rsidRDefault="00A32067">
            <w:pPr>
              <w:widowControl/>
              <w:adjustRightInd w:val="0"/>
              <w:snapToGrid w:val="0"/>
              <w:spacing w:after="200"/>
              <w:jc w:val="center"/>
              <w:rPr>
                <w:kern w:val="0"/>
              </w:rPr>
            </w:pPr>
          </w:p>
        </w:tc>
        <w:tc>
          <w:tcPr>
            <w:tcW w:w="1560" w:type="dxa"/>
            <w:vAlign w:val="center"/>
          </w:tcPr>
          <w:p w:rsidR="00A32067" w:rsidRDefault="00A32067">
            <w:pPr>
              <w:widowControl/>
              <w:adjustRightInd w:val="0"/>
              <w:snapToGrid w:val="0"/>
              <w:spacing w:after="200"/>
              <w:jc w:val="center"/>
              <w:rPr>
                <w:kern w:val="0"/>
              </w:rPr>
            </w:pPr>
            <w:r>
              <w:rPr>
                <w:rFonts w:cs="宋体" w:hint="eastAsia"/>
                <w:kern w:val="0"/>
              </w:rPr>
              <w:t>抗静电</w:t>
            </w:r>
          </w:p>
          <w:p w:rsidR="00A32067" w:rsidRDefault="00A32067">
            <w:pPr>
              <w:widowControl/>
              <w:adjustRightInd w:val="0"/>
              <w:snapToGrid w:val="0"/>
              <w:spacing w:after="200"/>
              <w:jc w:val="center"/>
              <w:rPr>
                <w:kern w:val="0"/>
              </w:rPr>
            </w:pPr>
            <w:r>
              <w:rPr>
                <w:rFonts w:cs="宋体" w:hint="eastAsia"/>
                <w:kern w:val="0"/>
              </w:rPr>
              <w:t>性能</w:t>
            </w:r>
          </w:p>
        </w:tc>
        <w:tc>
          <w:tcPr>
            <w:tcW w:w="992" w:type="dxa"/>
            <w:vAlign w:val="center"/>
          </w:tcPr>
          <w:p w:rsidR="00A32067" w:rsidRDefault="00A32067">
            <w:pPr>
              <w:widowControl/>
              <w:adjustRightInd w:val="0"/>
              <w:snapToGrid w:val="0"/>
              <w:spacing w:after="200"/>
              <w:jc w:val="center"/>
              <w:rPr>
                <w:kern w:val="0"/>
              </w:rPr>
            </w:pPr>
            <w:r>
              <w:rPr>
                <w:rFonts w:cs="宋体" w:hint="eastAsia"/>
                <w:kern w:val="0"/>
              </w:rPr>
              <w:t>组</w:t>
            </w:r>
          </w:p>
        </w:tc>
        <w:tc>
          <w:tcPr>
            <w:tcW w:w="850" w:type="dxa"/>
            <w:vAlign w:val="center"/>
          </w:tcPr>
          <w:p w:rsidR="00A32067" w:rsidRDefault="00A32067">
            <w:pPr>
              <w:widowControl/>
              <w:adjustRightInd w:val="0"/>
              <w:snapToGrid w:val="0"/>
              <w:spacing w:after="200"/>
              <w:jc w:val="center"/>
              <w:rPr>
                <w:kern w:val="0"/>
              </w:rPr>
            </w:pPr>
            <w:r>
              <w:rPr>
                <w:kern w:val="0"/>
              </w:rPr>
              <w:t>75</w:t>
            </w:r>
          </w:p>
        </w:tc>
        <w:tc>
          <w:tcPr>
            <w:tcW w:w="4111" w:type="dxa"/>
            <w:vAlign w:val="center"/>
          </w:tcPr>
          <w:p w:rsidR="00A32067" w:rsidRDefault="00A32067">
            <w:pPr>
              <w:widowControl/>
              <w:adjustRightInd w:val="0"/>
              <w:snapToGrid w:val="0"/>
              <w:spacing w:after="200"/>
              <w:jc w:val="left"/>
              <w:rPr>
                <w:kern w:val="0"/>
              </w:rPr>
            </w:pPr>
            <w:r>
              <w:rPr>
                <w:rFonts w:cs="宋体" w:hint="eastAsia"/>
                <w:kern w:val="0"/>
              </w:rPr>
              <w:t>调换电极复测平行差</w:t>
            </w:r>
            <w:r>
              <w:rPr>
                <w:rFonts w:ascii="宋体" w:hAnsi="宋体" w:cs="宋体" w:hint="eastAsia"/>
                <w:kern w:val="0"/>
              </w:rPr>
              <w:t>≯</w:t>
            </w:r>
            <w:r>
              <w:rPr>
                <w:kern w:val="0"/>
              </w:rPr>
              <w:t>10%</w:t>
            </w:r>
            <w:r>
              <w:rPr>
                <w:rFonts w:cs="宋体" w:hint="eastAsia"/>
                <w:kern w:val="0"/>
              </w:rPr>
              <w:t>，</w:t>
            </w:r>
          </w:p>
        </w:tc>
      </w:tr>
    </w:tbl>
    <w:p w:rsidR="00A32067" w:rsidRDefault="00A32067">
      <w:pPr>
        <w:widowControl/>
        <w:adjustRightInd w:val="0"/>
        <w:snapToGrid w:val="0"/>
        <w:spacing w:after="200"/>
        <w:jc w:val="left"/>
        <w:rPr>
          <w:rFonts w:eastAsia="微软雅黑"/>
          <w:b/>
          <w:bCs/>
          <w:kern w:val="0"/>
          <w:sz w:val="22"/>
          <w:szCs w:val="22"/>
        </w:rPr>
      </w:pPr>
    </w:p>
    <w:p w:rsidR="00A32067" w:rsidRDefault="00A32067" w:rsidP="005431C7">
      <w:pPr>
        <w:widowControl/>
        <w:adjustRightInd w:val="0"/>
        <w:snapToGrid w:val="0"/>
        <w:spacing w:after="200"/>
        <w:ind w:firstLineChars="100" w:firstLine="31680"/>
        <w:jc w:val="left"/>
        <w:rPr>
          <w:rFonts w:eastAsia="微软雅黑"/>
          <w:b/>
          <w:bCs/>
          <w:kern w:val="0"/>
          <w:sz w:val="22"/>
          <w:szCs w:val="22"/>
        </w:rPr>
      </w:pPr>
    </w:p>
    <w:p w:rsidR="00A32067" w:rsidRDefault="00A32067" w:rsidP="005431C7">
      <w:pPr>
        <w:widowControl/>
        <w:adjustRightInd w:val="0"/>
        <w:snapToGrid w:val="0"/>
        <w:spacing w:after="200"/>
        <w:ind w:firstLineChars="100" w:firstLine="31680"/>
        <w:jc w:val="left"/>
        <w:rPr>
          <w:rFonts w:eastAsia="微软雅黑"/>
          <w:b/>
          <w:bCs/>
          <w:kern w:val="0"/>
          <w:sz w:val="22"/>
          <w:szCs w:val="22"/>
        </w:rPr>
      </w:pPr>
    </w:p>
    <w:p w:rsidR="00A32067" w:rsidRDefault="00A32067" w:rsidP="005431C7">
      <w:pPr>
        <w:widowControl/>
        <w:adjustRightInd w:val="0"/>
        <w:snapToGrid w:val="0"/>
        <w:spacing w:after="200"/>
        <w:ind w:firstLineChars="100" w:firstLine="31680"/>
        <w:jc w:val="left"/>
        <w:rPr>
          <w:rFonts w:eastAsia="微软雅黑"/>
          <w:b/>
          <w:bCs/>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R</w:t>
      </w:r>
      <w:r>
        <w:rPr>
          <w:rFonts w:ascii="Times New Roman" w:hAnsi="Times New Roman" w:hint="eastAsia"/>
          <w:b/>
          <w:bCs/>
          <w:kern w:val="2"/>
        </w:rPr>
        <w:t>、仪器设备鉴定</w:t>
      </w:r>
      <w:r>
        <w:rPr>
          <w:rFonts w:ascii="Times New Roman" w:hAnsi="Times New Roman" w:cs="Times New Roman"/>
          <w:b/>
          <w:bCs/>
          <w:kern w:val="2"/>
        </w:rPr>
        <w:t>:                                                      R01</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959"/>
        <w:gridCol w:w="781"/>
        <w:gridCol w:w="840"/>
        <w:gridCol w:w="4260"/>
      </w:tblGrid>
      <w:tr w:rsidR="00A32067">
        <w:trPr>
          <w:cantSplit/>
          <w:trHeight w:val="485"/>
          <w:jc w:val="center"/>
        </w:trPr>
        <w:tc>
          <w:tcPr>
            <w:tcW w:w="1008" w:type="dxa"/>
            <w:vMerge w:val="restart"/>
            <w:vAlign w:val="center"/>
          </w:tcPr>
          <w:p w:rsidR="00A32067" w:rsidRDefault="00A32067">
            <w:pPr>
              <w:widowControl/>
              <w:adjustRightInd w:val="0"/>
              <w:snapToGrid w:val="0"/>
              <w:spacing w:after="200"/>
              <w:jc w:val="center"/>
              <w:rPr>
                <w:kern w:val="0"/>
              </w:rPr>
            </w:pPr>
            <w:r>
              <w:rPr>
                <w:rFonts w:cs="宋体" w:hint="eastAsia"/>
                <w:kern w:val="0"/>
              </w:rPr>
              <w:t>类别</w:t>
            </w:r>
          </w:p>
        </w:tc>
        <w:tc>
          <w:tcPr>
            <w:tcW w:w="1260" w:type="dxa"/>
            <w:vMerge w:val="restart"/>
            <w:vAlign w:val="center"/>
          </w:tcPr>
          <w:p w:rsidR="00A32067" w:rsidRDefault="00A32067">
            <w:pPr>
              <w:widowControl/>
              <w:adjustRightInd w:val="0"/>
              <w:snapToGrid w:val="0"/>
              <w:spacing w:after="200"/>
              <w:jc w:val="center"/>
              <w:rPr>
                <w:kern w:val="0"/>
              </w:rPr>
            </w:pPr>
            <w:r>
              <w:rPr>
                <w:rFonts w:cs="宋体" w:hint="eastAsia"/>
                <w:kern w:val="0"/>
              </w:rPr>
              <w:t>序号</w:t>
            </w:r>
          </w:p>
        </w:tc>
        <w:tc>
          <w:tcPr>
            <w:tcW w:w="959" w:type="dxa"/>
            <w:vMerge w:val="restart"/>
            <w:vAlign w:val="center"/>
          </w:tcPr>
          <w:p w:rsidR="00A32067" w:rsidRDefault="00A32067" w:rsidP="00A32067">
            <w:pPr>
              <w:widowControl/>
              <w:adjustRightInd w:val="0"/>
              <w:snapToGrid w:val="0"/>
              <w:spacing w:after="200"/>
              <w:ind w:leftChars="-32" w:left="31680" w:rightChars="-72" w:right="31680" w:hangingChars="32" w:firstLine="31680"/>
              <w:jc w:val="center"/>
              <w:rPr>
                <w:kern w:val="0"/>
              </w:rPr>
            </w:pPr>
            <w:r>
              <w:rPr>
                <w:rFonts w:cs="宋体" w:hint="eastAsia"/>
                <w:kern w:val="0"/>
              </w:rPr>
              <w:t>测试项目</w:t>
            </w:r>
          </w:p>
        </w:tc>
        <w:tc>
          <w:tcPr>
            <w:tcW w:w="781" w:type="dxa"/>
            <w:vMerge w:val="restart"/>
            <w:vAlign w:val="center"/>
          </w:tcPr>
          <w:p w:rsidR="00A32067" w:rsidRDefault="00A32067">
            <w:pPr>
              <w:widowControl/>
              <w:adjustRightInd w:val="0"/>
              <w:snapToGrid w:val="0"/>
              <w:spacing w:after="200"/>
              <w:jc w:val="center"/>
              <w:rPr>
                <w:kern w:val="0"/>
              </w:rPr>
            </w:pPr>
            <w:r>
              <w:rPr>
                <w:rFonts w:cs="宋体" w:hint="eastAsia"/>
                <w:kern w:val="0"/>
              </w:rPr>
              <w:t>单位</w:t>
            </w:r>
          </w:p>
        </w:tc>
        <w:tc>
          <w:tcPr>
            <w:tcW w:w="840" w:type="dxa"/>
            <w:vMerge w:val="restart"/>
            <w:vAlign w:val="center"/>
          </w:tcPr>
          <w:p w:rsidR="00A32067" w:rsidRDefault="00A32067">
            <w:pPr>
              <w:widowControl/>
              <w:adjustRightInd w:val="0"/>
              <w:snapToGrid w:val="0"/>
              <w:spacing w:after="200"/>
              <w:jc w:val="center"/>
              <w:rPr>
                <w:kern w:val="0"/>
              </w:rPr>
            </w:pPr>
            <w:r>
              <w:rPr>
                <w:rFonts w:cs="宋体" w:hint="eastAsia"/>
                <w:kern w:val="0"/>
              </w:rPr>
              <w:t>基价</w:t>
            </w:r>
          </w:p>
          <w:p w:rsidR="00A32067" w:rsidRDefault="00A32067">
            <w:pPr>
              <w:widowControl/>
              <w:adjustRightInd w:val="0"/>
              <w:snapToGrid w:val="0"/>
              <w:spacing w:after="200"/>
              <w:jc w:val="center"/>
              <w:rPr>
                <w:kern w:val="0"/>
              </w:rPr>
            </w:pPr>
            <w:r>
              <w:rPr>
                <w:rFonts w:cs="宋体" w:hint="eastAsia"/>
                <w:kern w:val="0"/>
              </w:rPr>
              <w:t>（元）</w:t>
            </w:r>
          </w:p>
        </w:tc>
        <w:tc>
          <w:tcPr>
            <w:tcW w:w="4260" w:type="dxa"/>
            <w:vMerge w:val="restart"/>
            <w:vAlign w:val="center"/>
          </w:tcPr>
          <w:p w:rsidR="00A32067" w:rsidRDefault="00A32067">
            <w:pPr>
              <w:widowControl/>
              <w:adjustRightInd w:val="0"/>
              <w:snapToGrid w:val="0"/>
              <w:spacing w:after="200"/>
              <w:jc w:val="center"/>
              <w:rPr>
                <w:kern w:val="0"/>
              </w:rPr>
            </w:pPr>
            <w:r>
              <w:rPr>
                <w:rFonts w:cs="宋体" w:hint="eastAsia"/>
                <w:kern w:val="0"/>
              </w:rPr>
              <w:t>备注</w:t>
            </w:r>
          </w:p>
        </w:tc>
      </w:tr>
      <w:tr w:rsidR="00A32067">
        <w:trPr>
          <w:cantSplit/>
          <w:trHeight w:val="485"/>
          <w:jc w:val="center"/>
        </w:trPr>
        <w:tc>
          <w:tcPr>
            <w:tcW w:w="1008" w:type="dxa"/>
            <w:vMerge/>
            <w:vAlign w:val="center"/>
          </w:tcPr>
          <w:p w:rsidR="00A32067" w:rsidRDefault="00A32067">
            <w:pPr>
              <w:widowControl/>
              <w:adjustRightInd w:val="0"/>
              <w:snapToGrid w:val="0"/>
              <w:spacing w:after="200"/>
              <w:jc w:val="center"/>
              <w:rPr>
                <w:kern w:val="0"/>
              </w:rPr>
            </w:pPr>
          </w:p>
        </w:tc>
        <w:tc>
          <w:tcPr>
            <w:tcW w:w="1260" w:type="dxa"/>
            <w:vMerge/>
            <w:vAlign w:val="center"/>
          </w:tcPr>
          <w:p w:rsidR="00A32067" w:rsidRDefault="00A32067">
            <w:pPr>
              <w:widowControl/>
              <w:adjustRightInd w:val="0"/>
              <w:snapToGrid w:val="0"/>
              <w:spacing w:after="200"/>
              <w:jc w:val="center"/>
              <w:rPr>
                <w:kern w:val="0"/>
              </w:rPr>
            </w:pPr>
          </w:p>
        </w:tc>
        <w:tc>
          <w:tcPr>
            <w:tcW w:w="959" w:type="dxa"/>
            <w:vMerge/>
            <w:vAlign w:val="center"/>
          </w:tcPr>
          <w:p w:rsidR="00A32067" w:rsidRDefault="00A32067">
            <w:pPr>
              <w:widowControl/>
              <w:adjustRightInd w:val="0"/>
              <w:snapToGrid w:val="0"/>
              <w:spacing w:after="200"/>
              <w:jc w:val="center"/>
              <w:rPr>
                <w:kern w:val="0"/>
              </w:rPr>
            </w:pPr>
          </w:p>
        </w:tc>
        <w:tc>
          <w:tcPr>
            <w:tcW w:w="781" w:type="dxa"/>
            <w:vMerge/>
            <w:vAlign w:val="center"/>
          </w:tcPr>
          <w:p w:rsidR="00A32067" w:rsidRDefault="00A32067">
            <w:pPr>
              <w:widowControl/>
              <w:adjustRightInd w:val="0"/>
              <w:snapToGrid w:val="0"/>
              <w:spacing w:after="200"/>
              <w:jc w:val="center"/>
              <w:rPr>
                <w:kern w:val="0"/>
              </w:rPr>
            </w:pPr>
          </w:p>
        </w:tc>
        <w:tc>
          <w:tcPr>
            <w:tcW w:w="840" w:type="dxa"/>
            <w:vMerge/>
            <w:vAlign w:val="center"/>
          </w:tcPr>
          <w:p w:rsidR="00A32067" w:rsidRDefault="00A32067">
            <w:pPr>
              <w:widowControl/>
              <w:adjustRightInd w:val="0"/>
              <w:snapToGrid w:val="0"/>
              <w:spacing w:after="200"/>
              <w:jc w:val="center"/>
              <w:rPr>
                <w:kern w:val="0"/>
              </w:rPr>
            </w:pPr>
          </w:p>
        </w:tc>
        <w:tc>
          <w:tcPr>
            <w:tcW w:w="4260" w:type="dxa"/>
            <w:vMerge/>
            <w:vAlign w:val="center"/>
          </w:tcPr>
          <w:p w:rsidR="00A32067" w:rsidRDefault="00A32067">
            <w:pPr>
              <w:widowControl/>
              <w:adjustRightInd w:val="0"/>
              <w:snapToGrid w:val="0"/>
              <w:spacing w:after="200"/>
              <w:jc w:val="center"/>
              <w:rPr>
                <w:kern w:val="0"/>
              </w:rPr>
            </w:pPr>
          </w:p>
        </w:tc>
      </w:tr>
      <w:tr w:rsidR="00A32067">
        <w:trPr>
          <w:cantSplit/>
          <w:trHeight w:val="2592"/>
          <w:jc w:val="center"/>
        </w:trPr>
        <w:tc>
          <w:tcPr>
            <w:tcW w:w="1008" w:type="dxa"/>
            <w:vAlign w:val="center"/>
          </w:tcPr>
          <w:p w:rsidR="00A32067" w:rsidRDefault="00A32067">
            <w:pPr>
              <w:widowControl/>
              <w:adjustRightInd w:val="0"/>
              <w:snapToGrid w:val="0"/>
              <w:spacing w:after="200"/>
              <w:jc w:val="center"/>
              <w:rPr>
                <w:kern w:val="0"/>
              </w:rPr>
            </w:pPr>
            <w:r>
              <w:rPr>
                <w:rFonts w:cs="宋体" w:hint="eastAsia"/>
                <w:kern w:val="0"/>
              </w:rPr>
              <w:t>仪</w:t>
            </w:r>
          </w:p>
          <w:p w:rsidR="00A32067" w:rsidRDefault="00A32067">
            <w:pPr>
              <w:widowControl/>
              <w:adjustRightInd w:val="0"/>
              <w:snapToGrid w:val="0"/>
              <w:spacing w:after="200"/>
              <w:jc w:val="center"/>
              <w:rPr>
                <w:kern w:val="0"/>
              </w:rPr>
            </w:pPr>
            <w:r>
              <w:rPr>
                <w:rFonts w:cs="宋体" w:hint="eastAsia"/>
                <w:kern w:val="0"/>
              </w:rPr>
              <w:t>器</w:t>
            </w:r>
          </w:p>
          <w:p w:rsidR="00A32067" w:rsidRDefault="00A32067">
            <w:pPr>
              <w:widowControl/>
              <w:adjustRightInd w:val="0"/>
              <w:snapToGrid w:val="0"/>
              <w:spacing w:after="200"/>
              <w:jc w:val="center"/>
              <w:rPr>
                <w:kern w:val="0"/>
              </w:rPr>
            </w:pPr>
            <w:r>
              <w:rPr>
                <w:rFonts w:cs="宋体" w:hint="eastAsia"/>
                <w:kern w:val="0"/>
              </w:rPr>
              <w:t>鉴</w:t>
            </w:r>
          </w:p>
          <w:p w:rsidR="00A32067" w:rsidRDefault="00A32067">
            <w:pPr>
              <w:widowControl/>
              <w:adjustRightInd w:val="0"/>
              <w:snapToGrid w:val="0"/>
              <w:spacing w:after="200"/>
              <w:jc w:val="center"/>
              <w:rPr>
                <w:kern w:val="0"/>
              </w:rPr>
            </w:pPr>
            <w:r>
              <w:rPr>
                <w:rFonts w:cs="宋体" w:hint="eastAsia"/>
                <w:kern w:val="0"/>
              </w:rPr>
              <w:t>定</w:t>
            </w:r>
          </w:p>
        </w:tc>
        <w:tc>
          <w:tcPr>
            <w:tcW w:w="1260" w:type="dxa"/>
            <w:vAlign w:val="center"/>
          </w:tcPr>
          <w:p w:rsidR="00A32067" w:rsidRDefault="00A32067">
            <w:pPr>
              <w:widowControl/>
              <w:adjustRightInd w:val="0"/>
              <w:snapToGrid w:val="0"/>
              <w:spacing w:after="200"/>
              <w:jc w:val="center"/>
              <w:rPr>
                <w:kern w:val="0"/>
              </w:rPr>
            </w:pPr>
            <w:r>
              <w:rPr>
                <w:kern w:val="0"/>
              </w:rPr>
              <w:t>01</w:t>
            </w:r>
          </w:p>
        </w:tc>
        <w:tc>
          <w:tcPr>
            <w:tcW w:w="959" w:type="dxa"/>
            <w:vAlign w:val="center"/>
          </w:tcPr>
          <w:p w:rsidR="00A32067" w:rsidRDefault="00A32067">
            <w:pPr>
              <w:widowControl/>
              <w:adjustRightInd w:val="0"/>
              <w:snapToGrid w:val="0"/>
              <w:spacing w:after="200"/>
              <w:jc w:val="center"/>
              <w:rPr>
                <w:kern w:val="0"/>
              </w:rPr>
            </w:pPr>
            <w:r>
              <w:rPr>
                <w:rFonts w:cs="宋体" w:hint="eastAsia"/>
                <w:kern w:val="0"/>
              </w:rPr>
              <w:t>回弹仪鉴定</w:t>
            </w:r>
          </w:p>
        </w:tc>
        <w:tc>
          <w:tcPr>
            <w:tcW w:w="781" w:type="dxa"/>
            <w:vAlign w:val="center"/>
          </w:tcPr>
          <w:p w:rsidR="00A32067" w:rsidRDefault="00A32067">
            <w:pPr>
              <w:widowControl/>
              <w:adjustRightInd w:val="0"/>
              <w:snapToGrid w:val="0"/>
              <w:spacing w:after="200"/>
              <w:jc w:val="center"/>
              <w:rPr>
                <w:kern w:val="0"/>
              </w:rPr>
            </w:pPr>
            <w:r>
              <w:rPr>
                <w:rFonts w:cs="宋体" w:hint="eastAsia"/>
                <w:kern w:val="0"/>
              </w:rPr>
              <w:t>台</w:t>
            </w:r>
          </w:p>
        </w:tc>
        <w:tc>
          <w:tcPr>
            <w:tcW w:w="840" w:type="dxa"/>
            <w:vAlign w:val="center"/>
          </w:tcPr>
          <w:p w:rsidR="00A32067" w:rsidRDefault="00A32067">
            <w:pPr>
              <w:widowControl/>
              <w:adjustRightInd w:val="0"/>
              <w:snapToGrid w:val="0"/>
              <w:spacing w:after="200"/>
              <w:jc w:val="center"/>
              <w:rPr>
                <w:kern w:val="0"/>
              </w:rPr>
            </w:pPr>
            <w:r>
              <w:rPr>
                <w:kern w:val="0"/>
              </w:rPr>
              <w:t>150</w:t>
            </w:r>
          </w:p>
        </w:tc>
        <w:tc>
          <w:tcPr>
            <w:tcW w:w="4260" w:type="dxa"/>
            <w:vAlign w:val="center"/>
          </w:tcPr>
          <w:p w:rsidR="00A32067" w:rsidRDefault="00A32067">
            <w:pPr>
              <w:widowControl/>
              <w:adjustRightInd w:val="0"/>
              <w:snapToGrid w:val="0"/>
              <w:spacing w:after="200"/>
              <w:jc w:val="center"/>
              <w:rPr>
                <w:kern w:val="0"/>
              </w:rPr>
            </w:pPr>
            <w:r>
              <w:rPr>
                <w:rFonts w:cs="宋体" w:hint="eastAsia"/>
                <w:kern w:val="0"/>
              </w:rPr>
              <w:t>零件费另计</w:t>
            </w:r>
          </w:p>
        </w:tc>
      </w:tr>
    </w:tbl>
    <w:p w:rsidR="00A32067" w:rsidRDefault="00A32067">
      <w:pPr>
        <w:widowControl/>
        <w:adjustRightInd w:val="0"/>
        <w:snapToGrid w:val="0"/>
        <w:spacing w:after="200" w:line="360" w:lineRule="exact"/>
        <w:jc w:val="left"/>
        <w:rPr>
          <w:rFonts w:eastAsia="微软雅黑"/>
          <w:kern w:val="0"/>
          <w:sz w:val="22"/>
          <w:szCs w:val="22"/>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S</w:t>
      </w:r>
      <w:r>
        <w:rPr>
          <w:rFonts w:ascii="Times New Roman" w:hAnsi="Times New Roman" w:hint="eastAsia"/>
          <w:b/>
          <w:bCs/>
          <w:kern w:val="2"/>
        </w:rPr>
        <w:t>、管网探测</w:t>
      </w:r>
      <w:r>
        <w:rPr>
          <w:rFonts w:ascii="Times New Roman" w:hAnsi="Times New Roman" w:cs="Times New Roman"/>
          <w:b/>
          <w:bCs/>
          <w:kern w:val="2"/>
        </w:rPr>
        <w:t>:                                                     S01</w:t>
      </w:r>
      <w:r>
        <w:rPr>
          <w:rFonts w:ascii="Times New Roman" w:hAnsi="Times New Roman" w:hint="eastAsia"/>
          <w:b/>
          <w:bCs/>
          <w:kern w:val="2"/>
        </w:rPr>
        <w:t>～</w:t>
      </w:r>
      <w:r>
        <w:rPr>
          <w:rFonts w:ascii="Times New Roman" w:hAnsi="Times New Roman" w:cs="Times New Roman"/>
          <w:b/>
          <w:bCs/>
          <w:kern w:val="2"/>
        </w:rPr>
        <w:t>S03</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1260"/>
        <w:gridCol w:w="1101"/>
        <w:gridCol w:w="708"/>
        <w:gridCol w:w="1560"/>
        <w:gridCol w:w="3471"/>
      </w:tblGrid>
      <w:tr w:rsidR="00A32067">
        <w:trPr>
          <w:cantSplit/>
          <w:trHeight w:val="466"/>
          <w:jc w:val="center"/>
        </w:trPr>
        <w:tc>
          <w:tcPr>
            <w:tcW w:w="1008" w:type="dxa"/>
            <w:vMerge w:val="restart"/>
            <w:vAlign w:val="center"/>
          </w:tcPr>
          <w:p w:rsidR="00A32067" w:rsidRDefault="00A32067">
            <w:pPr>
              <w:jc w:val="center"/>
            </w:pPr>
            <w:r>
              <w:rPr>
                <w:rFonts w:cs="宋体" w:hint="eastAsia"/>
              </w:rPr>
              <w:t>类别</w:t>
            </w:r>
          </w:p>
        </w:tc>
        <w:tc>
          <w:tcPr>
            <w:tcW w:w="1260" w:type="dxa"/>
            <w:vMerge w:val="restart"/>
            <w:vAlign w:val="center"/>
          </w:tcPr>
          <w:p w:rsidR="00A32067" w:rsidRDefault="00A32067">
            <w:pPr>
              <w:jc w:val="center"/>
            </w:pPr>
            <w:r>
              <w:rPr>
                <w:rFonts w:cs="宋体" w:hint="eastAsia"/>
              </w:rPr>
              <w:t>序号</w:t>
            </w:r>
          </w:p>
        </w:tc>
        <w:tc>
          <w:tcPr>
            <w:tcW w:w="1101" w:type="dxa"/>
            <w:vMerge w:val="restart"/>
            <w:vAlign w:val="center"/>
          </w:tcPr>
          <w:p w:rsidR="00A32067" w:rsidRDefault="00A32067" w:rsidP="00A32067">
            <w:pPr>
              <w:ind w:leftChars="-32" w:left="31680" w:rightChars="-72" w:right="31680" w:hangingChars="32" w:firstLine="31680"/>
              <w:jc w:val="center"/>
            </w:pPr>
            <w:r>
              <w:rPr>
                <w:rFonts w:cs="宋体" w:hint="eastAsia"/>
              </w:rPr>
              <w:t>测试项目</w:t>
            </w:r>
          </w:p>
        </w:tc>
        <w:tc>
          <w:tcPr>
            <w:tcW w:w="708" w:type="dxa"/>
            <w:vMerge w:val="restart"/>
            <w:vAlign w:val="center"/>
          </w:tcPr>
          <w:p w:rsidR="00A32067" w:rsidRDefault="00A32067">
            <w:pPr>
              <w:jc w:val="center"/>
            </w:pPr>
            <w:r>
              <w:rPr>
                <w:rFonts w:cs="宋体" w:hint="eastAsia"/>
              </w:rPr>
              <w:t>单位</w:t>
            </w:r>
          </w:p>
        </w:tc>
        <w:tc>
          <w:tcPr>
            <w:tcW w:w="1560" w:type="dxa"/>
            <w:vMerge w:val="restart"/>
            <w:vAlign w:val="center"/>
          </w:tcPr>
          <w:p w:rsidR="00A32067" w:rsidRDefault="00A32067">
            <w:pPr>
              <w:jc w:val="center"/>
            </w:pPr>
            <w:r>
              <w:rPr>
                <w:rFonts w:cs="宋体" w:hint="eastAsia"/>
              </w:rPr>
              <w:t>基价</w:t>
            </w:r>
          </w:p>
          <w:p w:rsidR="00A32067" w:rsidRDefault="00A32067">
            <w:pPr>
              <w:jc w:val="center"/>
            </w:pPr>
            <w:r>
              <w:rPr>
                <w:rFonts w:cs="宋体" w:hint="eastAsia"/>
              </w:rPr>
              <w:t>（元）</w:t>
            </w:r>
          </w:p>
        </w:tc>
        <w:tc>
          <w:tcPr>
            <w:tcW w:w="3471" w:type="dxa"/>
            <w:vMerge w:val="restart"/>
            <w:vAlign w:val="center"/>
          </w:tcPr>
          <w:p w:rsidR="00A32067" w:rsidRDefault="00A32067">
            <w:pPr>
              <w:jc w:val="center"/>
            </w:pPr>
            <w:r>
              <w:rPr>
                <w:rFonts w:cs="宋体" w:hint="eastAsia"/>
              </w:rPr>
              <w:t>备注</w:t>
            </w:r>
          </w:p>
        </w:tc>
      </w:tr>
      <w:tr w:rsidR="00A32067">
        <w:trPr>
          <w:cantSplit/>
          <w:trHeight w:val="466"/>
          <w:jc w:val="center"/>
        </w:trPr>
        <w:tc>
          <w:tcPr>
            <w:tcW w:w="1008" w:type="dxa"/>
            <w:vMerge/>
            <w:vAlign w:val="center"/>
          </w:tcPr>
          <w:p w:rsidR="00A32067" w:rsidRDefault="00A32067">
            <w:pPr>
              <w:jc w:val="center"/>
            </w:pPr>
          </w:p>
        </w:tc>
        <w:tc>
          <w:tcPr>
            <w:tcW w:w="1260" w:type="dxa"/>
            <w:vMerge/>
            <w:vAlign w:val="center"/>
          </w:tcPr>
          <w:p w:rsidR="00A32067" w:rsidRDefault="00A32067">
            <w:pPr>
              <w:jc w:val="center"/>
            </w:pPr>
          </w:p>
        </w:tc>
        <w:tc>
          <w:tcPr>
            <w:tcW w:w="1101" w:type="dxa"/>
            <w:vMerge/>
            <w:vAlign w:val="center"/>
          </w:tcPr>
          <w:p w:rsidR="00A32067" w:rsidRDefault="00A32067">
            <w:pPr>
              <w:jc w:val="center"/>
            </w:pPr>
          </w:p>
        </w:tc>
        <w:tc>
          <w:tcPr>
            <w:tcW w:w="708" w:type="dxa"/>
            <w:vMerge/>
            <w:vAlign w:val="center"/>
          </w:tcPr>
          <w:p w:rsidR="00A32067" w:rsidRDefault="00A32067">
            <w:pPr>
              <w:jc w:val="center"/>
            </w:pPr>
          </w:p>
        </w:tc>
        <w:tc>
          <w:tcPr>
            <w:tcW w:w="1560" w:type="dxa"/>
            <w:vMerge/>
            <w:vAlign w:val="center"/>
          </w:tcPr>
          <w:p w:rsidR="00A32067" w:rsidRDefault="00A32067">
            <w:pPr>
              <w:jc w:val="center"/>
            </w:pPr>
          </w:p>
        </w:tc>
        <w:tc>
          <w:tcPr>
            <w:tcW w:w="3471" w:type="dxa"/>
            <w:vMerge/>
            <w:vAlign w:val="center"/>
          </w:tcPr>
          <w:p w:rsidR="00A32067" w:rsidRDefault="00A32067">
            <w:pPr>
              <w:jc w:val="center"/>
            </w:pPr>
          </w:p>
        </w:tc>
      </w:tr>
      <w:tr w:rsidR="00A32067">
        <w:trPr>
          <w:cantSplit/>
          <w:trHeight w:val="790"/>
          <w:jc w:val="center"/>
        </w:trPr>
        <w:tc>
          <w:tcPr>
            <w:tcW w:w="1008" w:type="dxa"/>
            <w:vMerge w:val="restart"/>
            <w:vAlign w:val="center"/>
          </w:tcPr>
          <w:p w:rsidR="00A32067" w:rsidRDefault="00A32067">
            <w:pPr>
              <w:jc w:val="center"/>
            </w:pPr>
            <w:r>
              <w:rPr>
                <w:rFonts w:cs="宋体" w:hint="eastAsia"/>
              </w:rPr>
              <w:t>地</w:t>
            </w:r>
          </w:p>
          <w:p w:rsidR="00A32067" w:rsidRDefault="00A32067">
            <w:pPr>
              <w:jc w:val="center"/>
            </w:pPr>
          </w:p>
          <w:p w:rsidR="00A32067" w:rsidRDefault="00A32067">
            <w:pPr>
              <w:jc w:val="center"/>
            </w:pPr>
            <w:r>
              <w:rPr>
                <w:rFonts w:cs="宋体" w:hint="eastAsia"/>
              </w:rPr>
              <w:t>下</w:t>
            </w:r>
          </w:p>
          <w:p w:rsidR="00A32067" w:rsidRDefault="00A32067">
            <w:pPr>
              <w:jc w:val="center"/>
            </w:pPr>
          </w:p>
          <w:p w:rsidR="00A32067" w:rsidRDefault="00A32067">
            <w:pPr>
              <w:jc w:val="center"/>
            </w:pPr>
            <w:r>
              <w:rPr>
                <w:rFonts w:cs="宋体" w:hint="eastAsia"/>
              </w:rPr>
              <w:t>物</w:t>
            </w:r>
          </w:p>
          <w:p w:rsidR="00A32067" w:rsidRDefault="00A32067">
            <w:pPr>
              <w:jc w:val="center"/>
            </w:pPr>
          </w:p>
          <w:p w:rsidR="00A32067" w:rsidRDefault="00A32067">
            <w:pPr>
              <w:jc w:val="center"/>
            </w:pPr>
            <w:r>
              <w:rPr>
                <w:rFonts w:cs="宋体" w:hint="eastAsia"/>
              </w:rPr>
              <w:t>探</w:t>
            </w:r>
          </w:p>
          <w:p w:rsidR="00A32067" w:rsidRDefault="00A32067">
            <w:pPr>
              <w:jc w:val="center"/>
            </w:pPr>
          </w:p>
          <w:p w:rsidR="00A32067" w:rsidRDefault="00A32067">
            <w:pPr>
              <w:jc w:val="center"/>
            </w:pPr>
            <w:r>
              <w:rPr>
                <w:rFonts w:cs="宋体" w:hint="eastAsia"/>
              </w:rPr>
              <w:t>测</w:t>
            </w:r>
          </w:p>
        </w:tc>
        <w:tc>
          <w:tcPr>
            <w:tcW w:w="1260" w:type="dxa"/>
            <w:vAlign w:val="center"/>
          </w:tcPr>
          <w:p w:rsidR="00A32067" w:rsidRDefault="00A32067">
            <w:pPr>
              <w:jc w:val="center"/>
            </w:pPr>
            <w:r>
              <w:t>S01</w:t>
            </w:r>
          </w:p>
        </w:tc>
        <w:tc>
          <w:tcPr>
            <w:tcW w:w="1101" w:type="dxa"/>
            <w:vAlign w:val="center"/>
          </w:tcPr>
          <w:p w:rsidR="00A32067" w:rsidRDefault="00A32067">
            <w:r>
              <w:rPr>
                <w:rFonts w:cs="宋体" w:hint="eastAsia"/>
              </w:rPr>
              <w:t>地下电缆</w:t>
            </w:r>
          </w:p>
        </w:tc>
        <w:tc>
          <w:tcPr>
            <w:tcW w:w="708" w:type="dxa"/>
            <w:vMerge w:val="restart"/>
            <w:vAlign w:val="center"/>
          </w:tcPr>
          <w:p w:rsidR="00A32067" w:rsidRDefault="00A32067">
            <w:pPr>
              <w:jc w:val="center"/>
            </w:pPr>
            <w:r>
              <w:t>km</w:t>
            </w:r>
          </w:p>
        </w:tc>
        <w:tc>
          <w:tcPr>
            <w:tcW w:w="1560" w:type="dxa"/>
            <w:vAlign w:val="bottom"/>
          </w:tcPr>
          <w:p w:rsidR="00A32067" w:rsidRDefault="00A32067">
            <w:r>
              <w:t>3000~4000</w:t>
            </w:r>
          </w:p>
        </w:tc>
        <w:tc>
          <w:tcPr>
            <w:tcW w:w="3471" w:type="dxa"/>
            <w:vMerge w:val="restart"/>
            <w:vAlign w:val="center"/>
          </w:tcPr>
          <w:p w:rsidR="00A32067" w:rsidRDefault="00A32067">
            <w:r>
              <w:rPr>
                <w:rFonts w:cs="宋体" w:hint="eastAsia"/>
              </w:rPr>
              <w:t>随工作条件的难易成度按上下线取费</w:t>
            </w:r>
          </w:p>
        </w:tc>
      </w:tr>
      <w:tr w:rsidR="00A32067">
        <w:trPr>
          <w:cantSplit/>
          <w:trHeight w:val="928"/>
          <w:jc w:val="center"/>
        </w:trPr>
        <w:tc>
          <w:tcPr>
            <w:tcW w:w="1008" w:type="dxa"/>
            <w:vMerge/>
            <w:vAlign w:val="center"/>
          </w:tcPr>
          <w:p w:rsidR="00A32067" w:rsidRDefault="00A32067">
            <w:pPr>
              <w:jc w:val="center"/>
            </w:pPr>
          </w:p>
        </w:tc>
        <w:tc>
          <w:tcPr>
            <w:tcW w:w="1260" w:type="dxa"/>
            <w:vAlign w:val="center"/>
          </w:tcPr>
          <w:p w:rsidR="00A32067" w:rsidRDefault="00A32067">
            <w:pPr>
              <w:jc w:val="center"/>
            </w:pPr>
            <w:r>
              <w:t>S02</w:t>
            </w:r>
          </w:p>
        </w:tc>
        <w:tc>
          <w:tcPr>
            <w:tcW w:w="1101" w:type="dxa"/>
            <w:vAlign w:val="center"/>
          </w:tcPr>
          <w:p w:rsidR="00A32067" w:rsidRDefault="00A32067">
            <w:r>
              <w:rPr>
                <w:rFonts w:cs="宋体" w:hint="eastAsia"/>
              </w:rPr>
              <w:t>金属管道</w:t>
            </w:r>
          </w:p>
        </w:tc>
        <w:tc>
          <w:tcPr>
            <w:tcW w:w="708" w:type="dxa"/>
            <w:vMerge/>
            <w:vAlign w:val="center"/>
          </w:tcPr>
          <w:p w:rsidR="00A32067" w:rsidRDefault="00A32067"/>
        </w:tc>
        <w:tc>
          <w:tcPr>
            <w:tcW w:w="1560" w:type="dxa"/>
            <w:vAlign w:val="center"/>
          </w:tcPr>
          <w:p w:rsidR="00A32067" w:rsidRDefault="00A32067">
            <w:r>
              <w:t>2500~3500</w:t>
            </w:r>
          </w:p>
        </w:tc>
        <w:tc>
          <w:tcPr>
            <w:tcW w:w="3471" w:type="dxa"/>
            <w:vMerge/>
            <w:vAlign w:val="center"/>
          </w:tcPr>
          <w:p w:rsidR="00A32067" w:rsidRDefault="00A32067"/>
        </w:tc>
      </w:tr>
      <w:tr w:rsidR="00A32067">
        <w:trPr>
          <w:cantSplit/>
          <w:trHeight w:val="615"/>
          <w:jc w:val="center"/>
        </w:trPr>
        <w:tc>
          <w:tcPr>
            <w:tcW w:w="1008" w:type="dxa"/>
            <w:vMerge/>
            <w:vAlign w:val="center"/>
          </w:tcPr>
          <w:p w:rsidR="00A32067" w:rsidRDefault="00A32067">
            <w:pPr>
              <w:jc w:val="center"/>
            </w:pPr>
          </w:p>
        </w:tc>
        <w:tc>
          <w:tcPr>
            <w:tcW w:w="1260" w:type="dxa"/>
            <w:vMerge w:val="restart"/>
            <w:vAlign w:val="center"/>
          </w:tcPr>
          <w:p w:rsidR="00A32067" w:rsidRDefault="00A32067">
            <w:pPr>
              <w:jc w:val="center"/>
            </w:pPr>
            <w:r>
              <w:t>S03</w:t>
            </w:r>
          </w:p>
        </w:tc>
        <w:tc>
          <w:tcPr>
            <w:tcW w:w="1101" w:type="dxa"/>
            <w:vMerge w:val="restart"/>
            <w:vAlign w:val="center"/>
          </w:tcPr>
          <w:p w:rsidR="00A32067" w:rsidRDefault="00A32067">
            <w:pPr>
              <w:jc w:val="center"/>
            </w:pPr>
            <w:r>
              <w:rPr>
                <w:rFonts w:cs="宋体" w:hint="eastAsia"/>
              </w:rPr>
              <w:t>非金属物质</w:t>
            </w:r>
          </w:p>
        </w:tc>
        <w:tc>
          <w:tcPr>
            <w:tcW w:w="708" w:type="dxa"/>
            <w:vMerge/>
          </w:tcPr>
          <w:p w:rsidR="00A32067" w:rsidRDefault="00A32067"/>
        </w:tc>
        <w:tc>
          <w:tcPr>
            <w:tcW w:w="1560" w:type="dxa"/>
            <w:vMerge w:val="restart"/>
            <w:vAlign w:val="center"/>
          </w:tcPr>
          <w:p w:rsidR="00A32067" w:rsidRDefault="00A32067">
            <w:r>
              <w:t>5000~6000</w:t>
            </w:r>
          </w:p>
        </w:tc>
        <w:tc>
          <w:tcPr>
            <w:tcW w:w="3471" w:type="dxa"/>
            <w:vMerge/>
            <w:vAlign w:val="center"/>
          </w:tcPr>
          <w:p w:rsidR="00A32067" w:rsidRDefault="00A32067"/>
        </w:tc>
      </w:tr>
      <w:tr w:rsidR="00A32067">
        <w:trPr>
          <w:cantSplit/>
          <w:trHeight w:val="2054"/>
          <w:jc w:val="center"/>
        </w:trPr>
        <w:tc>
          <w:tcPr>
            <w:tcW w:w="1008" w:type="dxa"/>
            <w:vMerge/>
            <w:vAlign w:val="center"/>
          </w:tcPr>
          <w:p w:rsidR="00A32067" w:rsidRDefault="00A32067">
            <w:pPr>
              <w:jc w:val="center"/>
            </w:pPr>
          </w:p>
        </w:tc>
        <w:tc>
          <w:tcPr>
            <w:tcW w:w="1260" w:type="dxa"/>
            <w:vMerge/>
            <w:vAlign w:val="center"/>
          </w:tcPr>
          <w:p w:rsidR="00A32067" w:rsidRDefault="00A32067">
            <w:pPr>
              <w:jc w:val="center"/>
            </w:pPr>
          </w:p>
        </w:tc>
        <w:tc>
          <w:tcPr>
            <w:tcW w:w="1101" w:type="dxa"/>
            <w:vMerge/>
            <w:vAlign w:val="center"/>
          </w:tcPr>
          <w:p w:rsidR="00A32067" w:rsidRDefault="00A32067"/>
        </w:tc>
        <w:tc>
          <w:tcPr>
            <w:tcW w:w="708" w:type="dxa"/>
            <w:vMerge/>
            <w:vAlign w:val="center"/>
          </w:tcPr>
          <w:p w:rsidR="00A32067" w:rsidRDefault="00A32067">
            <w:pPr>
              <w:jc w:val="center"/>
            </w:pPr>
          </w:p>
        </w:tc>
        <w:tc>
          <w:tcPr>
            <w:tcW w:w="1560" w:type="dxa"/>
            <w:vMerge/>
            <w:vAlign w:val="center"/>
          </w:tcPr>
          <w:p w:rsidR="00A32067" w:rsidRDefault="00A32067">
            <w:pPr>
              <w:jc w:val="center"/>
            </w:pPr>
          </w:p>
        </w:tc>
        <w:tc>
          <w:tcPr>
            <w:tcW w:w="3471" w:type="dxa"/>
            <w:vMerge/>
            <w:vAlign w:val="center"/>
          </w:tcPr>
          <w:p w:rsidR="00A32067" w:rsidRDefault="00A32067"/>
        </w:tc>
      </w:tr>
    </w:tbl>
    <w:p w:rsidR="00A32067" w:rsidRDefault="00A32067" w:rsidP="00A3206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p>
    <w:p w:rsidR="00A32067" w:rsidRDefault="00A32067">
      <w:pPr>
        <w:spacing w:line="220" w:lineRule="atLeast"/>
        <w:rPr>
          <w:sz w:val="24"/>
          <w:szCs w:val="24"/>
        </w:rPr>
      </w:pPr>
      <w:r>
        <w:br w:type="page"/>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rPr>
      </w:pPr>
      <w:r>
        <w:rPr>
          <w:rFonts w:ascii="Times New Roman" w:hAnsi="Times New Roman" w:hint="eastAsia"/>
          <w:color w:val="000000"/>
        </w:rPr>
        <w:t>附检测费用计算式：</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sidRPr="00394DE1">
        <w:rPr>
          <w:rFonts w:ascii="Times New Roman" w:hAnsi="Times New Roman" w:cs="Times New Roman"/>
          <w:color w:val="000000"/>
          <w:sz w:val="22"/>
          <w:szCs w:val="22"/>
        </w:rPr>
        <w:object w:dxaOrig="2380" w:dyaOrig="360">
          <v:shape id="_x0000_i1027" type="#_x0000_t75" style="width:135.75pt;height:20.25pt" o:ole="">
            <v:imagedata r:id="rId67" o:title=""/>
          </v:shape>
          <o:OLEObject Type="Embed" ProgID="Msxml2.SAXXMLReader.5.0" ShapeID="_x0000_i1027" DrawAspect="Content" ObjectID="_1594469121" r:id="rId68"/>
        </w:objec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hint="eastAsia"/>
          <w:color w:val="000000"/>
          <w:sz w:val="22"/>
          <w:szCs w:val="22"/>
        </w:rPr>
        <w:t>式中符号的名称及含义如下：</w:t>
      </w:r>
    </w:p>
    <w:tbl>
      <w:tblPr>
        <w:tblpPr w:leftFromText="180" w:rightFromText="180" w:vertAnchor="text" w:horzAnchor="page" w:tblpX="1288" w:tblpY="437"/>
        <w:tblOverlap w:val="never"/>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3960"/>
        <w:gridCol w:w="3967"/>
      </w:tblGrid>
      <w:tr w:rsidR="00A32067">
        <w:trPr>
          <w:trHeight w:val="690"/>
        </w:trPr>
        <w:tc>
          <w:tcPr>
            <w:tcW w:w="1008" w:type="dxa"/>
            <w:vAlign w:val="center"/>
          </w:tcPr>
          <w:p w:rsidR="00A32067" w:rsidRPr="0002085C" w:rsidRDefault="00A32067" w:rsidP="0002085C">
            <w:pPr>
              <w:jc w:val="center"/>
            </w:pPr>
            <w:r w:rsidRPr="0002085C">
              <w:rPr>
                <w:rFonts w:cs="宋体" w:hint="eastAsia"/>
              </w:rPr>
              <w:t>符号</w:t>
            </w:r>
          </w:p>
        </w:tc>
        <w:tc>
          <w:tcPr>
            <w:tcW w:w="3960" w:type="dxa"/>
            <w:vAlign w:val="center"/>
          </w:tcPr>
          <w:p w:rsidR="00A32067" w:rsidRPr="0002085C" w:rsidRDefault="00A32067" w:rsidP="0002085C">
            <w:pPr>
              <w:jc w:val="center"/>
            </w:pPr>
            <w:r w:rsidRPr="0002085C">
              <w:rPr>
                <w:rFonts w:cs="宋体" w:hint="eastAsia"/>
              </w:rPr>
              <w:t>名称</w:t>
            </w:r>
          </w:p>
        </w:tc>
        <w:tc>
          <w:tcPr>
            <w:tcW w:w="3967" w:type="dxa"/>
            <w:vAlign w:val="center"/>
          </w:tcPr>
          <w:p w:rsidR="00A32067" w:rsidRPr="0002085C" w:rsidRDefault="00A32067" w:rsidP="0002085C">
            <w:pPr>
              <w:jc w:val="center"/>
            </w:pPr>
            <w:r w:rsidRPr="0002085C">
              <w:rPr>
                <w:rFonts w:cs="宋体" w:hint="eastAsia"/>
              </w:rPr>
              <w:t>含义</w:t>
            </w:r>
          </w:p>
        </w:tc>
      </w:tr>
      <w:tr w:rsidR="00A32067">
        <w:trPr>
          <w:trHeight w:val="605"/>
        </w:trPr>
        <w:tc>
          <w:tcPr>
            <w:tcW w:w="1008" w:type="dxa"/>
            <w:vAlign w:val="center"/>
          </w:tcPr>
          <w:p w:rsidR="00A32067" w:rsidRPr="0002085C" w:rsidRDefault="00A32067" w:rsidP="0002085C">
            <w:pPr>
              <w:jc w:val="center"/>
            </w:pPr>
            <w:r w:rsidRPr="0002085C">
              <w:rPr>
                <w:position w:val="-12"/>
              </w:rPr>
              <w:pict>
                <v:shape id="_x0000_i1028" type="#_x0000_t75" style="width:16.5pt;height:24pt">
                  <v:imagedata r:id="rId69" o:title=""/>
                </v:shape>
              </w:pict>
            </w:r>
          </w:p>
        </w:tc>
        <w:tc>
          <w:tcPr>
            <w:tcW w:w="3960" w:type="dxa"/>
            <w:vAlign w:val="center"/>
          </w:tcPr>
          <w:p w:rsidR="00A32067" w:rsidRPr="0002085C" w:rsidRDefault="00A32067" w:rsidP="0002085C">
            <w:r w:rsidRPr="0002085C">
              <w:rPr>
                <w:rFonts w:cs="宋体" w:hint="eastAsia"/>
              </w:rPr>
              <w:t>检测鉴定费总计</w:t>
            </w:r>
          </w:p>
        </w:tc>
        <w:tc>
          <w:tcPr>
            <w:tcW w:w="3967" w:type="dxa"/>
          </w:tcPr>
          <w:p w:rsidR="00A32067" w:rsidRPr="0002085C" w:rsidRDefault="00A32067" w:rsidP="0002085C"/>
        </w:tc>
      </w:tr>
      <w:tr w:rsidR="00A32067">
        <w:trPr>
          <w:trHeight w:val="621"/>
        </w:trPr>
        <w:tc>
          <w:tcPr>
            <w:tcW w:w="1008" w:type="dxa"/>
            <w:vAlign w:val="center"/>
          </w:tcPr>
          <w:p w:rsidR="00A32067" w:rsidRPr="0002085C" w:rsidRDefault="00A32067" w:rsidP="0002085C">
            <w:pPr>
              <w:jc w:val="center"/>
            </w:pPr>
            <w:r w:rsidRPr="0002085C">
              <w:rPr>
                <w:position w:val="-12"/>
              </w:rPr>
              <w:pict>
                <v:shape id="_x0000_i1029" type="#_x0000_t75" style="width:13.5pt;height:18.75pt">
                  <v:imagedata r:id="rId70" o:title=""/>
                </v:shape>
              </w:pict>
            </w:r>
          </w:p>
        </w:tc>
        <w:tc>
          <w:tcPr>
            <w:tcW w:w="3960" w:type="dxa"/>
            <w:vAlign w:val="center"/>
          </w:tcPr>
          <w:p w:rsidR="00A32067" w:rsidRPr="0002085C" w:rsidRDefault="00A32067" w:rsidP="0002085C">
            <w:r w:rsidRPr="0002085C">
              <w:rPr>
                <w:rFonts w:cs="宋体" w:hint="eastAsia"/>
              </w:rPr>
              <w:t>检测项目、数量的直接费小计</w:t>
            </w:r>
          </w:p>
        </w:tc>
        <w:tc>
          <w:tcPr>
            <w:tcW w:w="3967" w:type="dxa"/>
          </w:tcPr>
          <w:p w:rsidR="00A32067" w:rsidRPr="0002085C" w:rsidRDefault="00A32067" w:rsidP="0002085C"/>
        </w:tc>
      </w:tr>
      <w:tr w:rsidR="00A32067">
        <w:trPr>
          <w:trHeight w:val="1062"/>
        </w:trPr>
        <w:tc>
          <w:tcPr>
            <w:tcW w:w="1008" w:type="dxa"/>
            <w:vAlign w:val="center"/>
          </w:tcPr>
          <w:p w:rsidR="00A32067" w:rsidRPr="0002085C" w:rsidRDefault="00A32067" w:rsidP="0002085C">
            <w:pPr>
              <w:jc w:val="center"/>
            </w:pPr>
            <w:r w:rsidRPr="0002085C">
              <w:rPr>
                <w:position w:val="-6"/>
              </w:rPr>
              <w:pict>
                <v:shape id="_x0000_i1030" type="#_x0000_t75" style="width:13.5pt;height:11.25pt">
                  <v:imagedata r:id="rId71" o:title=""/>
                </v:shape>
              </w:pict>
            </w:r>
          </w:p>
        </w:tc>
        <w:tc>
          <w:tcPr>
            <w:tcW w:w="3960" w:type="dxa"/>
            <w:vAlign w:val="center"/>
          </w:tcPr>
          <w:p w:rsidR="00A32067" w:rsidRPr="0002085C" w:rsidRDefault="00A32067" w:rsidP="0002085C">
            <w:r w:rsidRPr="0002085C">
              <w:rPr>
                <w:rFonts w:cs="宋体" w:hint="eastAsia"/>
              </w:rPr>
              <w:t>检测类别系数</w:t>
            </w:r>
          </w:p>
        </w:tc>
        <w:tc>
          <w:tcPr>
            <w:tcW w:w="3967" w:type="dxa"/>
          </w:tcPr>
          <w:p w:rsidR="00A32067" w:rsidRPr="0002085C" w:rsidRDefault="00A32067" w:rsidP="0002085C">
            <w:r w:rsidRPr="0002085C">
              <w:rPr>
                <w:rFonts w:cs="宋体" w:hint="eastAsia"/>
              </w:rPr>
              <w:t>常规检测：</w:t>
            </w:r>
            <w:r w:rsidRPr="0002085C">
              <w:t>1</w:t>
            </w:r>
            <w:r w:rsidRPr="0002085C">
              <w:rPr>
                <w:rFonts w:cs="宋体" w:hint="eastAsia"/>
              </w:rPr>
              <w:t>；</w:t>
            </w:r>
          </w:p>
          <w:p w:rsidR="00A32067" w:rsidRPr="0002085C" w:rsidRDefault="00A32067" w:rsidP="0002085C">
            <w:r w:rsidRPr="0002085C">
              <w:rPr>
                <w:rFonts w:cs="宋体" w:hint="eastAsia"/>
              </w:rPr>
              <w:t>一般仲裁：</w:t>
            </w:r>
            <w:r w:rsidRPr="0002085C">
              <w:t>1.33</w:t>
            </w:r>
            <w:r w:rsidRPr="0002085C">
              <w:rPr>
                <w:rFonts w:cs="宋体" w:hint="eastAsia"/>
              </w:rPr>
              <w:t>；</w:t>
            </w:r>
          </w:p>
          <w:p w:rsidR="00A32067" w:rsidRPr="0002085C" w:rsidRDefault="00A32067" w:rsidP="0002085C">
            <w:r w:rsidRPr="0002085C">
              <w:rPr>
                <w:rFonts w:cs="宋体" w:hint="eastAsia"/>
              </w:rPr>
              <w:t>复杂仲裁：</w:t>
            </w:r>
            <w:r w:rsidRPr="0002085C">
              <w:t>1.66</w:t>
            </w:r>
          </w:p>
        </w:tc>
      </w:tr>
      <w:tr w:rsidR="00A32067">
        <w:trPr>
          <w:trHeight w:val="704"/>
        </w:trPr>
        <w:tc>
          <w:tcPr>
            <w:tcW w:w="1008" w:type="dxa"/>
            <w:vAlign w:val="center"/>
          </w:tcPr>
          <w:p w:rsidR="00A32067" w:rsidRPr="0002085C" w:rsidRDefault="00A32067" w:rsidP="0002085C">
            <w:pPr>
              <w:jc w:val="center"/>
              <w:rPr>
                <w:b/>
                <w:bCs/>
              </w:rPr>
            </w:pPr>
            <w:r w:rsidRPr="0002085C">
              <w:rPr>
                <w:position w:val="-10"/>
              </w:rPr>
              <w:pict>
                <v:shape id="_x0000_i1031" type="#_x0000_t75" style="width:13.5pt;height:16.5pt">
                  <v:imagedata r:id="rId72" o:title=""/>
                </v:shape>
              </w:pict>
            </w:r>
          </w:p>
        </w:tc>
        <w:tc>
          <w:tcPr>
            <w:tcW w:w="3960" w:type="dxa"/>
            <w:vAlign w:val="center"/>
          </w:tcPr>
          <w:p w:rsidR="00A32067" w:rsidRPr="0002085C" w:rsidRDefault="00A32067" w:rsidP="0002085C">
            <w:r w:rsidRPr="0002085C">
              <w:rPr>
                <w:rFonts w:cs="宋体" w:hint="eastAsia"/>
              </w:rPr>
              <w:t>技术处理系数</w:t>
            </w:r>
          </w:p>
        </w:tc>
        <w:tc>
          <w:tcPr>
            <w:tcW w:w="3967" w:type="dxa"/>
            <w:vAlign w:val="center"/>
          </w:tcPr>
          <w:p w:rsidR="00A32067" w:rsidRPr="0002085C" w:rsidRDefault="00A32067" w:rsidP="0002085C">
            <w:r w:rsidRPr="0002085C">
              <w:rPr>
                <w:rFonts w:cs="宋体" w:hint="eastAsia"/>
              </w:rPr>
              <w:t>取</w:t>
            </w:r>
            <w:r w:rsidRPr="0002085C">
              <w:t>1.20</w:t>
            </w:r>
            <w:r w:rsidRPr="0002085C">
              <w:rPr>
                <w:rFonts w:cs="宋体" w:hint="eastAsia"/>
              </w:rPr>
              <w:t>～</w:t>
            </w:r>
            <w:r w:rsidRPr="0002085C">
              <w:t>1.35</w:t>
            </w:r>
            <w:r w:rsidRPr="0002085C">
              <w:rPr>
                <w:rFonts w:cs="宋体" w:hint="eastAsia"/>
              </w:rPr>
              <w:t>，步阶</w:t>
            </w:r>
            <w:r w:rsidRPr="0002085C">
              <w:t>0.5</w:t>
            </w:r>
          </w:p>
        </w:tc>
      </w:tr>
      <w:tr w:rsidR="00A32067">
        <w:trPr>
          <w:trHeight w:hRule="exact" w:val="752"/>
        </w:trPr>
        <w:tc>
          <w:tcPr>
            <w:tcW w:w="1008" w:type="dxa"/>
            <w:vAlign w:val="center"/>
          </w:tcPr>
          <w:p w:rsidR="00A32067" w:rsidRPr="0002085C" w:rsidRDefault="00A32067" w:rsidP="0002085C">
            <w:pPr>
              <w:jc w:val="center"/>
            </w:pPr>
            <w:r w:rsidRPr="0002085C">
              <w:rPr>
                <w:position w:val="-10"/>
              </w:rPr>
              <w:pict>
                <v:shape id="_x0000_i1032" type="#_x0000_t75" style="width:9.75pt;height:13.5pt">
                  <v:imagedata r:id="rId73" o:title=""/>
                </v:shape>
              </w:pict>
            </w:r>
          </w:p>
        </w:tc>
        <w:tc>
          <w:tcPr>
            <w:tcW w:w="3960" w:type="dxa"/>
            <w:vAlign w:val="center"/>
          </w:tcPr>
          <w:p w:rsidR="00A32067" w:rsidRPr="0002085C" w:rsidRDefault="00A32067" w:rsidP="0002085C">
            <w:r w:rsidRPr="0002085C">
              <w:rPr>
                <w:rFonts w:cs="宋体" w:hint="eastAsia"/>
              </w:rPr>
              <w:t>税率</w:t>
            </w:r>
          </w:p>
        </w:tc>
        <w:tc>
          <w:tcPr>
            <w:tcW w:w="3967" w:type="dxa"/>
            <w:vAlign w:val="center"/>
          </w:tcPr>
          <w:p w:rsidR="00A32067" w:rsidRPr="0002085C" w:rsidRDefault="00A32067" w:rsidP="0002085C">
            <w:r w:rsidRPr="0002085C">
              <w:rPr>
                <w:rFonts w:cs="宋体" w:hint="eastAsia"/>
              </w:rPr>
              <w:t>按企业应缴各种税金总和取值</w:t>
            </w:r>
          </w:p>
        </w:tc>
      </w:tr>
      <w:tr w:rsidR="00A32067">
        <w:tc>
          <w:tcPr>
            <w:tcW w:w="1008" w:type="dxa"/>
            <w:vAlign w:val="center"/>
          </w:tcPr>
          <w:p w:rsidR="00A32067" w:rsidRPr="0002085C" w:rsidRDefault="00A32067" w:rsidP="0002085C">
            <w:pPr>
              <w:jc w:val="center"/>
            </w:pPr>
            <w:r w:rsidRPr="0002085C">
              <w:rPr>
                <w:position w:val="-6"/>
              </w:rPr>
              <w:pict>
                <v:shape id="_x0000_i1033" type="#_x0000_t75" style="width:9.75pt;height:13.5pt">
                  <v:imagedata r:id="rId74" o:title=""/>
                </v:shape>
              </w:pict>
            </w:r>
          </w:p>
        </w:tc>
        <w:tc>
          <w:tcPr>
            <w:tcW w:w="3960" w:type="dxa"/>
            <w:vAlign w:val="center"/>
          </w:tcPr>
          <w:p w:rsidR="00A32067" w:rsidRPr="0002085C" w:rsidRDefault="00A32067" w:rsidP="0002085C">
            <w:r w:rsidRPr="0002085C">
              <w:rPr>
                <w:rFonts w:cs="宋体" w:hint="eastAsia"/>
              </w:rPr>
              <w:t>配合费</w:t>
            </w:r>
          </w:p>
        </w:tc>
        <w:tc>
          <w:tcPr>
            <w:tcW w:w="3967" w:type="dxa"/>
          </w:tcPr>
          <w:p w:rsidR="00A32067" w:rsidRPr="0002085C" w:rsidRDefault="00A32067" w:rsidP="0002085C">
            <w:r w:rsidRPr="0002085C">
              <w:rPr>
                <w:rFonts w:cs="宋体" w:hint="eastAsia"/>
              </w:rPr>
              <w:t>包括：</w:t>
            </w:r>
          </w:p>
          <w:p w:rsidR="00A32067" w:rsidRPr="0002085C" w:rsidRDefault="00A32067" w:rsidP="0002085C">
            <w:r w:rsidRPr="0002085C">
              <w:rPr>
                <w:rFonts w:cs="宋体" w:hint="eastAsia"/>
              </w:rPr>
              <w:t>辅助工费；</w:t>
            </w:r>
          </w:p>
          <w:p w:rsidR="00A32067" w:rsidRPr="0002085C" w:rsidRDefault="00A32067" w:rsidP="0002085C">
            <w:r w:rsidRPr="0002085C">
              <w:rPr>
                <w:rFonts w:cs="宋体" w:hint="eastAsia"/>
              </w:rPr>
              <w:t>脚手架架设费；</w:t>
            </w:r>
          </w:p>
          <w:p w:rsidR="00A32067" w:rsidRPr="0002085C" w:rsidRDefault="00A32067" w:rsidP="0002085C">
            <w:r w:rsidRPr="0002085C">
              <w:rPr>
                <w:rFonts w:cs="宋体" w:hint="eastAsia"/>
              </w:rPr>
              <w:t>交通费；</w:t>
            </w:r>
          </w:p>
          <w:p w:rsidR="00A32067" w:rsidRPr="0002085C" w:rsidRDefault="00A32067" w:rsidP="0002085C">
            <w:r w:rsidRPr="0002085C">
              <w:rPr>
                <w:rFonts w:cs="宋体" w:hint="eastAsia"/>
              </w:rPr>
              <w:t>住宿费；</w:t>
            </w:r>
          </w:p>
          <w:p w:rsidR="00A32067" w:rsidRPr="0002085C" w:rsidRDefault="00A32067" w:rsidP="0002085C">
            <w:r w:rsidRPr="0002085C">
              <w:rPr>
                <w:rFonts w:cs="宋体" w:hint="eastAsia"/>
              </w:rPr>
              <w:t>指定地点讲解报告费等。</w:t>
            </w:r>
          </w:p>
        </w:tc>
      </w:tr>
    </w:tbl>
    <w:p w:rsidR="00A32067" w:rsidRDefault="00A32067" w:rsidP="00A32067">
      <w:pPr>
        <w:pStyle w:val="NormalWeb"/>
        <w:shd w:val="clear" w:color="auto" w:fill="FFFFFF"/>
        <w:spacing w:before="0" w:beforeAutospacing="0" w:after="0" w:afterAutospacing="0" w:line="600" w:lineRule="exact"/>
        <w:ind w:firstLineChars="200" w:firstLine="31680"/>
        <w:rPr>
          <w:rFonts w:ascii="Times New Roman" w:eastAsia="微软雅黑" w:hAnsi="Times New Roman" w:cs="Times New Roman"/>
        </w:rPr>
      </w:pPr>
    </w:p>
    <w:p w:rsidR="00A32067" w:rsidRDefault="00A32067">
      <w:pPr>
        <w:spacing w:line="220" w:lineRule="atLeast"/>
        <w:rPr>
          <w:sz w:val="24"/>
          <w:szCs w:val="24"/>
        </w:rPr>
      </w:pPr>
      <w:r>
        <w:br w:type="page"/>
      </w:r>
    </w:p>
    <w:p w:rsidR="00A32067" w:rsidRDefault="00A32067">
      <w:pPr>
        <w:spacing w:line="360" w:lineRule="auto"/>
        <w:jc w:val="center"/>
        <w:outlineLvl w:val="2"/>
        <w:rPr>
          <w:b/>
          <w:bCs/>
          <w:sz w:val="44"/>
          <w:szCs w:val="44"/>
        </w:rPr>
      </w:pPr>
      <w:bookmarkStart w:id="73" w:name="_Toc519872302"/>
      <w:r>
        <w:rPr>
          <w:rFonts w:cs="宋体" w:hint="eastAsia"/>
          <w:b/>
          <w:bCs/>
          <w:sz w:val="44"/>
          <w:szCs w:val="44"/>
        </w:rPr>
        <w:t>关于印发《河北省工程造价咨询服务收费</w:t>
      </w:r>
      <w:r>
        <w:rPr>
          <w:b/>
          <w:bCs/>
          <w:sz w:val="44"/>
          <w:szCs w:val="44"/>
        </w:rPr>
        <w:br/>
      </w:r>
      <w:r>
        <w:rPr>
          <w:rFonts w:cs="宋体" w:hint="eastAsia"/>
          <w:b/>
          <w:bCs/>
          <w:sz w:val="44"/>
          <w:szCs w:val="44"/>
        </w:rPr>
        <w:t>管理暂行办法》的通知</w:t>
      </w:r>
      <w:r>
        <w:rPr>
          <w:b/>
          <w:bCs/>
          <w:sz w:val="44"/>
          <w:szCs w:val="44"/>
        </w:rPr>
        <w:br/>
      </w:r>
      <w:r>
        <w:rPr>
          <w:rFonts w:cs="宋体" w:hint="eastAsia"/>
          <w:color w:val="000000"/>
          <w:sz w:val="22"/>
          <w:szCs w:val="22"/>
        </w:rPr>
        <w:t>冀建市研［</w:t>
      </w:r>
      <w:r>
        <w:rPr>
          <w:color w:val="000000"/>
          <w:sz w:val="22"/>
          <w:szCs w:val="22"/>
        </w:rPr>
        <w:t>2017</w:t>
      </w:r>
      <w:r>
        <w:rPr>
          <w:rFonts w:cs="宋体" w:hint="eastAsia"/>
          <w:color w:val="000000"/>
          <w:sz w:val="22"/>
          <w:szCs w:val="22"/>
        </w:rPr>
        <w:t>］</w:t>
      </w:r>
      <w:r>
        <w:rPr>
          <w:color w:val="000000"/>
          <w:sz w:val="22"/>
          <w:szCs w:val="22"/>
        </w:rPr>
        <w:t>2</w:t>
      </w:r>
      <w:r>
        <w:rPr>
          <w:rFonts w:cs="宋体" w:hint="eastAsia"/>
          <w:color w:val="000000"/>
          <w:sz w:val="22"/>
          <w:szCs w:val="22"/>
        </w:rPr>
        <w:t>号</w:t>
      </w:r>
      <w:bookmarkEnd w:id="73"/>
    </w:p>
    <w:p w:rsidR="00A32067" w:rsidRDefault="00A32067">
      <w:pPr>
        <w:pStyle w:val="NormalWeb"/>
        <w:shd w:val="clear" w:color="auto" w:fill="FFFFFF"/>
        <w:spacing w:before="0" w:beforeAutospacing="0" w:after="0" w:afterAutospacing="0" w:line="48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各工程造价咨询企业、有关单位：</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为进一步加强工程造价咨询行业诚信自律，规范执业行为，保证工程造价成果质量，维护工程造价咨询企业和委托人双方合法权益，促进工程造价咨询行业健康发展，河北省建筑市场发展研究会依据《中价协关于规范工程造价咨询服务收费的通知》（中价协</w:t>
      </w:r>
      <w:r>
        <w:rPr>
          <w:rFonts w:ascii="Times New Roman" w:hAnsi="Times New Roman" w:cs="Times New Roman"/>
          <w:color w:val="000000"/>
          <w:sz w:val="22"/>
          <w:szCs w:val="22"/>
        </w:rPr>
        <w:t>[2013]35</w:t>
      </w:r>
      <w:r>
        <w:rPr>
          <w:rFonts w:ascii="Times New Roman" w:hAnsi="Times New Roman" w:hint="eastAsia"/>
          <w:color w:val="000000"/>
          <w:sz w:val="22"/>
          <w:szCs w:val="22"/>
        </w:rPr>
        <w:t>号）组织省内有关单位与行业内专家研究制定了《河北省工程造价咨询服务收费管理暂行办法》，现印发给你们，本办法自</w:t>
      </w:r>
      <w:r>
        <w:rPr>
          <w:rFonts w:ascii="Times New Roman" w:hAnsi="Times New Roman" w:cs="Times New Roman"/>
          <w:color w:val="000000"/>
          <w:sz w:val="22"/>
          <w:szCs w:val="22"/>
        </w:rPr>
        <w:t>2017</w:t>
      </w:r>
      <w:r>
        <w:rPr>
          <w:rFonts w:ascii="Times New Roman" w:hAnsi="Times New Roman" w:hint="eastAsia"/>
          <w:color w:val="000000"/>
          <w:sz w:val="22"/>
          <w:szCs w:val="22"/>
        </w:rPr>
        <w:t>年</w:t>
      </w:r>
      <w:r>
        <w:rPr>
          <w:rFonts w:ascii="Times New Roman" w:hAnsi="Times New Roman" w:cs="Times New Roman"/>
          <w:color w:val="000000"/>
          <w:sz w:val="22"/>
          <w:szCs w:val="22"/>
        </w:rPr>
        <w:t>5</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附件：河北省工程造价咨询服务收费管理暂行办法</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hint="eastAsia"/>
          <w:color w:val="000000"/>
          <w:sz w:val="22"/>
          <w:szCs w:val="22"/>
        </w:rPr>
        <w:t>河北省建筑市场发展研究会</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cs="Times New Roman"/>
          <w:color w:val="000000"/>
          <w:sz w:val="22"/>
          <w:szCs w:val="22"/>
        </w:rPr>
        <w:t>2017</w:t>
      </w:r>
      <w:r>
        <w:rPr>
          <w:rFonts w:ascii="Times New Roman" w:hAnsi="Times New Roman" w:hint="eastAsia"/>
          <w:color w:val="000000"/>
          <w:sz w:val="22"/>
          <w:szCs w:val="22"/>
        </w:rPr>
        <w:t>年</w:t>
      </w:r>
      <w:r>
        <w:rPr>
          <w:rFonts w:ascii="Times New Roman" w:hAnsi="Times New Roman" w:cs="Times New Roman"/>
          <w:color w:val="000000"/>
          <w:sz w:val="22"/>
          <w:szCs w:val="22"/>
        </w:rPr>
        <w:t>4</w:t>
      </w:r>
      <w:r>
        <w:rPr>
          <w:rFonts w:ascii="Times New Roman" w:hAnsi="Times New Roman" w:hint="eastAsia"/>
          <w:color w:val="000000"/>
          <w:sz w:val="22"/>
          <w:szCs w:val="22"/>
        </w:rPr>
        <w:t>月</w:t>
      </w:r>
      <w:r>
        <w:rPr>
          <w:rFonts w:ascii="Times New Roman" w:hAnsi="Times New Roman" w:cs="Times New Roman"/>
          <w:color w:val="000000"/>
          <w:sz w:val="22"/>
          <w:szCs w:val="22"/>
        </w:rPr>
        <w:t>28</w:t>
      </w:r>
      <w:r>
        <w:rPr>
          <w:rFonts w:ascii="Times New Roman" w:hAnsi="Times New Roman" w:hint="eastAsia"/>
          <w:color w:val="000000"/>
          <w:sz w:val="22"/>
          <w:szCs w:val="22"/>
        </w:rPr>
        <w:t>日</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抄报：河北省住房和城乡建设厅</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河北省发展和改革委员会</w:t>
      </w:r>
      <w:r>
        <w:rPr>
          <w:rFonts w:ascii="Times New Roman" w:hAnsi="Times New Roman" w:cs="Times New Roman"/>
          <w:color w:val="000000"/>
          <w:sz w:val="22"/>
          <w:szCs w:val="22"/>
        </w:rPr>
        <w:t xml:space="preserve">  </w:t>
      </w:r>
      <w:r>
        <w:rPr>
          <w:rFonts w:ascii="Times New Roman" w:hAnsi="Times New Roman" w:hint="eastAsia"/>
          <w:color w:val="000000"/>
          <w:sz w:val="22"/>
          <w:szCs w:val="22"/>
        </w:rPr>
        <w:t>河北省财政厅</w:t>
      </w:r>
      <w:r>
        <w:rPr>
          <w:rFonts w:ascii="Times New Roman" w:hAnsi="Times New Roman" w:cs="Times New Roman"/>
          <w:color w:val="000000"/>
          <w:sz w:val="22"/>
          <w:szCs w:val="22"/>
        </w:rPr>
        <w:t> </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color w:val="000000"/>
          <w:sz w:val="22"/>
          <w:szCs w:val="22"/>
        </w:rPr>
        <w:t>各市（含定州、辛集市）住房和城乡建设局（建设局）</w:t>
      </w:r>
      <w:r>
        <w:rPr>
          <w:rFonts w:ascii="Times New Roman" w:hAnsi="Times New Roman" w:cs="Times New Roman"/>
          <w:color w:val="000000"/>
          <w:sz w:val="22"/>
          <w:szCs w:val="22"/>
        </w:rPr>
        <w:t xml:space="preserve">  </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color w:val="000000"/>
          <w:sz w:val="22"/>
          <w:szCs w:val="22"/>
        </w:rPr>
        <w:t>中国建设工程造价管理协会</w:t>
      </w:r>
      <w:r>
        <w:rPr>
          <w:rFonts w:ascii="Times New Roman" w:hAnsi="Times New Roman" w:cs="Times New Roman"/>
          <w:color w:val="000000"/>
          <w:sz w:val="22"/>
          <w:szCs w:val="22"/>
        </w:rPr>
        <w:t>  </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抄送：各市造价协会</w:t>
      </w:r>
      <w:r>
        <w:rPr>
          <w:rFonts w:ascii="Times New Roman" w:hAnsi="Times New Roman" w:cs="Times New Roman"/>
          <w:color w:val="000000"/>
          <w:sz w:val="22"/>
          <w:szCs w:val="22"/>
        </w:rPr>
        <w:t> </w:t>
      </w:r>
    </w:p>
    <w:p w:rsidR="00A32067" w:rsidRDefault="00A32067">
      <w:pPr>
        <w:shd w:val="clear" w:color="auto" w:fill="FFFFFF"/>
        <w:spacing w:line="520" w:lineRule="exact"/>
        <w:rPr>
          <w:color w:val="3E3E3E"/>
          <w:sz w:val="24"/>
          <w:szCs w:val="24"/>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3E3E3E"/>
          <w:kern w:val="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3E3E3E"/>
          <w:kern w:val="2"/>
        </w:rPr>
      </w:pP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b/>
          <w:bCs/>
          <w:color w:val="000000"/>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b/>
          <w:bCs/>
          <w:color w:val="000000"/>
        </w:rPr>
      </w:pPr>
      <w:r>
        <w:rPr>
          <w:rFonts w:ascii="Times New Roman" w:hAnsi="Times New Roman" w:hint="eastAsia"/>
          <w:b/>
          <w:bCs/>
          <w:color w:val="000000"/>
        </w:rPr>
        <w:t>附件：</w:t>
      </w:r>
      <w:r>
        <w:rPr>
          <w:rFonts w:ascii="Times New Roman" w:hAnsi="Times New Roman" w:cs="Times New Roman"/>
          <w:b/>
          <w:bCs/>
          <w:color w:val="000000"/>
        </w:rPr>
        <w:t> </w:t>
      </w:r>
    </w:p>
    <w:p w:rsidR="00A32067" w:rsidRDefault="00A32067" w:rsidP="0002085C">
      <w:pPr>
        <w:pStyle w:val="NormalWeb"/>
        <w:shd w:val="clear" w:color="auto" w:fill="FFFFFF"/>
        <w:spacing w:beforeLines="50" w:beforeAutospacing="0" w:afterLines="50" w:afterAutospacing="0" w:line="360" w:lineRule="auto"/>
        <w:jc w:val="center"/>
        <w:rPr>
          <w:rFonts w:ascii="Times New Roman" w:hAnsi="Times New Roman" w:cs="Times New Roman"/>
          <w:b/>
          <w:bCs/>
          <w:color w:val="333333"/>
          <w:sz w:val="40"/>
          <w:szCs w:val="40"/>
        </w:rPr>
      </w:pPr>
      <w:r>
        <w:rPr>
          <w:rFonts w:ascii="Times New Roman" w:hAnsi="Times New Roman" w:hint="eastAsia"/>
          <w:b/>
          <w:bCs/>
          <w:color w:val="333333"/>
          <w:sz w:val="40"/>
          <w:szCs w:val="40"/>
        </w:rPr>
        <w:t>河北省工程造价咨询服务收费管理暂行办法</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第一条</w:t>
      </w:r>
      <w:r>
        <w:rPr>
          <w:rFonts w:cs="宋体" w:hint="eastAsia"/>
          <w:kern w:val="0"/>
          <w:sz w:val="22"/>
          <w:szCs w:val="22"/>
        </w:rPr>
        <w:t>为规范工程造价咨询服务收费行为，维护当事人的合法权益，促进工程造价咨询行业的健康发展，根据《中华人民共和国价格法》（主席令第</w:t>
      </w:r>
      <w:r>
        <w:rPr>
          <w:kern w:val="0"/>
          <w:sz w:val="22"/>
          <w:szCs w:val="22"/>
        </w:rPr>
        <w:t>92</w:t>
      </w:r>
      <w:r>
        <w:rPr>
          <w:rFonts w:cs="宋体" w:hint="eastAsia"/>
          <w:kern w:val="0"/>
          <w:sz w:val="22"/>
          <w:szCs w:val="22"/>
        </w:rPr>
        <w:t>号）、《工程造价咨询企业管理办法》（建设部令第</w:t>
      </w:r>
      <w:r>
        <w:rPr>
          <w:kern w:val="0"/>
          <w:sz w:val="22"/>
          <w:szCs w:val="22"/>
        </w:rPr>
        <w:t>149</w:t>
      </w:r>
      <w:r>
        <w:rPr>
          <w:rFonts w:cs="宋体" w:hint="eastAsia"/>
          <w:kern w:val="0"/>
          <w:sz w:val="22"/>
          <w:szCs w:val="22"/>
        </w:rPr>
        <w:t>号）、《河北省建筑工程造价管理办法》（省政府令</w:t>
      </w:r>
      <w:r>
        <w:rPr>
          <w:kern w:val="0"/>
          <w:sz w:val="22"/>
          <w:szCs w:val="22"/>
        </w:rPr>
        <w:t>[2014]8</w:t>
      </w:r>
      <w:r>
        <w:rPr>
          <w:rFonts w:cs="宋体" w:hint="eastAsia"/>
          <w:kern w:val="0"/>
          <w:sz w:val="22"/>
          <w:szCs w:val="22"/>
        </w:rPr>
        <w:t>号）及《中价协关于规范工程造价咨询服务收费的通知》（中价协</w:t>
      </w:r>
      <w:r>
        <w:rPr>
          <w:kern w:val="0"/>
          <w:sz w:val="22"/>
          <w:szCs w:val="22"/>
        </w:rPr>
        <w:t>[2013]35</w:t>
      </w:r>
      <w:r>
        <w:rPr>
          <w:rFonts w:cs="宋体" w:hint="eastAsia"/>
          <w:kern w:val="0"/>
          <w:sz w:val="22"/>
          <w:szCs w:val="22"/>
        </w:rPr>
        <w:t>号）及有关法律、法规、规章，结合我省实际，制定本办法。</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第二条</w:t>
      </w:r>
      <w:r>
        <w:rPr>
          <w:rFonts w:cs="宋体" w:hint="eastAsia"/>
          <w:kern w:val="0"/>
          <w:sz w:val="22"/>
          <w:szCs w:val="22"/>
        </w:rPr>
        <w:t>依法设立具有工商行政管理部门核发的《企业法人营业执照》，并取得建设行政主管部门《工程造价咨询企业资质证书》的企业，应按照《建设工程造价咨询合同（示范文本）》与委托方签订咨询合同，并在承接工程造价咨询业务时向委托方收取工程造价咨询服务费。</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第三条</w:t>
      </w:r>
      <w:r>
        <w:rPr>
          <w:rFonts w:cs="宋体" w:hint="eastAsia"/>
          <w:kern w:val="0"/>
          <w:sz w:val="22"/>
          <w:szCs w:val="22"/>
        </w:rPr>
        <w:t>工程造价咨询服务收费是指工程造价咨询企业接受社会委托，从事投资估算、经济评价、概算编制与审核、预算编制与审核、工程量清单编制与审核、招标控制价（最高投标限价）编制与审核、施工阶段造价咨询、结算编制与审核、全过程造价咨询服务、工程造价鉴定等与工程造价业务有关的咨询服务，并出具工程造价咨询成果文件等业务活动所收取的费用。</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第四条</w:t>
      </w:r>
      <w:r>
        <w:rPr>
          <w:rFonts w:cs="宋体" w:hint="eastAsia"/>
          <w:kern w:val="0"/>
          <w:sz w:val="22"/>
          <w:szCs w:val="22"/>
        </w:rPr>
        <w:t>工程造价咨询服务应当遵循公平公正、诚实守信、自愿有偿、委托方付费的原则（法律、法规另有规定的除外）。</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第五条</w:t>
      </w:r>
      <w:r>
        <w:rPr>
          <w:rFonts w:cs="宋体" w:hint="eastAsia"/>
          <w:kern w:val="0"/>
          <w:sz w:val="22"/>
          <w:szCs w:val="22"/>
        </w:rPr>
        <w:t>工程造价咨询企业应遵守国家法律、法规和有关标准，并应严格按照行业的执业准则、管理规范、操作规程、造价咨询成果文件质量标准等提供质量合格的服务。</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第六条</w:t>
      </w:r>
      <w:r>
        <w:rPr>
          <w:rFonts w:cs="宋体" w:hint="eastAsia"/>
          <w:kern w:val="0"/>
          <w:sz w:val="22"/>
          <w:szCs w:val="22"/>
        </w:rPr>
        <w:t>工程造价咨询企业因提交的工程造价咨询成果文件达不到合同规定的要求或质量标准，应负责修改完善，委托方不应另行支付咨询服务费。</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第七条</w:t>
      </w:r>
      <w:r>
        <w:rPr>
          <w:rFonts w:cs="宋体" w:hint="eastAsia"/>
          <w:kern w:val="0"/>
          <w:sz w:val="22"/>
          <w:szCs w:val="22"/>
        </w:rPr>
        <w:t>工程造价咨询合同履行过程中，由于委托方或工程造价咨询企业失误造成对方损失或达不到合同约定要求的，应按双方合同约定的相应条款予以赔偿。</w:t>
      </w:r>
      <w:r>
        <w:rPr>
          <w:kern w:val="0"/>
          <w:sz w:val="22"/>
          <w:szCs w:val="22"/>
        </w:rPr>
        <w:br/>
        <w:t>  </w:t>
      </w:r>
      <w:r>
        <w:rPr>
          <w:rFonts w:cs="宋体" w:hint="eastAsia"/>
          <w:b/>
          <w:bCs/>
          <w:kern w:val="0"/>
          <w:sz w:val="22"/>
          <w:szCs w:val="22"/>
        </w:rPr>
        <w:t>第八条</w:t>
      </w:r>
      <w:r>
        <w:rPr>
          <w:rFonts w:cs="宋体" w:hint="eastAsia"/>
          <w:kern w:val="0"/>
          <w:sz w:val="22"/>
          <w:szCs w:val="22"/>
        </w:rPr>
        <w:t>《河北省建设工程造价咨询服务项目收费标准》为基准价格，上下浮动幅度为</w:t>
      </w:r>
      <w:r>
        <w:rPr>
          <w:kern w:val="0"/>
          <w:sz w:val="22"/>
          <w:szCs w:val="22"/>
        </w:rPr>
        <w:t>20%</w:t>
      </w:r>
      <w:r>
        <w:rPr>
          <w:rFonts w:cs="宋体" w:hint="eastAsia"/>
          <w:kern w:val="0"/>
          <w:sz w:val="22"/>
          <w:szCs w:val="22"/>
        </w:rPr>
        <w:t>，具体收费金额由工程造价咨询企业与委托方根据咨询项目的难易程度等具体情况，在规定的基准价格和浮动幅度内协商确定。</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第九条</w:t>
      </w:r>
      <w:r>
        <w:rPr>
          <w:rFonts w:cs="宋体" w:hint="eastAsia"/>
          <w:kern w:val="0"/>
          <w:sz w:val="22"/>
          <w:szCs w:val="22"/>
        </w:rPr>
        <w:t>河北省建筑市场发展研究会应引导工程造价咨询企业诚信经营，指导会员单位加强自律，对恶意降低服务费，降低服务质量，扰乱正常市场秩序的工程造价咨询企业采取以下措施：</w:t>
      </w:r>
    </w:p>
    <w:p w:rsidR="00A32067" w:rsidRDefault="00A32067" w:rsidP="005431C7">
      <w:pPr>
        <w:spacing w:line="360" w:lineRule="auto"/>
        <w:ind w:firstLineChars="200" w:firstLine="31680"/>
        <w:rPr>
          <w:kern w:val="0"/>
          <w:sz w:val="22"/>
          <w:szCs w:val="22"/>
        </w:rPr>
      </w:pPr>
      <w:r>
        <w:rPr>
          <w:rFonts w:cs="宋体" w:hint="eastAsia"/>
          <w:kern w:val="0"/>
          <w:sz w:val="22"/>
          <w:szCs w:val="22"/>
        </w:rPr>
        <w:t>（一）约谈；</w:t>
      </w:r>
    </w:p>
    <w:p w:rsidR="00A32067" w:rsidRDefault="00A32067" w:rsidP="005431C7">
      <w:pPr>
        <w:spacing w:line="360" w:lineRule="auto"/>
        <w:ind w:firstLineChars="200" w:firstLine="31680"/>
        <w:rPr>
          <w:kern w:val="0"/>
          <w:sz w:val="22"/>
          <w:szCs w:val="22"/>
        </w:rPr>
      </w:pPr>
      <w:r>
        <w:rPr>
          <w:rFonts w:cs="宋体" w:hint="eastAsia"/>
          <w:kern w:val="0"/>
          <w:sz w:val="22"/>
          <w:szCs w:val="22"/>
        </w:rPr>
        <w:t>（二）警告；</w:t>
      </w:r>
    </w:p>
    <w:p w:rsidR="00A32067" w:rsidRDefault="00A32067" w:rsidP="005431C7">
      <w:pPr>
        <w:spacing w:line="360" w:lineRule="auto"/>
        <w:ind w:firstLineChars="200" w:firstLine="31680"/>
        <w:rPr>
          <w:kern w:val="0"/>
          <w:sz w:val="22"/>
          <w:szCs w:val="22"/>
        </w:rPr>
      </w:pPr>
      <w:r>
        <w:rPr>
          <w:rFonts w:cs="宋体" w:hint="eastAsia"/>
          <w:kern w:val="0"/>
          <w:sz w:val="22"/>
          <w:szCs w:val="22"/>
        </w:rPr>
        <w:t>（三）记入信用档案，通过河北省建筑市场发展研究会网站、内刊、简报等形式通报；</w:t>
      </w:r>
    </w:p>
    <w:p w:rsidR="00A32067" w:rsidRDefault="00A32067" w:rsidP="005431C7">
      <w:pPr>
        <w:spacing w:line="360" w:lineRule="auto"/>
        <w:ind w:firstLineChars="200" w:firstLine="31680"/>
        <w:rPr>
          <w:kern w:val="0"/>
          <w:sz w:val="22"/>
          <w:szCs w:val="22"/>
        </w:rPr>
      </w:pPr>
      <w:r>
        <w:rPr>
          <w:rFonts w:cs="宋体" w:hint="eastAsia"/>
          <w:kern w:val="0"/>
          <w:sz w:val="22"/>
          <w:szCs w:val="22"/>
        </w:rPr>
        <w:t>（四）取消评选或推荐先进企业资格；</w:t>
      </w:r>
    </w:p>
    <w:p w:rsidR="00A32067" w:rsidRDefault="00A32067" w:rsidP="005431C7">
      <w:pPr>
        <w:spacing w:line="360" w:lineRule="auto"/>
        <w:ind w:firstLineChars="200" w:firstLine="31680"/>
        <w:rPr>
          <w:kern w:val="0"/>
          <w:sz w:val="22"/>
          <w:szCs w:val="22"/>
        </w:rPr>
      </w:pPr>
      <w:r>
        <w:rPr>
          <w:rFonts w:cs="宋体" w:hint="eastAsia"/>
          <w:kern w:val="0"/>
          <w:sz w:val="22"/>
          <w:szCs w:val="22"/>
        </w:rPr>
        <w:t>（五）报送建设行政主管部门进行惩戒。</w:t>
      </w:r>
    </w:p>
    <w:p w:rsidR="00A32067" w:rsidRDefault="00A32067" w:rsidP="005431C7">
      <w:pPr>
        <w:spacing w:line="360" w:lineRule="auto"/>
        <w:ind w:firstLineChars="200" w:firstLine="31680"/>
        <w:rPr>
          <w:kern w:val="0"/>
          <w:sz w:val="22"/>
          <w:szCs w:val="22"/>
        </w:rPr>
      </w:pPr>
      <w:r>
        <w:rPr>
          <w:rFonts w:cs="宋体" w:hint="eastAsia"/>
          <w:b/>
          <w:bCs/>
          <w:kern w:val="0"/>
          <w:sz w:val="22"/>
          <w:szCs w:val="22"/>
        </w:rPr>
        <w:t>第十条</w:t>
      </w:r>
      <w:r>
        <w:rPr>
          <w:rFonts w:cs="宋体" w:hint="eastAsia"/>
          <w:kern w:val="0"/>
          <w:sz w:val="22"/>
          <w:szCs w:val="22"/>
        </w:rPr>
        <w:t>本办法自</w:t>
      </w:r>
      <w:r>
        <w:rPr>
          <w:kern w:val="0"/>
          <w:sz w:val="22"/>
          <w:szCs w:val="22"/>
        </w:rPr>
        <w:t>2017</w:t>
      </w:r>
      <w:r>
        <w:rPr>
          <w:rFonts w:cs="宋体" w:hint="eastAsia"/>
          <w:kern w:val="0"/>
          <w:sz w:val="22"/>
          <w:szCs w:val="22"/>
        </w:rPr>
        <w:t>年</w:t>
      </w:r>
      <w:r>
        <w:rPr>
          <w:kern w:val="0"/>
          <w:sz w:val="22"/>
          <w:szCs w:val="22"/>
        </w:rPr>
        <w:t>5</w:t>
      </w:r>
      <w:r>
        <w:rPr>
          <w:rFonts w:cs="宋体" w:hint="eastAsia"/>
          <w:kern w:val="0"/>
          <w:sz w:val="22"/>
          <w:szCs w:val="22"/>
        </w:rPr>
        <w:t>月</w:t>
      </w:r>
      <w:r>
        <w:rPr>
          <w:kern w:val="0"/>
          <w:sz w:val="22"/>
          <w:szCs w:val="22"/>
        </w:rPr>
        <w:t>1</w:t>
      </w:r>
      <w:r>
        <w:rPr>
          <w:rFonts w:cs="宋体" w:hint="eastAsia"/>
          <w:kern w:val="0"/>
          <w:sz w:val="22"/>
          <w:szCs w:val="22"/>
        </w:rPr>
        <w:t>日起执行，由河北省建筑市场发展研究会负责解释。</w:t>
      </w: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rsidP="005431C7">
      <w:pPr>
        <w:spacing w:line="360" w:lineRule="auto"/>
        <w:ind w:firstLineChars="200" w:firstLine="31680"/>
        <w:rPr>
          <w:kern w:val="0"/>
          <w:sz w:val="22"/>
          <w:szCs w:val="22"/>
        </w:rPr>
      </w:pPr>
    </w:p>
    <w:p w:rsidR="00A32067" w:rsidRDefault="00A32067">
      <w:pPr>
        <w:spacing w:line="360" w:lineRule="auto"/>
        <w:rPr>
          <w:kern w:val="0"/>
          <w:sz w:val="22"/>
          <w:szCs w:val="22"/>
        </w:rPr>
      </w:pPr>
      <w:r>
        <w:rPr>
          <w:rFonts w:cs="宋体" w:hint="eastAsia"/>
          <w:kern w:val="0"/>
          <w:sz w:val="22"/>
          <w:szCs w:val="22"/>
        </w:rPr>
        <w:t>附件：</w:t>
      </w:r>
      <w:r>
        <w:rPr>
          <w:kern w:val="0"/>
          <w:sz w:val="22"/>
          <w:szCs w:val="22"/>
        </w:rPr>
        <w:t> 1.</w:t>
      </w:r>
      <w:r>
        <w:rPr>
          <w:rFonts w:cs="宋体" w:hint="eastAsia"/>
          <w:kern w:val="0"/>
          <w:sz w:val="22"/>
          <w:szCs w:val="22"/>
        </w:rPr>
        <w:t>河北省建设工程造价咨询服务项目收费标准</w:t>
      </w:r>
    </w:p>
    <w:p w:rsidR="00A32067" w:rsidRDefault="00A32067" w:rsidP="005431C7">
      <w:pPr>
        <w:spacing w:line="360" w:lineRule="auto"/>
        <w:ind w:firstLineChars="400" w:firstLine="31680"/>
        <w:rPr>
          <w:kern w:val="0"/>
          <w:sz w:val="22"/>
          <w:szCs w:val="22"/>
        </w:rPr>
      </w:pPr>
      <w:r>
        <w:rPr>
          <w:kern w:val="0"/>
          <w:sz w:val="22"/>
          <w:szCs w:val="22"/>
        </w:rPr>
        <w:t>2.</w:t>
      </w:r>
      <w:r>
        <w:rPr>
          <w:rFonts w:cs="宋体" w:hint="eastAsia"/>
          <w:kern w:val="0"/>
          <w:sz w:val="22"/>
          <w:szCs w:val="22"/>
        </w:rPr>
        <w:t>建设工程造价咨询收费专业工程调整系数表</w:t>
      </w:r>
    </w:p>
    <w:p w:rsidR="00A32067" w:rsidRDefault="00A32067" w:rsidP="005431C7">
      <w:pPr>
        <w:spacing w:line="360" w:lineRule="auto"/>
        <w:ind w:firstLineChars="400" w:firstLine="31680"/>
        <w:rPr>
          <w:kern w:val="0"/>
          <w:sz w:val="22"/>
          <w:szCs w:val="22"/>
        </w:rPr>
      </w:pPr>
      <w:r>
        <w:rPr>
          <w:kern w:val="0"/>
          <w:sz w:val="22"/>
          <w:szCs w:val="22"/>
        </w:rPr>
        <w:t>3.</w:t>
      </w:r>
      <w:r>
        <w:rPr>
          <w:rFonts w:cs="宋体" w:hint="eastAsia"/>
          <w:kern w:val="0"/>
          <w:sz w:val="22"/>
          <w:szCs w:val="22"/>
        </w:rPr>
        <w:t>建设工程造价咨询附加收费表</w:t>
      </w:r>
    </w:p>
    <w:p w:rsidR="00A32067" w:rsidRDefault="00A32067" w:rsidP="005431C7">
      <w:pPr>
        <w:spacing w:line="360" w:lineRule="auto"/>
        <w:ind w:firstLineChars="400" w:firstLine="31680"/>
        <w:rPr>
          <w:kern w:val="0"/>
          <w:sz w:val="22"/>
          <w:szCs w:val="22"/>
        </w:rPr>
      </w:pPr>
      <w:r>
        <w:rPr>
          <w:kern w:val="0"/>
          <w:sz w:val="22"/>
          <w:szCs w:val="22"/>
        </w:rPr>
        <w:t>4.</w:t>
      </w:r>
      <w:r>
        <w:rPr>
          <w:rFonts w:cs="宋体" w:hint="eastAsia"/>
          <w:kern w:val="0"/>
          <w:sz w:val="22"/>
          <w:szCs w:val="22"/>
        </w:rPr>
        <w:t>建设工程造价咨询日收费标准</w:t>
      </w: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rsidP="005431C7">
      <w:pPr>
        <w:shd w:val="clear" w:color="auto" w:fill="FFFFFF"/>
        <w:spacing w:line="520" w:lineRule="exact"/>
        <w:ind w:firstLineChars="500" w:firstLine="31680"/>
        <w:rPr>
          <w:b/>
          <w:bCs/>
          <w:color w:val="3E3E3E"/>
          <w:sz w:val="24"/>
          <w:szCs w:val="24"/>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w:t>
      </w:r>
      <w:r>
        <w:rPr>
          <w:rFonts w:ascii="Times New Roman" w:hAnsi="Times New Roman" w:cs="Times New Roman"/>
          <w:b/>
          <w:bCs/>
          <w:kern w:val="2"/>
        </w:rPr>
        <w:t xml:space="preserve">1      </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河北省建设工程造价咨询服务项目收费标准</w:t>
      </w:r>
    </w:p>
    <w:tbl>
      <w:tblPr>
        <w:tblW w:w="145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891"/>
        <w:gridCol w:w="824"/>
        <w:gridCol w:w="1393"/>
        <w:gridCol w:w="1582"/>
        <w:gridCol w:w="1366"/>
        <w:gridCol w:w="187"/>
        <w:gridCol w:w="1138"/>
        <w:gridCol w:w="280"/>
        <w:gridCol w:w="1290"/>
        <w:gridCol w:w="274"/>
        <w:gridCol w:w="706"/>
        <w:gridCol w:w="149"/>
        <w:gridCol w:w="1266"/>
        <w:gridCol w:w="3249"/>
      </w:tblGrid>
      <w:tr w:rsidR="00A32067">
        <w:trPr>
          <w:trHeight w:hRule="exact" w:val="397"/>
        </w:trPr>
        <w:tc>
          <w:tcPr>
            <w:tcW w:w="891" w:type="dxa"/>
            <w:vMerge w:val="restart"/>
            <w:shd w:val="clear" w:color="auto" w:fill="FFFFFF"/>
            <w:tcMar>
              <w:top w:w="15" w:type="dxa"/>
              <w:left w:w="15" w:type="dxa"/>
              <w:bottom w:w="15" w:type="dxa"/>
              <w:right w:w="15" w:type="dxa"/>
            </w:tcMar>
            <w:vAlign w:val="center"/>
          </w:tcPr>
          <w:p w:rsidR="00A32067" w:rsidRDefault="00A32067">
            <w:pPr>
              <w:jc w:val="center"/>
              <w:textAlignment w:val="center"/>
              <w:rPr>
                <w:color w:val="3E3E3E"/>
              </w:rPr>
            </w:pPr>
            <w:r>
              <w:rPr>
                <w:rFonts w:cs="宋体" w:hint="eastAsia"/>
                <w:b/>
                <w:bCs/>
                <w:color w:val="3E3E3E"/>
              </w:rPr>
              <w:t>序号</w:t>
            </w:r>
          </w:p>
        </w:tc>
        <w:tc>
          <w:tcPr>
            <w:tcW w:w="2217" w:type="dxa"/>
            <w:gridSpan w:val="2"/>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咨询服务名称</w:t>
            </w:r>
          </w:p>
        </w:tc>
        <w:tc>
          <w:tcPr>
            <w:tcW w:w="1582" w:type="dxa"/>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收费基数</w:t>
            </w:r>
            <w:r>
              <w:rPr>
                <w:b/>
                <w:bCs/>
                <w:color w:val="3E3E3E"/>
              </w:rPr>
              <w:t>(X)</w:t>
            </w:r>
          </w:p>
        </w:tc>
        <w:tc>
          <w:tcPr>
            <w:tcW w:w="6656" w:type="dxa"/>
            <w:gridSpan w:val="9"/>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划分标准（万元）</w:t>
            </w:r>
          </w:p>
        </w:tc>
        <w:tc>
          <w:tcPr>
            <w:tcW w:w="3249" w:type="dxa"/>
            <w:vMerge w:val="restart"/>
            <w:shd w:val="clear" w:color="auto" w:fill="FFFFFF"/>
            <w:vAlign w:val="center"/>
          </w:tcPr>
          <w:p w:rsidR="00A32067" w:rsidRDefault="00A32067">
            <w:pPr>
              <w:wordWrap w:val="0"/>
              <w:jc w:val="center"/>
              <w:textAlignment w:val="center"/>
              <w:rPr>
                <w:color w:val="3E3E3E"/>
              </w:rPr>
            </w:pPr>
            <w:r>
              <w:rPr>
                <w:rFonts w:cs="宋体" w:hint="eastAsia"/>
                <w:b/>
                <w:bCs/>
                <w:color w:val="3E3E3E"/>
              </w:rPr>
              <w:t>备注</w:t>
            </w:r>
          </w:p>
        </w:tc>
      </w:tr>
      <w:tr w:rsidR="00A32067">
        <w:trPr>
          <w:trHeight w:hRule="exact" w:val="583"/>
        </w:trPr>
        <w:tc>
          <w:tcPr>
            <w:tcW w:w="891" w:type="dxa"/>
            <w:vMerge/>
            <w:shd w:val="clear" w:color="auto" w:fill="FFFFFF"/>
            <w:vAlign w:val="center"/>
          </w:tcPr>
          <w:p w:rsidR="00A32067" w:rsidRDefault="00A32067">
            <w:pPr>
              <w:rPr>
                <w:color w:val="3E3E3E"/>
              </w:rPr>
            </w:pPr>
          </w:p>
        </w:tc>
        <w:tc>
          <w:tcPr>
            <w:tcW w:w="2217" w:type="dxa"/>
            <w:gridSpan w:val="2"/>
            <w:vMerge/>
            <w:shd w:val="clear" w:color="auto" w:fill="FFFFFF"/>
            <w:vAlign w:val="center"/>
          </w:tcPr>
          <w:p w:rsidR="00A32067" w:rsidRDefault="00A32067">
            <w:pPr>
              <w:rPr>
                <w:color w:val="3E3E3E"/>
              </w:rPr>
            </w:pPr>
          </w:p>
        </w:tc>
        <w:tc>
          <w:tcPr>
            <w:tcW w:w="1582" w:type="dxa"/>
            <w:vMerge/>
            <w:shd w:val="clear" w:color="auto" w:fill="FFFFFF"/>
            <w:vAlign w:val="center"/>
          </w:tcPr>
          <w:p w:rsidR="00A32067" w:rsidRDefault="00A32067">
            <w:pPr>
              <w:rPr>
                <w:color w:val="3E3E3E"/>
              </w:rPr>
            </w:pP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X≤200        </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200</w:t>
            </w:r>
            <w:r>
              <w:rPr>
                <w:rFonts w:cs="宋体" w:hint="eastAsia"/>
                <w:b/>
                <w:bCs/>
                <w:color w:val="3E3E3E"/>
              </w:rPr>
              <w:t>＜</w:t>
            </w:r>
            <w:r>
              <w:rPr>
                <w:b/>
                <w:bCs/>
                <w:color w:val="3E3E3E"/>
              </w:rPr>
              <w:t>X≤500</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500</w:t>
            </w:r>
            <w:r>
              <w:rPr>
                <w:rFonts w:cs="宋体" w:hint="eastAsia"/>
                <w:b/>
                <w:bCs/>
                <w:color w:val="3E3E3E"/>
              </w:rPr>
              <w:t>＜</w:t>
            </w:r>
            <w:r>
              <w:rPr>
                <w:b/>
                <w:bCs/>
                <w:color w:val="3E3E3E"/>
              </w:rPr>
              <w:t>X≤2000</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b/>
                <w:bCs/>
                <w:color w:val="3E3E3E"/>
              </w:rPr>
            </w:pPr>
            <w:r>
              <w:rPr>
                <w:b/>
                <w:bCs/>
                <w:color w:val="3E3E3E"/>
              </w:rPr>
              <w:t>2000</w:t>
            </w:r>
            <w:r>
              <w:rPr>
                <w:rFonts w:cs="宋体" w:hint="eastAsia"/>
                <w:b/>
                <w:bCs/>
                <w:color w:val="3E3E3E"/>
              </w:rPr>
              <w:t>＜</w:t>
            </w:r>
            <w:r>
              <w:rPr>
                <w:b/>
                <w:bCs/>
                <w:color w:val="3E3E3E"/>
              </w:rPr>
              <w:t>X≤</w:t>
            </w:r>
          </w:p>
          <w:p w:rsidR="00A32067" w:rsidRDefault="00A32067">
            <w:pPr>
              <w:wordWrap w:val="0"/>
              <w:jc w:val="center"/>
              <w:textAlignment w:val="center"/>
              <w:rPr>
                <w:color w:val="3E3E3E"/>
              </w:rPr>
            </w:pPr>
            <w:r>
              <w:rPr>
                <w:b/>
                <w:bCs/>
                <w:color w:val="3E3E3E"/>
              </w:rPr>
              <w:t xml:space="preserve">10000 </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X</w:t>
            </w:r>
            <w:r>
              <w:rPr>
                <w:rFonts w:cs="宋体" w:hint="eastAsia"/>
                <w:b/>
                <w:bCs/>
                <w:color w:val="3E3E3E"/>
              </w:rPr>
              <w:t>＞</w:t>
            </w:r>
            <w:r>
              <w:rPr>
                <w:b/>
                <w:bCs/>
                <w:color w:val="3E3E3E"/>
              </w:rPr>
              <w:t>10000</w:t>
            </w:r>
          </w:p>
        </w:tc>
        <w:tc>
          <w:tcPr>
            <w:tcW w:w="3249" w:type="dxa"/>
            <w:vMerge/>
            <w:shd w:val="clear" w:color="auto" w:fill="FFFFFF"/>
            <w:vAlign w:val="center"/>
          </w:tcPr>
          <w:p w:rsidR="00A32067" w:rsidRDefault="00A32067">
            <w:pPr>
              <w:rPr>
                <w:color w:val="3E3E3E"/>
              </w:rPr>
            </w:pPr>
          </w:p>
        </w:tc>
      </w:tr>
      <w:tr w:rsidR="00A32067">
        <w:trPr>
          <w:trHeight w:hRule="exact" w:val="397"/>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投资估算</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投资估算造价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0.8‰</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0.7‰</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0.6‰</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0.5‰</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0.3‰</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454"/>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经济评价</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投资估算造价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0.8‰</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0.7‰</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0.6‰</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0.5‰</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0.3‰</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454"/>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概算编制</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设计概算造价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2.5‰</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1.8‰</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1.6‰</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454"/>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概算审核</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设计概算造价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1.8‰</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1.5‰</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1.2‰</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454"/>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5</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预算编制</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3.5‰</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2.5‰</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502"/>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6</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预算审核</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3.2‰</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2.8‰</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2.4‰</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1.6‰</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759"/>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7</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工程量清单编制（或审核）</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5‰</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2.2‰</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1.8‰</w:t>
            </w:r>
          </w:p>
        </w:tc>
        <w:tc>
          <w:tcPr>
            <w:tcW w:w="3249"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无收费基数时，可按工程概算中的建安工程费用计取</w:t>
            </w:r>
          </w:p>
        </w:tc>
      </w:tr>
      <w:tr w:rsidR="00A32067">
        <w:trPr>
          <w:trHeight w:hRule="exact" w:val="821"/>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8</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招标控制价（最高投标限价）编制（或审核）</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1.8‰</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1.6‰</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1.4‰</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1.2‰</w:t>
            </w:r>
          </w:p>
        </w:tc>
        <w:tc>
          <w:tcPr>
            <w:tcW w:w="3249"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依据发布的工程量清单，编制（或审核）招标控制价（最高投标限价）</w:t>
            </w:r>
          </w:p>
        </w:tc>
      </w:tr>
      <w:tr w:rsidR="00A32067">
        <w:trPr>
          <w:trHeight w:hRule="exact" w:val="408"/>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9</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投标报价分析（清标）</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最高投标限价</w:t>
            </w:r>
          </w:p>
        </w:tc>
        <w:tc>
          <w:tcPr>
            <w:tcW w:w="13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0.6‰</w:t>
            </w:r>
          </w:p>
        </w:tc>
        <w:tc>
          <w:tcPr>
            <w:tcW w:w="132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0.5‰</w:t>
            </w: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0.4‰</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0.3‰</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0.2‰</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1251"/>
        </w:trPr>
        <w:tc>
          <w:tcPr>
            <w:tcW w:w="891" w:type="dxa"/>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10</w:t>
            </w:r>
          </w:p>
        </w:tc>
        <w:tc>
          <w:tcPr>
            <w:tcW w:w="824" w:type="dxa"/>
            <w:vMerge w:val="restart"/>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施工阶段造价咨询</w:t>
            </w: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1</w:t>
            </w:r>
            <w:r>
              <w:rPr>
                <w:rFonts w:cs="宋体" w:hint="eastAsia"/>
                <w:color w:val="3E3E3E"/>
              </w:rPr>
              <w:t>）基本收费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366" w:type="dxa"/>
            <w:shd w:val="clear" w:color="auto" w:fill="FFFFFF"/>
            <w:tcMar>
              <w:top w:w="15" w:type="dxa"/>
              <w:left w:w="15" w:type="dxa"/>
              <w:bottom w:w="15" w:type="dxa"/>
              <w:right w:w="15" w:type="dxa"/>
            </w:tcMar>
            <w:vAlign w:val="center"/>
          </w:tcPr>
          <w:p w:rsidR="00A32067" w:rsidRDefault="00A32067">
            <w:pPr>
              <w:wordWrap w:val="0"/>
              <w:rPr>
                <w:color w:val="3E3E3E"/>
              </w:rPr>
            </w:pPr>
          </w:p>
        </w:tc>
        <w:tc>
          <w:tcPr>
            <w:tcW w:w="1325" w:type="dxa"/>
            <w:gridSpan w:val="2"/>
            <w:shd w:val="clear" w:color="auto" w:fill="FFFFFF"/>
            <w:tcMar>
              <w:top w:w="15" w:type="dxa"/>
              <w:left w:w="15" w:type="dxa"/>
              <w:bottom w:w="15" w:type="dxa"/>
              <w:right w:w="15" w:type="dxa"/>
            </w:tcMar>
            <w:vAlign w:val="center"/>
          </w:tcPr>
          <w:p w:rsidR="00A32067" w:rsidRDefault="00A32067">
            <w:pPr>
              <w:wordWrap w:val="0"/>
              <w:rPr>
                <w:color w:val="3E3E3E"/>
              </w:rPr>
            </w:pPr>
          </w:p>
        </w:tc>
        <w:tc>
          <w:tcPr>
            <w:tcW w:w="1570"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8‰</w:t>
            </w:r>
          </w:p>
        </w:tc>
        <w:tc>
          <w:tcPr>
            <w:tcW w:w="1129" w:type="dxa"/>
            <w:gridSpan w:val="3"/>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6‰</w:t>
            </w:r>
          </w:p>
        </w:tc>
        <w:tc>
          <w:tcPr>
            <w:tcW w:w="126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3249"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计费方式按（</w:t>
            </w:r>
            <w:r>
              <w:rPr>
                <w:color w:val="3E3E3E"/>
              </w:rPr>
              <w:t>1</w:t>
            </w:r>
            <w:r>
              <w:rPr>
                <w:rFonts w:cs="宋体" w:hint="eastAsia"/>
                <w:color w:val="3E3E3E"/>
              </w:rPr>
              <w:t>）</w:t>
            </w:r>
            <w:r>
              <w:rPr>
                <w:color w:val="3E3E3E"/>
              </w:rPr>
              <w:t>+</w:t>
            </w:r>
            <w:r>
              <w:rPr>
                <w:rFonts w:cs="宋体" w:hint="eastAsia"/>
                <w:color w:val="3E3E3E"/>
              </w:rPr>
              <w:t>（</w:t>
            </w:r>
            <w:r>
              <w:rPr>
                <w:color w:val="3E3E3E"/>
              </w:rPr>
              <w:t>2</w:t>
            </w:r>
            <w:r>
              <w:rPr>
                <w:rFonts w:cs="宋体" w:hint="eastAsia"/>
                <w:color w:val="3E3E3E"/>
              </w:rPr>
              <w:t>）计算。需提供驻场服务时，驻场人员另行增加费用</w:t>
            </w:r>
            <w:r>
              <w:rPr>
                <w:color w:val="3E3E3E"/>
              </w:rPr>
              <w:t>10000~20000</w:t>
            </w:r>
            <w:r>
              <w:rPr>
                <w:rFonts w:cs="宋体" w:hint="eastAsia"/>
                <w:color w:val="3E3E3E"/>
              </w:rPr>
              <w:t>元</w:t>
            </w:r>
            <w:r>
              <w:rPr>
                <w:color w:val="3E3E3E"/>
              </w:rPr>
              <w:t>/</w:t>
            </w:r>
            <w:r>
              <w:rPr>
                <w:rFonts w:cs="宋体" w:hint="eastAsia"/>
                <w:color w:val="3E3E3E"/>
              </w:rPr>
              <w:t>人月</w:t>
            </w:r>
          </w:p>
        </w:tc>
      </w:tr>
      <w:tr w:rsidR="00A32067">
        <w:trPr>
          <w:trHeight w:hRule="exact" w:val="560"/>
        </w:trPr>
        <w:tc>
          <w:tcPr>
            <w:tcW w:w="891" w:type="dxa"/>
            <w:vMerge/>
            <w:shd w:val="clear" w:color="auto" w:fill="FFFFFF"/>
            <w:vAlign w:val="center"/>
          </w:tcPr>
          <w:p w:rsidR="00A32067" w:rsidRDefault="00A32067">
            <w:pPr>
              <w:rPr>
                <w:color w:val="3E3E3E"/>
              </w:rPr>
            </w:pPr>
          </w:p>
        </w:tc>
        <w:tc>
          <w:tcPr>
            <w:tcW w:w="824" w:type="dxa"/>
            <w:vMerge/>
            <w:shd w:val="clear" w:color="auto" w:fill="FFFFFF"/>
            <w:vAlign w:val="center"/>
          </w:tcPr>
          <w:p w:rsidR="00A32067" w:rsidRDefault="00A32067">
            <w:pPr>
              <w:rPr>
                <w:color w:val="3E3E3E"/>
              </w:rPr>
            </w:pP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2</w:t>
            </w:r>
            <w:r>
              <w:rPr>
                <w:rFonts w:cs="宋体" w:hint="eastAsia"/>
                <w:color w:val="3E3E3E"/>
              </w:rPr>
              <w:t>）效益收费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审减额</w:t>
            </w:r>
            <w:r>
              <w:rPr>
                <w:color w:val="3E3E3E"/>
              </w:rPr>
              <w:t>+</w:t>
            </w:r>
            <w:r>
              <w:rPr>
                <w:rFonts w:cs="宋体" w:hint="eastAsia"/>
                <w:color w:val="3E3E3E"/>
              </w:rPr>
              <w:t>审增额</w:t>
            </w:r>
          </w:p>
        </w:tc>
        <w:tc>
          <w:tcPr>
            <w:tcW w:w="6656" w:type="dxa"/>
            <w:gridSpan w:val="9"/>
            <w:shd w:val="clear" w:color="auto" w:fill="FFFFFF"/>
            <w:tcMar>
              <w:top w:w="15" w:type="dxa"/>
              <w:left w:w="15" w:type="dxa"/>
              <w:bottom w:w="15" w:type="dxa"/>
              <w:right w:w="15" w:type="dxa"/>
            </w:tcMar>
            <w:vAlign w:val="center"/>
          </w:tcPr>
          <w:p w:rsidR="00A32067" w:rsidRDefault="00A32067">
            <w:pPr>
              <w:jc w:val="center"/>
              <w:rPr>
                <w:color w:val="3E3E3E"/>
              </w:rPr>
            </w:pPr>
            <w:r>
              <w:rPr>
                <w:color w:val="3E3E3E"/>
              </w:rPr>
              <w:t>5%</w:t>
            </w:r>
          </w:p>
        </w:tc>
        <w:tc>
          <w:tcPr>
            <w:tcW w:w="3249" w:type="dxa"/>
            <w:shd w:val="clear" w:color="auto" w:fill="FFFFFF"/>
            <w:vAlign w:val="center"/>
          </w:tcPr>
          <w:p w:rsidR="00A32067" w:rsidRDefault="00A32067">
            <w:pPr>
              <w:rPr>
                <w:color w:val="3E3E3E"/>
              </w:rPr>
            </w:pPr>
          </w:p>
        </w:tc>
      </w:tr>
      <w:tr w:rsidR="00A32067">
        <w:trPr>
          <w:trHeight w:val="477"/>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11</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结算编制</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553"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5‰</w:t>
            </w:r>
          </w:p>
        </w:tc>
        <w:tc>
          <w:tcPr>
            <w:tcW w:w="1418"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4.5‰</w:t>
            </w:r>
          </w:p>
        </w:tc>
        <w:tc>
          <w:tcPr>
            <w:tcW w:w="1564"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706"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3.5‰</w:t>
            </w:r>
          </w:p>
        </w:tc>
        <w:tc>
          <w:tcPr>
            <w:tcW w:w="1415" w:type="dxa"/>
            <w:gridSpan w:val="2"/>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3249" w:type="dxa"/>
            <w:shd w:val="clear" w:color="auto" w:fill="FFFFFF"/>
            <w:tcMar>
              <w:top w:w="15" w:type="dxa"/>
              <w:left w:w="15" w:type="dxa"/>
              <w:bottom w:w="15" w:type="dxa"/>
              <w:right w:w="15" w:type="dxa"/>
            </w:tcMar>
            <w:vAlign w:val="center"/>
          </w:tcPr>
          <w:p w:rsidR="00A32067" w:rsidRDefault="00A32067">
            <w:pPr>
              <w:wordWrap w:val="0"/>
              <w:rPr>
                <w:color w:val="3E3E3E"/>
              </w:rPr>
            </w:pPr>
          </w:p>
        </w:tc>
      </w:tr>
    </w:tbl>
    <w:p w:rsidR="00A32067" w:rsidRDefault="00A32067">
      <w:pPr>
        <w:wordWrap w:val="0"/>
        <w:rPr>
          <w:color w:val="3E3E3E"/>
          <w:sz w:val="24"/>
          <w:szCs w:val="24"/>
        </w:rPr>
        <w:sectPr w:rsidR="00A32067">
          <w:headerReference w:type="even" r:id="rId75"/>
          <w:headerReference w:type="default" r:id="rId76"/>
          <w:footerReference w:type="even" r:id="rId77"/>
          <w:footerReference w:type="default" r:id="rId78"/>
          <w:pgSz w:w="16840" w:h="11907" w:orient="landscape"/>
          <w:pgMar w:top="1077" w:right="1134" w:bottom="1077" w:left="1134" w:header="794" w:footer="567" w:gutter="284"/>
          <w:cols w:space="720"/>
          <w:docGrid w:linePitch="312"/>
        </w:sectPr>
      </w:pPr>
    </w:p>
    <w:tbl>
      <w:tblPr>
        <w:tblW w:w="145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891"/>
        <w:gridCol w:w="824"/>
        <w:gridCol w:w="1393"/>
        <w:gridCol w:w="1582"/>
        <w:gridCol w:w="1130"/>
        <w:gridCol w:w="1132"/>
        <w:gridCol w:w="1415"/>
        <w:gridCol w:w="1564"/>
        <w:gridCol w:w="1284"/>
        <w:gridCol w:w="3380"/>
      </w:tblGrid>
      <w:tr w:rsidR="00A32067">
        <w:trPr>
          <w:trHeight w:val="477"/>
        </w:trPr>
        <w:tc>
          <w:tcPr>
            <w:tcW w:w="14595" w:type="dxa"/>
            <w:gridSpan w:val="10"/>
            <w:tcBorders>
              <w:top w:val="nil"/>
              <w:left w:val="nil"/>
              <w:right w:val="nil"/>
            </w:tcBorders>
            <w:shd w:val="clear" w:color="auto" w:fill="FFFFFF"/>
            <w:tcMar>
              <w:top w:w="15" w:type="dxa"/>
              <w:left w:w="15" w:type="dxa"/>
              <w:bottom w:w="15" w:type="dxa"/>
              <w:right w:w="15" w:type="dxa"/>
            </w:tcMar>
            <w:vAlign w:val="center"/>
          </w:tcPr>
          <w:p w:rsidR="00A32067" w:rsidRDefault="00A32067">
            <w:pPr>
              <w:wordWrap w:val="0"/>
              <w:spacing w:line="384" w:lineRule="atLeast"/>
              <w:rPr>
                <w:color w:val="3E3E3E"/>
                <w:sz w:val="24"/>
                <w:szCs w:val="24"/>
              </w:rPr>
            </w:pPr>
            <w:r>
              <w:rPr>
                <w:rFonts w:cs="宋体" w:hint="eastAsia"/>
                <w:color w:val="3E3E3E"/>
                <w:sz w:val="24"/>
                <w:szCs w:val="24"/>
              </w:rPr>
              <w:t>续表</w:t>
            </w:r>
          </w:p>
        </w:tc>
      </w:tr>
      <w:tr w:rsidR="00A32067">
        <w:trPr>
          <w:trHeight w:hRule="exact" w:val="454"/>
        </w:trPr>
        <w:tc>
          <w:tcPr>
            <w:tcW w:w="891" w:type="dxa"/>
            <w:vMerge w:val="restart"/>
            <w:shd w:val="clear" w:color="auto" w:fill="FFFFFF"/>
            <w:tcMar>
              <w:top w:w="15" w:type="dxa"/>
              <w:left w:w="15" w:type="dxa"/>
              <w:bottom w:w="15" w:type="dxa"/>
              <w:right w:w="15" w:type="dxa"/>
            </w:tcMar>
            <w:vAlign w:val="center"/>
          </w:tcPr>
          <w:p w:rsidR="00A32067" w:rsidRDefault="00A32067">
            <w:pPr>
              <w:jc w:val="center"/>
              <w:textAlignment w:val="center"/>
              <w:rPr>
                <w:color w:val="3E3E3E"/>
              </w:rPr>
            </w:pPr>
            <w:r>
              <w:rPr>
                <w:rFonts w:cs="宋体" w:hint="eastAsia"/>
                <w:b/>
                <w:bCs/>
                <w:color w:val="3E3E3E"/>
              </w:rPr>
              <w:t>序号</w:t>
            </w:r>
          </w:p>
        </w:tc>
        <w:tc>
          <w:tcPr>
            <w:tcW w:w="2217" w:type="dxa"/>
            <w:gridSpan w:val="2"/>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咨询服务名称</w:t>
            </w:r>
          </w:p>
        </w:tc>
        <w:tc>
          <w:tcPr>
            <w:tcW w:w="1582" w:type="dxa"/>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收费基数</w:t>
            </w:r>
            <w:r>
              <w:rPr>
                <w:b/>
                <w:bCs/>
                <w:color w:val="3E3E3E"/>
              </w:rPr>
              <w:t>(X)</w:t>
            </w:r>
          </w:p>
        </w:tc>
        <w:tc>
          <w:tcPr>
            <w:tcW w:w="6525" w:type="dxa"/>
            <w:gridSpan w:val="5"/>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b/>
                <w:bCs/>
                <w:color w:val="3E3E3E"/>
              </w:rPr>
              <w:t>划分标准（万元）</w:t>
            </w:r>
          </w:p>
        </w:tc>
        <w:tc>
          <w:tcPr>
            <w:tcW w:w="3380" w:type="dxa"/>
            <w:vMerge w:val="restart"/>
            <w:shd w:val="clear" w:color="auto" w:fill="FFFFFF"/>
            <w:tcMar>
              <w:top w:w="15" w:type="dxa"/>
              <w:left w:w="15" w:type="dxa"/>
              <w:bottom w:w="15" w:type="dxa"/>
              <w:right w:w="15" w:type="dxa"/>
            </w:tcMar>
            <w:vAlign w:val="center"/>
          </w:tcPr>
          <w:p w:rsidR="00A32067" w:rsidRDefault="00A32067">
            <w:pPr>
              <w:jc w:val="center"/>
              <w:textAlignment w:val="center"/>
              <w:rPr>
                <w:color w:val="3E3E3E"/>
              </w:rPr>
            </w:pPr>
            <w:r>
              <w:rPr>
                <w:rFonts w:cs="宋体" w:hint="eastAsia"/>
                <w:b/>
                <w:bCs/>
                <w:color w:val="3E3E3E"/>
              </w:rPr>
              <w:t>备注</w:t>
            </w:r>
          </w:p>
        </w:tc>
      </w:tr>
      <w:tr w:rsidR="00A32067">
        <w:trPr>
          <w:trHeight w:hRule="exact" w:val="561"/>
        </w:trPr>
        <w:tc>
          <w:tcPr>
            <w:tcW w:w="891" w:type="dxa"/>
            <w:vMerge/>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p>
        </w:tc>
        <w:tc>
          <w:tcPr>
            <w:tcW w:w="2217" w:type="dxa"/>
            <w:gridSpan w:val="2"/>
            <w:vMerge/>
            <w:shd w:val="clear" w:color="auto" w:fill="FFFFFF"/>
            <w:tcMar>
              <w:top w:w="15" w:type="dxa"/>
              <w:left w:w="15" w:type="dxa"/>
              <w:bottom w:w="15" w:type="dxa"/>
              <w:right w:w="15" w:type="dxa"/>
            </w:tcMar>
            <w:vAlign w:val="center"/>
          </w:tcPr>
          <w:p w:rsidR="00A32067" w:rsidRDefault="00A32067">
            <w:pPr>
              <w:rPr>
                <w:color w:val="3E3E3E"/>
              </w:rPr>
            </w:pPr>
          </w:p>
        </w:tc>
        <w:tc>
          <w:tcPr>
            <w:tcW w:w="1582" w:type="dxa"/>
            <w:vMerge/>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p>
        </w:tc>
        <w:tc>
          <w:tcPr>
            <w:tcW w:w="1130"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X≤200        </w:t>
            </w:r>
          </w:p>
        </w:tc>
        <w:tc>
          <w:tcPr>
            <w:tcW w:w="1132"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200</w:t>
            </w:r>
            <w:r>
              <w:rPr>
                <w:rFonts w:cs="宋体" w:hint="eastAsia"/>
                <w:b/>
                <w:bCs/>
                <w:color w:val="3E3E3E"/>
              </w:rPr>
              <w:t>＜</w:t>
            </w:r>
            <w:r>
              <w:rPr>
                <w:b/>
                <w:bCs/>
                <w:color w:val="3E3E3E"/>
              </w:rPr>
              <w:t>X≤500</w:t>
            </w:r>
          </w:p>
        </w:tc>
        <w:tc>
          <w:tcPr>
            <w:tcW w:w="1415"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500</w:t>
            </w:r>
            <w:r>
              <w:rPr>
                <w:rFonts w:cs="宋体" w:hint="eastAsia"/>
                <w:b/>
                <w:bCs/>
                <w:color w:val="3E3E3E"/>
              </w:rPr>
              <w:t>＜</w:t>
            </w:r>
            <w:r>
              <w:rPr>
                <w:b/>
                <w:bCs/>
                <w:color w:val="3E3E3E"/>
              </w:rPr>
              <w:t>X≤2000</w:t>
            </w:r>
          </w:p>
        </w:tc>
        <w:tc>
          <w:tcPr>
            <w:tcW w:w="156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2000</w:t>
            </w:r>
            <w:r>
              <w:rPr>
                <w:rFonts w:cs="宋体" w:hint="eastAsia"/>
                <w:b/>
                <w:bCs/>
                <w:color w:val="3E3E3E"/>
              </w:rPr>
              <w:t>＜</w:t>
            </w:r>
            <w:r>
              <w:rPr>
                <w:b/>
                <w:bCs/>
                <w:color w:val="3E3E3E"/>
              </w:rPr>
              <w:t xml:space="preserve">X≤10000 </w:t>
            </w:r>
          </w:p>
        </w:tc>
        <w:tc>
          <w:tcPr>
            <w:tcW w:w="128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b/>
                <w:bCs/>
                <w:color w:val="3E3E3E"/>
              </w:rPr>
              <w:t>X</w:t>
            </w:r>
            <w:r>
              <w:rPr>
                <w:rFonts w:cs="宋体" w:hint="eastAsia"/>
                <w:b/>
                <w:bCs/>
                <w:color w:val="3E3E3E"/>
              </w:rPr>
              <w:t>＞</w:t>
            </w:r>
            <w:r>
              <w:rPr>
                <w:b/>
                <w:bCs/>
                <w:color w:val="3E3E3E"/>
              </w:rPr>
              <w:t>10000</w:t>
            </w:r>
          </w:p>
        </w:tc>
        <w:tc>
          <w:tcPr>
            <w:tcW w:w="3380" w:type="dxa"/>
            <w:vMerge/>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p>
        </w:tc>
      </w:tr>
      <w:tr w:rsidR="00A32067">
        <w:trPr>
          <w:trHeight w:hRule="exact" w:val="454"/>
        </w:trPr>
        <w:tc>
          <w:tcPr>
            <w:tcW w:w="891" w:type="dxa"/>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12</w:t>
            </w:r>
          </w:p>
        </w:tc>
        <w:tc>
          <w:tcPr>
            <w:tcW w:w="824" w:type="dxa"/>
            <w:vMerge w:val="restart"/>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结算审核</w:t>
            </w: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1</w:t>
            </w:r>
            <w:r>
              <w:rPr>
                <w:rFonts w:cs="宋体" w:hint="eastAsia"/>
                <w:color w:val="3E3E3E"/>
              </w:rPr>
              <w:t>）基本收费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建筑安装工程送审造价</w:t>
            </w:r>
          </w:p>
        </w:tc>
        <w:tc>
          <w:tcPr>
            <w:tcW w:w="1130"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4.5‰</w:t>
            </w:r>
          </w:p>
        </w:tc>
        <w:tc>
          <w:tcPr>
            <w:tcW w:w="1132"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4‰</w:t>
            </w:r>
          </w:p>
        </w:tc>
        <w:tc>
          <w:tcPr>
            <w:tcW w:w="1415"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3.5‰</w:t>
            </w:r>
          </w:p>
        </w:tc>
        <w:tc>
          <w:tcPr>
            <w:tcW w:w="156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3‰</w:t>
            </w:r>
          </w:p>
        </w:tc>
        <w:tc>
          <w:tcPr>
            <w:tcW w:w="128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2.5‰</w:t>
            </w:r>
          </w:p>
        </w:tc>
        <w:tc>
          <w:tcPr>
            <w:tcW w:w="3380"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rFonts w:cs="宋体" w:hint="eastAsia"/>
                <w:color w:val="3E3E3E"/>
              </w:rPr>
              <w:t>计费方式按（</w:t>
            </w:r>
            <w:r>
              <w:rPr>
                <w:color w:val="3E3E3E"/>
              </w:rPr>
              <w:t>1</w:t>
            </w:r>
            <w:r>
              <w:rPr>
                <w:rFonts w:cs="宋体" w:hint="eastAsia"/>
                <w:color w:val="3E3E3E"/>
              </w:rPr>
              <w:t>）</w:t>
            </w:r>
            <w:r>
              <w:rPr>
                <w:color w:val="3E3E3E"/>
              </w:rPr>
              <w:t>+</w:t>
            </w:r>
            <w:r>
              <w:rPr>
                <w:rFonts w:cs="宋体" w:hint="eastAsia"/>
                <w:color w:val="3E3E3E"/>
              </w:rPr>
              <w:t>（</w:t>
            </w:r>
            <w:r>
              <w:rPr>
                <w:color w:val="3E3E3E"/>
              </w:rPr>
              <w:t>2</w:t>
            </w:r>
            <w:r>
              <w:rPr>
                <w:rFonts w:cs="宋体" w:hint="eastAsia"/>
                <w:color w:val="3E3E3E"/>
              </w:rPr>
              <w:t>）计算</w:t>
            </w:r>
          </w:p>
        </w:tc>
      </w:tr>
      <w:tr w:rsidR="00A32067">
        <w:trPr>
          <w:trHeight w:hRule="exact" w:val="454"/>
        </w:trPr>
        <w:tc>
          <w:tcPr>
            <w:tcW w:w="891" w:type="dxa"/>
            <w:vMerge/>
            <w:shd w:val="clear" w:color="auto" w:fill="FFFFFF"/>
            <w:vAlign w:val="center"/>
          </w:tcPr>
          <w:p w:rsidR="00A32067" w:rsidRDefault="00A32067">
            <w:pPr>
              <w:rPr>
                <w:color w:val="3E3E3E"/>
              </w:rPr>
            </w:pPr>
          </w:p>
        </w:tc>
        <w:tc>
          <w:tcPr>
            <w:tcW w:w="824" w:type="dxa"/>
            <w:vMerge/>
            <w:shd w:val="clear" w:color="auto" w:fill="FFFFFF"/>
            <w:vAlign w:val="center"/>
          </w:tcPr>
          <w:p w:rsidR="00A32067" w:rsidRDefault="00A32067">
            <w:pPr>
              <w:rPr>
                <w:color w:val="3E3E3E"/>
              </w:rPr>
            </w:pP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2</w:t>
            </w:r>
            <w:r>
              <w:rPr>
                <w:rFonts w:cs="宋体" w:hint="eastAsia"/>
                <w:color w:val="3E3E3E"/>
              </w:rPr>
              <w:t>）效益收费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审减额</w:t>
            </w:r>
            <w:r>
              <w:rPr>
                <w:color w:val="3E3E3E"/>
              </w:rPr>
              <w:t>+</w:t>
            </w:r>
            <w:r>
              <w:rPr>
                <w:rFonts w:cs="宋体" w:hint="eastAsia"/>
                <w:color w:val="3E3E3E"/>
              </w:rPr>
              <w:t>审增额</w:t>
            </w:r>
          </w:p>
        </w:tc>
        <w:tc>
          <w:tcPr>
            <w:tcW w:w="6525" w:type="dxa"/>
            <w:gridSpan w:val="5"/>
            <w:shd w:val="clear" w:color="auto" w:fill="FFFFFF"/>
            <w:tcMar>
              <w:top w:w="15" w:type="dxa"/>
              <w:left w:w="15" w:type="dxa"/>
              <w:bottom w:w="15" w:type="dxa"/>
              <w:right w:w="15" w:type="dxa"/>
            </w:tcMar>
            <w:vAlign w:val="center"/>
          </w:tcPr>
          <w:p w:rsidR="00A32067" w:rsidRDefault="00A32067">
            <w:pPr>
              <w:jc w:val="center"/>
              <w:rPr>
                <w:color w:val="3E3E3E"/>
              </w:rPr>
            </w:pPr>
            <w:r>
              <w:rPr>
                <w:color w:val="3E3E3E"/>
              </w:rPr>
              <w:t>8%</w:t>
            </w:r>
          </w:p>
        </w:tc>
        <w:tc>
          <w:tcPr>
            <w:tcW w:w="3380" w:type="dxa"/>
            <w:shd w:val="clear" w:color="auto" w:fill="FFFFFF"/>
            <w:vAlign w:val="center"/>
          </w:tcPr>
          <w:p w:rsidR="00A32067" w:rsidRDefault="00A32067">
            <w:pPr>
              <w:rPr>
                <w:color w:val="3E3E3E"/>
              </w:rPr>
            </w:pPr>
          </w:p>
        </w:tc>
      </w:tr>
      <w:tr w:rsidR="00A32067">
        <w:trPr>
          <w:trHeight w:hRule="exact" w:val="518"/>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13</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竣工决算编制</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建设项目总投资</w:t>
            </w:r>
          </w:p>
        </w:tc>
        <w:tc>
          <w:tcPr>
            <w:tcW w:w="1130"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2‰</w:t>
            </w:r>
          </w:p>
        </w:tc>
        <w:tc>
          <w:tcPr>
            <w:tcW w:w="1132"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1.5‰</w:t>
            </w:r>
          </w:p>
        </w:tc>
        <w:tc>
          <w:tcPr>
            <w:tcW w:w="1415"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1.2‰</w:t>
            </w:r>
          </w:p>
        </w:tc>
        <w:tc>
          <w:tcPr>
            <w:tcW w:w="156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1.0‰</w:t>
            </w:r>
          </w:p>
        </w:tc>
        <w:tc>
          <w:tcPr>
            <w:tcW w:w="128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0.8‰</w:t>
            </w:r>
          </w:p>
        </w:tc>
        <w:tc>
          <w:tcPr>
            <w:tcW w:w="3380" w:type="dxa"/>
            <w:shd w:val="clear" w:color="auto" w:fill="FFFFFF"/>
            <w:tcMar>
              <w:top w:w="15" w:type="dxa"/>
              <w:left w:w="15" w:type="dxa"/>
              <w:bottom w:w="15" w:type="dxa"/>
              <w:right w:w="15" w:type="dxa"/>
            </w:tcMar>
            <w:vAlign w:val="center"/>
          </w:tcPr>
          <w:p w:rsidR="00A32067" w:rsidRDefault="00A32067">
            <w:pPr>
              <w:wordWrap w:val="0"/>
              <w:rPr>
                <w:color w:val="3E3E3E"/>
              </w:rPr>
            </w:pPr>
          </w:p>
        </w:tc>
      </w:tr>
      <w:tr w:rsidR="00A32067">
        <w:trPr>
          <w:trHeight w:hRule="exact" w:val="1958"/>
        </w:trPr>
        <w:tc>
          <w:tcPr>
            <w:tcW w:w="891" w:type="dxa"/>
            <w:vMerge w:val="restart"/>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14</w:t>
            </w:r>
          </w:p>
        </w:tc>
        <w:tc>
          <w:tcPr>
            <w:tcW w:w="824"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全过程造价咨询</w:t>
            </w: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1</w:t>
            </w:r>
            <w:r>
              <w:rPr>
                <w:rFonts w:cs="宋体" w:hint="eastAsia"/>
                <w:color w:val="3E3E3E"/>
              </w:rPr>
              <w:t>）基本收费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建筑安装工程造价</w:t>
            </w:r>
          </w:p>
        </w:tc>
        <w:tc>
          <w:tcPr>
            <w:tcW w:w="1130" w:type="dxa"/>
            <w:shd w:val="clear" w:color="auto" w:fill="FFFFFF"/>
            <w:tcMar>
              <w:top w:w="15" w:type="dxa"/>
              <w:left w:w="15" w:type="dxa"/>
              <w:bottom w:w="15" w:type="dxa"/>
              <w:right w:w="15" w:type="dxa"/>
            </w:tcMar>
            <w:vAlign w:val="center"/>
          </w:tcPr>
          <w:p w:rsidR="00A32067" w:rsidRDefault="00A32067">
            <w:pPr>
              <w:wordWrap w:val="0"/>
              <w:rPr>
                <w:color w:val="3E3E3E"/>
              </w:rPr>
            </w:pPr>
          </w:p>
        </w:tc>
        <w:tc>
          <w:tcPr>
            <w:tcW w:w="1132" w:type="dxa"/>
            <w:shd w:val="clear" w:color="auto" w:fill="FFFFFF"/>
            <w:tcMar>
              <w:top w:w="15" w:type="dxa"/>
              <w:left w:w="15" w:type="dxa"/>
              <w:bottom w:w="15" w:type="dxa"/>
              <w:right w:w="15" w:type="dxa"/>
            </w:tcMar>
            <w:vAlign w:val="center"/>
          </w:tcPr>
          <w:p w:rsidR="00A32067" w:rsidRDefault="00A32067">
            <w:pPr>
              <w:wordWrap w:val="0"/>
              <w:rPr>
                <w:color w:val="3E3E3E"/>
              </w:rPr>
            </w:pPr>
          </w:p>
        </w:tc>
        <w:tc>
          <w:tcPr>
            <w:tcW w:w="1415"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13‰</w:t>
            </w:r>
          </w:p>
        </w:tc>
        <w:tc>
          <w:tcPr>
            <w:tcW w:w="156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10‰</w:t>
            </w:r>
          </w:p>
        </w:tc>
        <w:tc>
          <w:tcPr>
            <w:tcW w:w="128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8‰</w:t>
            </w:r>
          </w:p>
        </w:tc>
        <w:tc>
          <w:tcPr>
            <w:tcW w:w="3380"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全过程造价咨询包括工程量清单编制、招标控制价（最高投标限价）编制、施工阶段造价咨询和结算审核。计费方式按（</w:t>
            </w:r>
            <w:r>
              <w:rPr>
                <w:color w:val="3E3E3E"/>
              </w:rPr>
              <w:t>1</w:t>
            </w:r>
            <w:r>
              <w:rPr>
                <w:rFonts w:cs="宋体" w:hint="eastAsia"/>
                <w:color w:val="3E3E3E"/>
              </w:rPr>
              <w:t>）</w:t>
            </w:r>
            <w:r>
              <w:rPr>
                <w:color w:val="3E3E3E"/>
              </w:rPr>
              <w:t>+</w:t>
            </w:r>
            <w:r>
              <w:rPr>
                <w:rFonts w:cs="宋体" w:hint="eastAsia"/>
                <w:color w:val="3E3E3E"/>
              </w:rPr>
              <w:t>（</w:t>
            </w:r>
            <w:r>
              <w:rPr>
                <w:color w:val="3E3E3E"/>
              </w:rPr>
              <w:t>2</w:t>
            </w:r>
            <w:r>
              <w:rPr>
                <w:rFonts w:cs="宋体" w:hint="eastAsia"/>
                <w:color w:val="3E3E3E"/>
              </w:rPr>
              <w:t>）计算。需提供驻场服务时，驻场人员另行增加费用</w:t>
            </w:r>
            <w:r>
              <w:rPr>
                <w:color w:val="3E3E3E"/>
              </w:rPr>
              <w:t>10000~20000</w:t>
            </w:r>
            <w:r>
              <w:rPr>
                <w:rFonts w:cs="宋体" w:hint="eastAsia"/>
                <w:color w:val="3E3E3E"/>
              </w:rPr>
              <w:t>元</w:t>
            </w:r>
            <w:r>
              <w:rPr>
                <w:color w:val="3E3E3E"/>
              </w:rPr>
              <w:t>/</w:t>
            </w:r>
            <w:r>
              <w:rPr>
                <w:rFonts w:cs="宋体" w:hint="eastAsia"/>
                <w:color w:val="3E3E3E"/>
              </w:rPr>
              <w:t>人月</w:t>
            </w:r>
          </w:p>
        </w:tc>
      </w:tr>
      <w:tr w:rsidR="00A32067">
        <w:trPr>
          <w:trHeight w:hRule="exact" w:val="485"/>
        </w:trPr>
        <w:tc>
          <w:tcPr>
            <w:tcW w:w="891" w:type="dxa"/>
            <w:vMerge/>
            <w:shd w:val="clear" w:color="auto" w:fill="FFFFFF"/>
            <w:vAlign w:val="center"/>
          </w:tcPr>
          <w:p w:rsidR="00A32067" w:rsidRDefault="00A32067">
            <w:pPr>
              <w:rPr>
                <w:color w:val="3E3E3E"/>
              </w:rPr>
            </w:pPr>
          </w:p>
        </w:tc>
        <w:tc>
          <w:tcPr>
            <w:tcW w:w="824" w:type="dxa"/>
            <w:shd w:val="clear" w:color="auto" w:fill="FFFFFF"/>
            <w:vAlign w:val="center"/>
          </w:tcPr>
          <w:p w:rsidR="00A32067" w:rsidRDefault="00A32067">
            <w:pPr>
              <w:rPr>
                <w:color w:val="3E3E3E"/>
              </w:rPr>
            </w:pPr>
          </w:p>
        </w:tc>
        <w:tc>
          <w:tcPr>
            <w:tcW w:w="1393"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w:t>
            </w:r>
            <w:r>
              <w:rPr>
                <w:color w:val="3E3E3E"/>
              </w:rPr>
              <w:t>2</w:t>
            </w:r>
            <w:r>
              <w:rPr>
                <w:rFonts w:cs="宋体" w:hint="eastAsia"/>
                <w:color w:val="3E3E3E"/>
              </w:rPr>
              <w:t>）效益收费</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审减额</w:t>
            </w:r>
            <w:r>
              <w:rPr>
                <w:color w:val="3E3E3E"/>
              </w:rPr>
              <w:t>+</w:t>
            </w:r>
            <w:r>
              <w:rPr>
                <w:rFonts w:cs="宋体" w:hint="eastAsia"/>
                <w:color w:val="3E3E3E"/>
              </w:rPr>
              <w:t>审增额</w:t>
            </w:r>
          </w:p>
        </w:tc>
        <w:tc>
          <w:tcPr>
            <w:tcW w:w="6525" w:type="dxa"/>
            <w:gridSpan w:val="5"/>
            <w:shd w:val="clear" w:color="auto" w:fill="FFFFFF"/>
            <w:tcMar>
              <w:top w:w="15" w:type="dxa"/>
              <w:left w:w="15" w:type="dxa"/>
              <w:bottom w:w="15" w:type="dxa"/>
              <w:right w:w="15" w:type="dxa"/>
            </w:tcMar>
            <w:vAlign w:val="center"/>
          </w:tcPr>
          <w:p w:rsidR="00A32067" w:rsidRDefault="00A32067">
            <w:pPr>
              <w:jc w:val="center"/>
              <w:rPr>
                <w:color w:val="3E3E3E"/>
              </w:rPr>
            </w:pPr>
            <w:r>
              <w:rPr>
                <w:color w:val="3E3E3E"/>
              </w:rPr>
              <w:t>5%</w:t>
            </w:r>
          </w:p>
        </w:tc>
        <w:tc>
          <w:tcPr>
            <w:tcW w:w="3380" w:type="dxa"/>
            <w:shd w:val="clear" w:color="auto" w:fill="FFFFFF"/>
            <w:vAlign w:val="center"/>
          </w:tcPr>
          <w:p w:rsidR="00A32067" w:rsidRDefault="00A32067">
            <w:pPr>
              <w:rPr>
                <w:color w:val="3E3E3E"/>
              </w:rPr>
            </w:pPr>
          </w:p>
        </w:tc>
      </w:tr>
      <w:tr w:rsidR="00A32067">
        <w:trPr>
          <w:trHeight w:hRule="exact" w:val="421"/>
        </w:trPr>
        <w:tc>
          <w:tcPr>
            <w:tcW w:w="891"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15</w:t>
            </w:r>
          </w:p>
        </w:tc>
        <w:tc>
          <w:tcPr>
            <w:tcW w:w="2217" w:type="dxa"/>
            <w:gridSpan w:val="2"/>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工程造价鉴定</w:t>
            </w:r>
          </w:p>
        </w:tc>
        <w:tc>
          <w:tcPr>
            <w:tcW w:w="1582" w:type="dxa"/>
            <w:shd w:val="clear" w:color="auto" w:fill="FFFFFF"/>
            <w:tcMar>
              <w:top w:w="15" w:type="dxa"/>
              <w:left w:w="15" w:type="dxa"/>
              <w:bottom w:w="15" w:type="dxa"/>
              <w:right w:w="15" w:type="dxa"/>
            </w:tcMar>
            <w:vAlign w:val="center"/>
          </w:tcPr>
          <w:p w:rsidR="00A32067" w:rsidRDefault="00A32067">
            <w:pPr>
              <w:wordWrap w:val="0"/>
              <w:textAlignment w:val="center"/>
              <w:rPr>
                <w:color w:val="3E3E3E"/>
              </w:rPr>
            </w:pPr>
            <w:r>
              <w:rPr>
                <w:rFonts w:cs="宋体" w:hint="eastAsia"/>
                <w:color w:val="3E3E3E"/>
              </w:rPr>
              <w:t>鉴定标的额</w:t>
            </w:r>
          </w:p>
        </w:tc>
        <w:tc>
          <w:tcPr>
            <w:tcW w:w="1130"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12‰</w:t>
            </w:r>
          </w:p>
        </w:tc>
        <w:tc>
          <w:tcPr>
            <w:tcW w:w="1132"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10‰</w:t>
            </w:r>
          </w:p>
        </w:tc>
        <w:tc>
          <w:tcPr>
            <w:tcW w:w="1415"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8‰</w:t>
            </w:r>
          </w:p>
        </w:tc>
        <w:tc>
          <w:tcPr>
            <w:tcW w:w="156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6‰</w:t>
            </w:r>
          </w:p>
        </w:tc>
        <w:tc>
          <w:tcPr>
            <w:tcW w:w="1284" w:type="dxa"/>
            <w:shd w:val="clear" w:color="auto" w:fill="FFFFFF"/>
            <w:tcMar>
              <w:top w:w="15" w:type="dxa"/>
              <w:left w:w="15" w:type="dxa"/>
              <w:bottom w:w="15" w:type="dxa"/>
              <w:right w:w="15" w:type="dxa"/>
            </w:tcMar>
            <w:vAlign w:val="center"/>
          </w:tcPr>
          <w:p w:rsidR="00A32067" w:rsidRDefault="00A32067">
            <w:pPr>
              <w:wordWrap w:val="0"/>
              <w:jc w:val="center"/>
              <w:textAlignment w:val="center"/>
              <w:rPr>
                <w:color w:val="3E3E3E"/>
              </w:rPr>
            </w:pPr>
            <w:r>
              <w:rPr>
                <w:color w:val="3E3E3E"/>
              </w:rPr>
              <w:t>5‰</w:t>
            </w:r>
          </w:p>
        </w:tc>
        <w:tc>
          <w:tcPr>
            <w:tcW w:w="3380" w:type="dxa"/>
            <w:shd w:val="clear" w:color="auto" w:fill="FFFFFF"/>
            <w:tcMar>
              <w:top w:w="15" w:type="dxa"/>
              <w:left w:w="15" w:type="dxa"/>
              <w:bottom w:w="15" w:type="dxa"/>
              <w:right w:w="15" w:type="dxa"/>
            </w:tcMar>
            <w:vAlign w:val="center"/>
          </w:tcPr>
          <w:p w:rsidR="00A32067" w:rsidRDefault="00A32067">
            <w:pPr>
              <w:wordWrap w:val="0"/>
              <w:rPr>
                <w:color w:val="3E3E3E"/>
              </w:rPr>
            </w:pPr>
          </w:p>
        </w:tc>
      </w:tr>
    </w:tbl>
    <w:p w:rsidR="00A32067" w:rsidRDefault="00A32067">
      <w:pPr>
        <w:spacing w:line="400" w:lineRule="exact"/>
        <w:rPr>
          <w:kern w:val="0"/>
          <w:sz w:val="22"/>
          <w:szCs w:val="22"/>
        </w:rPr>
      </w:pPr>
      <w:r>
        <w:rPr>
          <w:rFonts w:cs="宋体" w:hint="eastAsia"/>
          <w:kern w:val="0"/>
          <w:sz w:val="22"/>
          <w:szCs w:val="22"/>
        </w:rPr>
        <w:t>注：</w:t>
      </w:r>
      <w:r>
        <w:rPr>
          <w:kern w:val="0"/>
          <w:sz w:val="22"/>
          <w:szCs w:val="22"/>
        </w:rPr>
        <w:t>1.</w:t>
      </w:r>
      <w:r>
        <w:rPr>
          <w:rFonts w:cs="宋体" w:hint="eastAsia"/>
          <w:kern w:val="0"/>
          <w:sz w:val="22"/>
          <w:szCs w:val="22"/>
        </w:rPr>
        <w:t>工程造价咨询服务收费根据不同咨询项目的性质、内容采取差额定率分档累进方法计算。</w:t>
      </w:r>
    </w:p>
    <w:p w:rsidR="00A32067" w:rsidRDefault="00A32067" w:rsidP="005431C7">
      <w:pPr>
        <w:spacing w:line="400" w:lineRule="exact"/>
        <w:ind w:firstLineChars="200" w:firstLine="31680"/>
        <w:rPr>
          <w:kern w:val="0"/>
          <w:sz w:val="22"/>
          <w:szCs w:val="22"/>
        </w:rPr>
      </w:pPr>
      <w:r>
        <w:rPr>
          <w:kern w:val="0"/>
          <w:sz w:val="22"/>
          <w:szCs w:val="22"/>
        </w:rPr>
        <w:t>2.</w:t>
      </w:r>
      <w:r>
        <w:rPr>
          <w:rFonts w:cs="宋体" w:hint="eastAsia"/>
          <w:kern w:val="0"/>
          <w:sz w:val="22"/>
          <w:szCs w:val="22"/>
        </w:rPr>
        <w:t>工程造价咨询服务收费，可针对不同专业工程进行调整，详见附件</w:t>
      </w:r>
      <w:r>
        <w:rPr>
          <w:kern w:val="0"/>
          <w:sz w:val="22"/>
          <w:szCs w:val="22"/>
        </w:rPr>
        <w:t>2</w:t>
      </w:r>
      <w:r>
        <w:rPr>
          <w:rFonts w:cs="宋体" w:hint="eastAsia"/>
          <w:kern w:val="0"/>
          <w:sz w:val="22"/>
          <w:szCs w:val="22"/>
        </w:rPr>
        <w:t>。</w:t>
      </w:r>
    </w:p>
    <w:p w:rsidR="00A32067" w:rsidRDefault="00A32067" w:rsidP="005431C7">
      <w:pPr>
        <w:spacing w:line="400" w:lineRule="exact"/>
        <w:ind w:firstLineChars="200" w:firstLine="31680"/>
        <w:rPr>
          <w:kern w:val="0"/>
          <w:sz w:val="22"/>
          <w:szCs w:val="22"/>
        </w:rPr>
      </w:pPr>
      <w:r>
        <w:rPr>
          <w:kern w:val="0"/>
          <w:sz w:val="22"/>
          <w:szCs w:val="22"/>
        </w:rPr>
        <w:t>3.</w:t>
      </w:r>
      <w:r>
        <w:rPr>
          <w:rFonts w:cs="宋体" w:hint="eastAsia"/>
          <w:kern w:val="0"/>
          <w:sz w:val="22"/>
          <w:szCs w:val="22"/>
        </w:rPr>
        <w:t>需要进行钢筋工程量精细计算的，另计取工程造价咨询附加收费，详见附件</w:t>
      </w:r>
      <w:r>
        <w:rPr>
          <w:kern w:val="0"/>
          <w:sz w:val="22"/>
          <w:szCs w:val="22"/>
        </w:rPr>
        <w:t>3</w:t>
      </w:r>
      <w:r>
        <w:rPr>
          <w:rFonts w:cs="宋体" w:hint="eastAsia"/>
          <w:kern w:val="0"/>
          <w:sz w:val="22"/>
          <w:szCs w:val="22"/>
        </w:rPr>
        <w:t>。</w:t>
      </w:r>
    </w:p>
    <w:p w:rsidR="00A32067" w:rsidRDefault="00A32067" w:rsidP="005431C7">
      <w:pPr>
        <w:spacing w:line="400" w:lineRule="exact"/>
        <w:ind w:firstLineChars="200" w:firstLine="31680"/>
        <w:rPr>
          <w:kern w:val="0"/>
          <w:sz w:val="22"/>
          <w:szCs w:val="22"/>
        </w:rPr>
      </w:pPr>
      <w:r>
        <w:rPr>
          <w:kern w:val="0"/>
          <w:sz w:val="22"/>
          <w:szCs w:val="22"/>
        </w:rPr>
        <w:t>4.</w:t>
      </w:r>
      <w:r>
        <w:rPr>
          <w:rFonts w:cs="宋体" w:hint="eastAsia"/>
          <w:kern w:val="0"/>
          <w:sz w:val="22"/>
          <w:szCs w:val="22"/>
        </w:rPr>
        <w:t>工程造价咨询服务收费按照本标准计算收费，低于每项</w:t>
      </w:r>
      <w:r>
        <w:rPr>
          <w:kern w:val="0"/>
          <w:sz w:val="22"/>
          <w:szCs w:val="22"/>
        </w:rPr>
        <w:t>3000</w:t>
      </w:r>
      <w:r>
        <w:rPr>
          <w:rFonts w:cs="宋体" w:hint="eastAsia"/>
          <w:kern w:val="0"/>
          <w:sz w:val="22"/>
          <w:szCs w:val="22"/>
        </w:rPr>
        <w:t>元的按</w:t>
      </w:r>
      <w:r>
        <w:rPr>
          <w:kern w:val="0"/>
          <w:sz w:val="22"/>
          <w:szCs w:val="22"/>
        </w:rPr>
        <w:t>3000</w:t>
      </w:r>
      <w:r>
        <w:rPr>
          <w:rFonts w:cs="宋体" w:hint="eastAsia"/>
          <w:kern w:val="0"/>
          <w:sz w:val="22"/>
          <w:szCs w:val="22"/>
        </w:rPr>
        <w:t>收取，超出</w:t>
      </w:r>
      <w:r>
        <w:rPr>
          <w:kern w:val="0"/>
          <w:sz w:val="22"/>
          <w:szCs w:val="22"/>
        </w:rPr>
        <w:t>3000</w:t>
      </w:r>
      <w:r>
        <w:rPr>
          <w:rFonts w:cs="宋体" w:hint="eastAsia"/>
          <w:kern w:val="0"/>
          <w:sz w:val="22"/>
          <w:szCs w:val="22"/>
        </w:rPr>
        <w:t>元时按本标准收取。</w:t>
      </w:r>
    </w:p>
    <w:p w:rsidR="00A32067" w:rsidRDefault="00A32067" w:rsidP="005431C7">
      <w:pPr>
        <w:spacing w:line="400" w:lineRule="exact"/>
        <w:ind w:firstLineChars="200" w:firstLine="31680"/>
        <w:rPr>
          <w:kern w:val="0"/>
          <w:sz w:val="22"/>
          <w:szCs w:val="22"/>
        </w:rPr>
      </w:pPr>
      <w:r>
        <w:rPr>
          <w:kern w:val="0"/>
          <w:sz w:val="22"/>
          <w:szCs w:val="22"/>
        </w:rPr>
        <w:t>5.</w:t>
      </w:r>
      <w:r>
        <w:rPr>
          <w:rFonts w:cs="宋体" w:hint="eastAsia"/>
          <w:kern w:val="0"/>
          <w:sz w:val="22"/>
          <w:szCs w:val="22"/>
        </w:rPr>
        <w:t>工程主材无论是否计入工程造价，均应计入取费基数。</w:t>
      </w:r>
    </w:p>
    <w:p w:rsidR="00A32067" w:rsidRDefault="00A32067" w:rsidP="005431C7">
      <w:pPr>
        <w:spacing w:line="400" w:lineRule="exact"/>
        <w:ind w:firstLineChars="200" w:firstLine="31680"/>
        <w:rPr>
          <w:kern w:val="0"/>
          <w:sz w:val="22"/>
          <w:szCs w:val="22"/>
        </w:rPr>
      </w:pPr>
      <w:r>
        <w:rPr>
          <w:kern w:val="0"/>
          <w:sz w:val="22"/>
          <w:szCs w:val="22"/>
        </w:rPr>
        <w:t>6.</w:t>
      </w:r>
      <w:r>
        <w:rPr>
          <w:rFonts w:cs="宋体" w:hint="eastAsia"/>
          <w:kern w:val="0"/>
          <w:sz w:val="22"/>
          <w:szCs w:val="22"/>
        </w:rPr>
        <w:t>项目划分标准按单项工程计取。</w:t>
      </w:r>
    </w:p>
    <w:p w:rsidR="00A32067" w:rsidRDefault="00A32067" w:rsidP="005431C7">
      <w:pPr>
        <w:spacing w:line="400" w:lineRule="exact"/>
        <w:ind w:firstLineChars="200" w:firstLine="31680"/>
        <w:rPr>
          <w:kern w:val="0"/>
          <w:sz w:val="22"/>
          <w:szCs w:val="22"/>
        </w:rPr>
      </w:pPr>
      <w:r>
        <w:rPr>
          <w:kern w:val="0"/>
          <w:sz w:val="22"/>
          <w:szCs w:val="22"/>
        </w:rPr>
        <w:t>7.</w:t>
      </w:r>
      <w:r>
        <w:rPr>
          <w:rFonts w:cs="宋体" w:hint="eastAsia"/>
          <w:kern w:val="0"/>
          <w:sz w:val="22"/>
          <w:szCs w:val="22"/>
        </w:rPr>
        <w:t>采用上述办法不便计算的，可参照本办法规定的工日费用标准（详见附件</w:t>
      </w:r>
      <w:r>
        <w:rPr>
          <w:kern w:val="0"/>
          <w:sz w:val="22"/>
          <w:szCs w:val="22"/>
        </w:rPr>
        <w:t>4</w:t>
      </w:r>
      <w:r>
        <w:rPr>
          <w:rFonts w:cs="宋体" w:hint="eastAsia"/>
          <w:kern w:val="0"/>
          <w:sz w:val="22"/>
          <w:szCs w:val="22"/>
        </w:rPr>
        <w:t>），由工程造价咨询单位与委托方另行约定。</w:t>
      </w:r>
    </w:p>
    <w:p w:rsidR="00A32067" w:rsidRDefault="00A32067" w:rsidP="005431C7">
      <w:pPr>
        <w:spacing w:line="400" w:lineRule="exact"/>
        <w:ind w:firstLineChars="200" w:firstLine="31680"/>
        <w:rPr>
          <w:kern w:val="0"/>
          <w:sz w:val="22"/>
          <w:szCs w:val="22"/>
        </w:rPr>
      </w:pPr>
      <w:r>
        <w:rPr>
          <w:kern w:val="0"/>
          <w:sz w:val="22"/>
          <w:szCs w:val="22"/>
        </w:rPr>
        <w:t>8.</w:t>
      </w:r>
      <w:r>
        <w:rPr>
          <w:rFonts w:cs="宋体" w:hint="eastAsia"/>
          <w:kern w:val="0"/>
          <w:sz w:val="22"/>
          <w:szCs w:val="22"/>
        </w:rPr>
        <w:t>如因委托方原因出现重复造价咨询服务时，收费由双方协商解决，参考系数（</w:t>
      </w:r>
      <w:r>
        <w:rPr>
          <w:kern w:val="0"/>
          <w:sz w:val="22"/>
          <w:szCs w:val="22"/>
        </w:rPr>
        <w:t>1.5-2.0</w:t>
      </w:r>
      <w:r>
        <w:rPr>
          <w:rFonts w:cs="宋体" w:hint="eastAsia"/>
          <w:kern w:val="0"/>
          <w:sz w:val="22"/>
          <w:szCs w:val="22"/>
        </w:rPr>
        <w:t>）。</w:t>
      </w: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headerReference w:type="even" r:id="rId79"/>
          <w:headerReference w:type="default" r:id="rId80"/>
          <w:footerReference w:type="even" r:id="rId81"/>
          <w:footerReference w:type="default" r:id="rId82"/>
          <w:pgSz w:w="16840" w:h="11907" w:orient="landscape"/>
          <w:pgMar w:top="1077" w:right="1134" w:bottom="1077" w:left="1134"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w:t>
      </w:r>
      <w:r>
        <w:rPr>
          <w:rFonts w:ascii="Times New Roman" w:hAnsi="Times New Roman" w:cs="Times New Roman"/>
          <w:b/>
          <w:bCs/>
          <w:kern w:val="2"/>
        </w:rPr>
        <w:t>2:</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建设工程造价咨询收费专业工程调整系数表</w:t>
      </w:r>
    </w:p>
    <w:tbl>
      <w:tblPr>
        <w:tblW w:w="8940" w:type="dxa"/>
        <w:jc w:val="center"/>
        <w:tblLayout w:type="fixed"/>
        <w:tblLook w:val="00A0"/>
      </w:tblPr>
      <w:tblGrid>
        <w:gridCol w:w="1080"/>
        <w:gridCol w:w="4460"/>
        <w:gridCol w:w="3400"/>
      </w:tblGrid>
      <w:tr w:rsidR="00A32067">
        <w:trPr>
          <w:trHeight w:val="360"/>
          <w:jc w:val="center"/>
        </w:trPr>
        <w:tc>
          <w:tcPr>
            <w:tcW w:w="1080" w:type="dxa"/>
            <w:tcBorders>
              <w:top w:val="single" w:sz="8" w:space="0" w:color="auto"/>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序号</w:t>
            </w:r>
          </w:p>
        </w:tc>
        <w:tc>
          <w:tcPr>
            <w:tcW w:w="4460" w:type="dxa"/>
            <w:tcBorders>
              <w:top w:val="single" w:sz="8" w:space="0" w:color="auto"/>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工程类别</w:t>
            </w:r>
          </w:p>
        </w:tc>
        <w:tc>
          <w:tcPr>
            <w:tcW w:w="3400" w:type="dxa"/>
            <w:tcBorders>
              <w:top w:val="single" w:sz="8" w:space="0" w:color="auto"/>
              <w:left w:val="nil"/>
              <w:bottom w:val="single" w:sz="4" w:space="0" w:color="auto"/>
              <w:right w:val="single" w:sz="8" w:space="0" w:color="auto"/>
            </w:tcBorders>
            <w:shd w:val="clear" w:color="000000" w:fill="FFFFFF"/>
            <w:vAlign w:val="center"/>
          </w:tcPr>
          <w:p w:rsidR="00A32067" w:rsidRDefault="00A32067">
            <w:pPr>
              <w:jc w:val="center"/>
              <w:rPr>
                <w:color w:val="3E3E3E"/>
              </w:rPr>
            </w:pPr>
            <w:r>
              <w:rPr>
                <w:rFonts w:cs="宋体" w:hint="eastAsia"/>
                <w:color w:val="3E3E3E"/>
              </w:rPr>
              <w:t>专业调整系数</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市政工程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0.8</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2</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水利电力工程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0.9</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3</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机场场道工程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0.7</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4</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公路、道路工程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0.8</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5</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城市轨道工程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0.8</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6</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桥梁、隧道工程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0.7</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7</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港口工程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0.8</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8</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井巷矿山工程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1.1</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9</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园林绿化工程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1.1</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10</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装饰装修工程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1.2</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11</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仿古建筑工程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1.2</w:t>
            </w:r>
          </w:p>
        </w:tc>
      </w:tr>
      <w:tr w:rsidR="00A32067">
        <w:trPr>
          <w:trHeight w:val="360"/>
          <w:jc w:val="center"/>
        </w:trPr>
        <w:tc>
          <w:tcPr>
            <w:tcW w:w="1080" w:type="dxa"/>
            <w:tcBorders>
              <w:top w:val="nil"/>
              <w:left w:val="single" w:sz="8" w:space="0" w:color="auto"/>
              <w:bottom w:val="single" w:sz="4" w:space="0" w:color="auto"/>
              <w:right w:val="single" w:sz="4" w:space="0" w:color="auto"/>
            </w:tcBorders>
            <w:shd w:val="clear" w:color="000000" w:fill="FFFFFF"/>
            <w:vAlign w:val="center"/>
          </w:tcPr>
          <w:p w:rsidR="00A32067" w:rsidRDefault="00A32067">
            <w:pPr>
              <w:jc w:val="center"/>
              <w:rPr>
                <w:color w:val="3E3E3E"/>
              </w:rPr>
            </w:pPr>
            <w:r>
              <w:rPr>
                <w:color w:val="3E3E3E"/>
              </w:rPr>
              <w:t>12</w:t>
            </w:r>
          </w:p>
        </w:tc>
        <w:tc>
          <w:tcPr>
            <w:tcW w:w="446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安装工程</w:t>
            </w:r>
          </w:p>
        </w:tc>
        <w:tc>
          <w:tcPr>
            <w:tcW w:w="3400" w:type="dxa"/>
            <w:tcBorders>
              <w:top w:val="nil"/>
              <w:left w:val="nil"/>
              <w:bottom w:val="single" w:sz="4" w:space="0" w:color="auto"/>
              <w:right w:val="single" w:sz="8" w:space="0" w:color="auto"/>
            </w:tcBorders>
            <w:shd w:val="clear" w:color="000000" w:fill="FFFFFF"/>
            <w:vAlign w:val="center"/>
          </w:tcPr>
          <w:p w:rsidR="00A32067" w:rsidRDefault="00A32067">
            <w:pPr>
              <w:jc w:val="center"/>
              <w:rPr>
                <w:color w:val="3E3E3E"/>
              </w:rPr>
            </w:pPr>
            <w:r>
              <w:rPr>
                <w:color w:val="3E3E3E"/>
              </w:rPr>
              <w:t>1.2</w:t>
            </w:r>
          </w:p>
        </w:tc>
      </w:tr>
      <w:tr w:rsidR="00A32067">
        <w:trPr>
          <w:trHeight w:val="360"/>
          <w:jc w:val="center"/>
        </w:trPr>
        <w:tc>
          <w:tcPr>
            <w:tcW w:w="1080" w:type="dxa"/>
            <w:tcBorders>
              <w:top w:val="nil"/>
              <w:left w:val="single" w:sz="8" w:space="0" w:color="auto"/>
              <w:bottom w:val="single" w:sz="8" w:space="0" w:color="auto"/>
              <w:right w:val="single" w:sz="4" w:space="0" w:color="auto"/>
            </w:tcBorders>
            <w:shd w:val="clear" w:color="000000" w:fill="FFFFFF"/>
            <w:vAlign w:val="center"/>
          </w:tcPr>
          <w:p w:rsidR="00A32067" w:rsidRDefault="00A32067">
            <w:pPr>
              <w:jc w:val="center"/>
              <w:rPr>
                <w:color w:val="3E3E3E"/>
              </w:rPr>
            </w:pPr>
            <w:r>
              <w:rPr>
                <w:color w:val="3E3E3E"/>
              </w:rPr>
              <w:t>13</w:t>
            </w:r>
          </w:p>
        </w:tc>
        <w:tc>
          <w:tcPr>
            <w:tcW w:w="4460" w:type="dxa"/>
            <w:tcBorders>
              <w:top w:val="nil"/>
              <w:left w:val="nil"/>
              <w:bottom w:val="single" w:sz="8" w:space="0" w:color="auto"/>
              <w:right w:val="single" w:sz="4" w:space="0" w:color="auto"/>
            </w:tcBorders>
            <w:shd w:val="clear" w:color="000000" w:fill="FFFFFF"/>
            <w:vAlign w:val="center"/>
          </w:tcPr>
          <w:p w:rsidR="00A32067" w:rsidRDefault="00A32067">
            <w:pPr>
              <w:jc w:val="center"/>
              <w:rPr>
                <w:color w:val="3E3E3E"/>
              </w:rPr>
            </w:pPr>
            <w:r>
              <w:rPr>
                <w:rFonts w:cs="宋体" w:hint="eastAsia"/>
                <w:color w:val="3E3E3E"/>
              </w:rPr>
              <w:t>其他工程</w:t>
            </w:r>
          </w:p>
        </w:tc>
        <w:tc>
          <w:tcPr>
            <w:tcW w:w="3400" w:type="dxa"/>
            <w:tcBorders>
              <w:top w:val="nil"/>
              <w:left w:val="nil"/>
              <w:bottom w:val="single" w:sz="8" w:space="0" w:color="auto"/>
              <w:right w:val="single" w:sz="8" w:space="0" w:color="auto"/>
            </w:tcBorders>
            <w:shd w:val="clear" w:color="000000" w:fill="FFFFFF"/>
            <w:vAlign w:val="center"/>
          </w:tcPr>
          <w:p w:rsidR="00A32067" w:rsidRDefault="00A32067">
            <w:pPr>
              <w:jc w:val="center"/>
              <w:rPr>
                <w:color w:val="3E3E3E"/>
              </w:rPr>
            </w:pPr>
            <w:r>
              <w:rPr>
                <w:color w:val="3E3E3E"/>
              </w:rPr>
              <w:t>1</w:t>
            </w:r>
          </w:p>
        </w:tc>
      </w:tr>
    </w:tbl>
    <w:p w:rsidR="00A32067" w:rsidRDefault="00A32067">
      <w:pPr>
        <w:shd w:val="clear" w:color="auto" w:fill="FFFFFF"/>
        <w:spacing w:line="480" w:lineRule="atLeast"/>
        <w:rPr>
          <w:color w:val="3E3E3E"/>
          <w:sz w:val="24"/>
          <w:szCs w:val="24"/>
        </w:rPr>
      </w:pPr>
    </w:p>
    <w:p w:rsidR="00A32067" w:rsidRDefault="00A32067">
      <w:pPr>
        <w:spacing w:line="360" w:lineRule="auto"/>
        <w:rPr>
          <w:kern w:val="0"/>
          <w:sz w:val="22"/>
          <w:szCs w:val="22"/>
        </w:rPr>
      </w:pPr>
      <w:r>
        <w:rPr>
          <w:rFonts w:cs="宋体" w:hint="eastAsia"/>
          <w:kern w:val="0"/>
          <w:sz w:val="22"/>
          <w:szCs w:val="22"/>
        </w:rPr>
        <w:t>使用说明</w:t>
      </w:r>
      <w:r>
        <w:rPr>
          <w:kern w:val="0"/>
          <w:sz w:val="22"/>
          <w:szCs w:val="22"/>
        </w:rPr>
        <w:t>:</w:t>
      </w:r>
    </w:p>
    <w:p w:rsidR="00A32067" w:rsidRDefault="00A32067" w:rsidP="005431C7">
      <w:pPr>
        <w:spacing w:line="360" w:lineRule="auto"/>
        <w:ind w:firstLineChars="200" w:firstLine="31680"/>
        <w:rPr>
          <w:kern w:val="0"/>
          <w:sz w:val="22"/>
          <w:szCs w:val="22"/>
        </w:rPr>
      </w:pPr>
      <w:r>
        <w:rPr>
          <w:kern w:val="0"/>
          <w:sz w:val="22"/>
          <w:szCs w:val="22"/>
        </w:rPr>
        <w:t>1</w:t>
      </w:r>
      <w:r>
        <w:rPr>
          <w:rFonts w:cs="宋体" w:hint="eastAsia"/>
          <w:kern w:val="0"/>
          <w:sz w:val="22"/>
          <w:szCs w:val="22"/>
        </w:rPr>
        <w:t>．房屋建筑工程和其他未涵盖的专业工程调整系数为</w:t>
      </w:r>
      <w:r>
        <w:rPr>
          <w:kern w:val="0"/>
          <w:sz w:val="22"/>
          <w:szCs w:val="22"/>
        </w:rPr>
        <w:t>1</w:t>
      </w:r>
      <w:r>
        <w:rPr>
          <w:rFonts w:cs="宋体" w:hint="eastAsia"/>
          <w:kern w:val="0"/>
          <w:sz w:val="22"/>
          <w:szCs w:val="22"/>
        </w:rPr>
        <w:t>；</w:t>
      </w:r>
    </w:p>
    <w:p w:rsidR="00A32067" w:rsidRDefault="00A32067" w:rsidP="005431C7">
      <w:pPr>
        <w:spacing w:line="360" w:lineRule="auto"/>
        <w:ind w:firstLineChars="200" w:firstLine="31680"/>
        <w:rPr>
          <w:kern w:val="0"/>
          <w:sz w:val="22"/>
          <w:szCs w:val="22"/>
        </w:rPr>
      </w:pPr>
      <w:r>
        <w:rPr>
          <w:kern w:val="0"/>
          <w:sz w:val="22"/>
          <w:szCs w:val="22"/>
        </w:rPr>
        <w:t>2</w:t>
      </w:r>
      <w:r>
        <w:rPr>
          <w:rFonts w:cs="宋体" w:hint="eastAsia"/>
          <w:kern w:val="0"/>
          <w:sz w:val="22"/>
          <w:szCs w:val="22"/>
        </w:rPr>
        <w:t>．投资额较大，计量和计价相对简单的市政、水利电力、机场、港口、城市轨道等工程，降低其收费系数；</w:t>
      </w:r>
    </w:p>
    <w:p w:rsidR="00A32067" w:rsidRDefault="00A32067" w:rsidP="005431C7">
      <w:pPr>
        <w:spacing w:line="360" w:lineRule="auto"/>
        <w:ind w:firstLineChars="200" w:firstLine="31680"/>
        <w:rPr>
          <w:kern w:val="0"/>
          <w:sz w:val="22"/>
          <w:szCs w:val="22"/>
        </w:rPr>
      </w:pPr>
      <w:r>
        <w:rPr>
          <w:kern w:val="0"/>
          <w:sz w:val="22"/>
          <w:szCs w:val="22"/>
        </w:rPr>
        <w:t>3</w:t>
      </w:r>
      <w:r>
        <w:rPr>
          <w:rFonts w:cs="宋体" w:hint="eastAsia"/>
          <w:kern w:val="0"/>
          <w:sz w:val="22"/>
          <w:szCs w:val="22"/>
        </w:rPr>
        <w:t>．投资额较小，计量和计价相对复杂的园林、装饰装修、仿古、安装、井巷矿山等工程，提高其收费系数。</w:t>
      </w:r>
    </w:p>
    <w:p w:rsidR="00A32067" w:rsidRDefault="00A32067">
      <w:pPr>
        <w:shd w:val="clear" w:color="auto" w:fill="FFFFFF"/>
        <w:spacing w:line="480" w:lineRule="atLeast"/>
        <w:rPr>
          <w:rFonts w:eastAsia="微软雅黑"/>
          <w:color w:val="3E3E3E"/>
          <w:sz w:val="24"/>
          <w:szCs w:val="24"/>
        </w:rPr>
      </w:pPr>
    </w:p>
    <w:p w:rsidR="00A32067" w:rsidRDefault="00A32067">
      <w:pPr>
        <w:shd w:val="clear" w:color="auto" w:fill="FFFFFF"/>
        <w:spacing w:line="480" w:lineRule="atLeast"/>
        <w:rPr>
          <w:color w:val="3E3E3E"/>
          <w:sz w:val="24"/>
          <w:szCs w:val="24"/>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shd w:val="clear" w:color="auto" w:fill="FFFFFF"/>
        <w:spacing w:line="384" w:lineRule="atLeast"/>
        <w:rPr>
          <w:color w:val="3E3E3E"/>
          <w:sz w:val="28"/>
          <w:szCs w:val="28"/>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headerReference w:type="even" r:id="rId83"/>
          <w:headerReference w:type="default" r:id="rId84"/>
          <w:footerReference w:type="even" r:id="rId85"/>
          <w:footerReference w:type="default" r:id="rId86"/>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w:t>
      </w:r>
      <w:r>
        <w:rPr>
          <w:rFonts w:ascii="Times New Roman" w:hAnsi="Times New Roman" w:cs="Times New Roman"/>
          <w:b/>
          <w:bCs/>
          <w:kern w:val="2"/>
        </w:rPr>
        <w:t>3:</w:t>
      </w:r>
      <w:r>
        <w:rPr>
          <w:rFonts w:ascii="Times New Roman" w:hAnsi="Times New Roman" w:cs="Times New Roman"/>
          <w:b/>
          <w:bCs/>
          <w:kern w:val="2"/>
        </w:rPr>
        <w:tab/>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建设工程造价咨询附加收费表</w:t>
      </w:r>
    </w:p>
    <w:tbl>
      <w:tblPr>
        <w:tblW w:w="9570" w:type="dxa"/>
        <w:jc w:val="center"/>
        <w:tblLayout w:type="fixed"/>
        <w:tblCellMar>
          <w:left w:w="0" w:type="dxa"/>
          <w:right w:w="0" w:type="dxa"/>
        </w:tblCellMar>
        <w:tblLook w:val="00A0"/>
      </w:tblPr>
      <w:tblGrid>
        <w:gridCol w:w="909"/>
        <w:gridCol w:w="3875"/>
        <w:gridCol w:w="2393"/>
        <w:gridCol w:w="2393"/>
      </w:tblGrid>
      <w:tr w:rsidR="00A32067">
        <w:trPr>
          <w:trHeight w:val="735"/>
          <w:jc w:val="center"/>
        </w:trPr>
        <w:tc>
          <w:tcPr>
            <w:tcW w:w="909" w:type="dxa"/>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spacing w:line="384" w:lineRule="atLeast"/>
              <w:jc w:val="center"/>
              <w:rPr>
                <w:color w:val="3E3E3E"/>
              </w:rPr>
            </w:pPr>
            <w:r>
              <w:rPr>
                <w:rFonts w:cs="宋体" w:hint="eastAsia"/>
                <w:color w:val="3E3E3E"/>
              </w:rPr>
              <w:t>序号</w:t>
            </w:r>
          </w:p>
        </w:tc>
        <w:tc>
          <w:tcPr>
            <w:tcW w:w="3875"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咨询项目名称</w:t>
            </w:r>
          </w:p>
        </w:tc>
        <w:tc>
          <w:tcPr>
            <w:tcW w:w="2393"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收费基数（吨）</w:t>
            </w:r>
          </w:p>
        </w:tc>
        <w:tc>
          <w:tcPr>
            <w:tcW w:w="2393"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收费标准（元</w:t>
            </w:r>
            <w:r>
              <w:rPr>
                <w:color w:val="3E3E3E"/>
              </w:rPr>
              <w:t>/</w:t>
            </w:r>
            <w:r>
              <w:rPr>
                <w:rFonts w:cs="宋体" w:hint="eastAsia"/>
                <w:color w:val="3E3E3E"/>
              </w:rPr>
              <w:t>吨）</w:t>
            </w:r>
          </w:p>
        </w:tc>
      </w:tr>
      <w:tr w:rsidR="00A32067">
        <w:trPr>
          <w:trHeight w:val="735"/>
          <w:jc w:val="center"/>
        </w:trPr>
        <w:tc>
          <w:tcPr>
            <w:tcW w:w="90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1</w:t>
            </w:r>
          </w:p>
        </w:tc>
        <w:tc>
          <w:tcPr>
            <w:tcW w:w="3875"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工程量清单钢筋精细计量</w:t>
            </w:r>
          </w:p>
        </w:tc>
        <w:tc>
          <w:tcPr>
            <w:tcW w:w="239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钢筋重量</w:t>
            </w:r>
          </w:p>
        </w:tc>
        <w:tc>
          <w:tcPr>
            <w:tcW w:w="239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12</w:t>
            </w:r>
          </w:p>
        </w:tc>
      </w:tr>
      <w:tr w:rsidR="00A32067">
        <w:trPr>
          <w:trHeight w:val="735"/>
          <w:jc w:val="center"/>
        </w:trPr>
        <w:tc>
          <w:tcPr>
            <w:tcW w:w="90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2</w:t>
            </w:r>
          </w:p>
        </w:tc>
        <w:tc>
          <w:tcPr>
            <w:tcW w:w="3875"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结算审查钢筋精细计量</w:t>
            </w:r>
          </w:p>
        </w:tc>
        <w:tc>
          <w:tcPr>
            <w:tcW w:w="239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钢筋重量</w:t>
            </w:r>
          </w:p>
        </w:tc>
        <w:tc>
          <w:tcPr>
            <w:tcW w:w="2393"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18</w:t>
            </w:r>
          </w:p>
        </w:tc>
      </w:tr>
    </w:tbl>
    <w:p w:rsidR="00A32067" w:rsidRDefault="00A32067">
      <w:pPr>
        <w:shd w:val="clear" w:color="auto" w:fill="FFFFFF"/>
        <w:spacing w:line="384" w:lineRule="atLeast"/>
        <w:rPr>
          <w:rFonts w:eastAsia="微软雅黑"/>
          <w:color w:val="3E3E3E"/>
        </w:rPr>
      </w:pPr>
    </w:p>
    <w:p w:rsidR="00A32067" w:rsidRDefault="00A32067">
      <w:pPr>
        <w:shd w:val="clear" w:color="auto" w:fill="FFFFFF"/>
        <w:spacing w:line="384" w:lineRule="atLeast"/>
        <w:rPr>
          <w:rFonts w:eastAsia="微软雅黑"/>
          <w:color w:val="3E3E3E"/>
          <w:sz w:val="30"/>
          <w:szCs w:val="30"/>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w:t>
      </w:r>
      <w:r>
        <w:rPr>
          <w:rFonts w:ascii="Times New Roman" w:hAnsi="Times New Roman" w:cs="Times New Roman"/>
          <w:b/>
          <w:bCs/>
          <w:kern w:val="2"/>
        </w:rPr>
        <w:t>4</w:t>
      </w:r>
      <w:r>
        <w:rPr>
          <w:rFonts w:ascii="Times New Roman" w:hAnsi="Times New Roman" w:hint="eastAsia"/>
          <w:b/>
          <w:bCs/>
          <w:kern w:val="2"/>
        </w:rPr>
        <w:t>：</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建设工程造价咨询日收费标准</w:t>
      </w:r>
    </w:p>
    <w:tbl>
      <w:tblPr>
        <w:tblW w:w="9570" w:type="dxa"/>
        <w:jc w:val="center"/>
        <w:tblLayout w:type="fixed"/>
        <w:tblCellMar>
          <w:left w:w="0" w:type="dxa"/>
          <w:right w:w="0" w:type="dxa"/>
        </w:tblCellMar>
        <w:tblLook w:val="00A0"/>
      </w:tblPr>
      <w:tblGrid>
        <w:gridCol w:w="915"/>
        <w:gridCol w:w="6680"/>
        <w:gridCol w:w="1975"/>
      </w:tblGrid>
      <w:tr w:rsidR="00A32067">
        <w:trPr>
          <w:trHeight w:val="735"/>
          <w:jc w:val="center"/>
        </w:trPr>
        <w:tc>
          <w:tcPr>
            <w:tcW w:w="915" w:type="dxa"/>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spacing w:line="384" w:lineRule="atLeast"/>
              <w:jc w:val="center"/>
              <w:rPr>
                <w:color w:val="3E3E3E"/>
              </w:rPr>
            </w:pPr>
            <w:r>
              <w:rPr>
                <w:rFonts w:cs="宋体" w:hint="eastAsia"/>
                <w:color w:val="3E3E3E"/>
              </w:rPr>
              <w:t>序号</w:t>
            </w:r>
          </w:p>
        </w:tc>
        <w:tc>
          <w:tcPr>
            <w:tcW w:w="6680"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项目名称</w:t>
            </w:r>
          </w:p>
        </w:tc>
        <w:tc>
          <w:tcPr>
            <w:tcW w:w="1975"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金额（元</w:t>
            </w:r>
            <w:r>
              <w:rPr>
                <w:color w:val="3E3E3E"/>
              </w:rPr>
              <w:t>/</w:t>
            </w:r>
            <w:r>
              <w:rPr>
                <w:rFonts w:cs="宋体" w:hint="eastAsia"/>
                <w:color w:val="3E3E3E"/>
              </w:rPr>
              <w:t>工日）</w:t>
            </w:r>
          </w:p>
        </w:tc>
      </w:tr>
      <w:tr w:rsidR="00A32067">
        <w:trPr>
          <w:trHeight w:val="735"/>
          <w:jc w:val="center"/>
        </w:trPr>
        <w:tc>
          <w:tcPr>
            <w:tcW w:w="915"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1</w:t>
            </w:r>
          </w:p>
        </w:tc>
        <w:tc>
          <w:tcPr>
            <w:tcW w:w="668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有注册造价工程师资格证书及高级职称的造价咨询人员</w:t>
            </w:r>
          </w:p>
        </w:tc>
        <w:tc>
          <w:tcPr>
            <w:tcW w:w="1975"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2500</w:t>
            </w:r>
          </w:p>
        </w:tc>
      </w:tr>
      <w:tr w:rsidR="00A32067">
        <w:trPr>
          <w:trHeight w:val="735"/>
          <w:jc w:val="center"/>
        </w:trPr>
        <w:tc>
          <w:tcPr>
            <w:tcW w:w="915"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2</w:t>
            </w:r>
          </w:p>
        </w:tc>
        <w:tc>
          <w:tcPr>
            <w:tcW w:w="668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有注册造价工程师资格证书或中级职称的造价咨询人员</w:t>
            </w:r>
          </w:p>
        </w:tc>
        <w:tc>
          <w:tcPr>
            <w:tcW w:w="1975"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2000</w:t>
            </w:r>
          </w:p>
        </w:tc>
      </w:tr>
      <w:tr w:rsidR="00A32067">
        <w:trPr>
          <w:trHeight w:val="735"/>
          <w:jc w:val="center"/>
        </w:trPr>
        <w:tc>
          <w:tcPr>
            <w:tcW w:w="915"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3</w:t>
            </w:r>
          </w:p>
        </w:tc>
        <w:tc>
          <w:tcPr>
            <w:tcW w:w="668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rFonts w:cs="宋体" w:hint="eastAsia"/>
                <w:color w:val="3E3E3E"/>
              </w:rPr>
              <w:t>其他造价咨询人员</w:t>
            </w:r>
          </w:p>
        </w:tc>
        <w:tc>
          <w:tcPr>
            <w:tcW w:w="1975"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A32067" w:rsidRDefault="00A32067">
            <w:pPr>
              <w:wordWrap w:val="0"/>
              <w:spacing w:line="384" w:lineRule="atLeast"/>
              <w:jc w:val="center"/>
              <w:rPr>
                <w:color w:val="3E3E3E"/>
              </w:rPr>
            </w:pPr>
            <w:r>
              <w:rPr>
                <w:color w:val="3E3E3E"/>
              </w:rPr>
              <w:t>1500</w:t>
            </w:r>
          </w:p>
        </w:tc>
      </w:tr>
    </w:tbl>
    <w:p w:rsidR="00A32067" w:rsidRDefault="00A32067"/>
    <w:p w:rsidR="00A32067" w:rsidRDefault="00A32067" w:rsidP="005431C7">
      <w:pPr>
        <w:pStyle w:val="NormalWeb"/>
        <w:shd w:val="clear" w:color="auto" w:fill="FFFFFF"/>
        <w:spacing w:before="0" w:beforeAutospacing="0" w:after="0" w:afterAutospacing="0" w:line="600" w:lineRule="exact"/>
        <w:ind w:firstLineChars="200" w:firstLine="31680"/>
        <w:rPr>
          <w:rFonts w:ascii="Times New Roman" w:eastAsia="微软雅黑" w:hAnsi="Times New Roman" w:cs="Times New Roman"/>
        </w:rPr>
      </w:pPr>
    </w:p>
    <w:p w:rsidR="00A32067" w:rsidRDefault="00A32067">
      <w:pPr>
        <w:spacing w:line="220" w:lineRule="atLeast"/>
        <w:rPr>
          <w:sz w:val="24"/>
          <w:szCs w:val="24"/>
        </w:rPr>
      </w:pPr>
      <w:r>
        <w:br w:type="page"/>
      </w:r>
    </w:p>
    <w:p w:rsidR="00A32067" w:rsidRDefault="00A32067">
      <w:pPr>
        <w:spacing w:line="360" w:lineRule="auto"/>
        <w:jc w:val="center"/>
        <w:outlineLvl w:val="2"/>
        <w:rPr>
          <w:color w:val="000000"/>
          <w:sz w:val="22"/>
          <w:szCs w:val="22"/>
        </w:rPr>
      </w:pPr>
      <w:bookmarkStart w:id="74" w:name="_Toc519872303"/>
      <w:r>
        <w:rPr>
          <w:rFonts w:cs="宋体" w:hint="eastAsia"/>
          <w:b/>
          <w:bCs/>
          <w:sz w:val="44"/>
          <w:szCs w:val="44"/>
        </w:rPr>
        <w:t>国家计委关于印发</w:t>
      </w:r>
      <w:r>
        <w:rPr>
          <w:b/>
          <w:bCs/>
          <w:sz w:val="44"/>
          <w:szCs w:val="44"/>
        </w:rPr>
        <w:br/>
      </w:r>
      <w:r>
        <w:rPr>
          <w:rFonts w:cs="宋体" w:hint="eastAsia"/>
          <w:b/>
          <w:bCs/>
          <w:sz w:val="44"/>
          <w:szCs w:val="44"/>
        </w:rPr>
        <w:t>《招标代理服务收费管理暂行办法》的通知</w:t>
      </w:r>
      <w:r>
        <w:rPr>
          <w:b/>
          <w:bCs/>
          <w:sz w:val="44"/>
          <w:szCs w:val="44"/>
        </w:rPr>
        <w:br/>
      </w:r>
      <w:r>
        <w:rPr>
          <w:rFonts w:cs="宋体" w:hint="eastAsia"/>
          <w:color w:val="000000"/>
          <w:sz w:val="22"/>
          <w:szCs w:val="22"/>
        </w:rPr>
        <w:t>计价格</w:t>
      </w:r>
      <w:r>
        <w:rPr>
          <w:color w:val="000000"/>
          <w:sz w:val="22"/>
          <w:szCs w:val="22"/>
        </w:rPr>
        <w:t>[2002]1980</w:t>
      </w:r>
      <w:r>
        <w:rPr>
          <w:rFonts w:cs="宋体" w:hint="eastAsia"/>
          <w:color w:val="000000"/>
          <w:sz w:val="22"/>
          <w:szCs w:val="22"/>
        </w:rPr>
        <w:t>号</w:t>
      </w:r>
      <w:bookmarkEnd w:id="74"/>
    </w:p>
    <w:p w:rsidR="00A32067" w:rsidRDefault="00A32067">
      <w:pPr>
        <w:spacing w:line="360" w:lineRule="auto"/>
        <w:jc w:val="center"/>
        <w:rPr>
          <w:color w:val="000000"/>
          <w:sz w:val="22"/>
          <w:szCs w:val="22"/>
        </w:rPr>
      </w:pPr>
    </w:p>
    <w:p w:rsidR="00A32067" w:rsidRDefault="00A32067">
      <w:pPr>
        <w:spacing w:line="360" w:lineRule="auto"/>
        <w:jc w:val="center"/>
        <w:rPr>
          <w:sz w:val="44"/>
          <w:szCs w:val="44"/>
        </w:rPr>
      </w:pP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各省、自治区、直辖市计委、物价局：</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为规范招标代理服务收费行为，维护招标人、投标人和招标代理机构的合法权益，促进招标代理行业的健康发展，我委制定了《招标代理服务收费管理暂行办法》（以下简称《办法》），现印发给你们，请按照执行。</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根据《国家计委、财政部关于整顿招标投标收费的通知》（计价格</w:t>
      </w:r>
      <w:r>
        <w:rPr>
          <w:rFonts w:ascii="Times New Roman" w:hAnsi="Times New Roman" w:cs="Times New Roman"/>
          <w:color w:val="000000"/>
          <w:sz w:val="22"/>
          <w:szCs w:val="22"/>
        </w:rPr>
        <w:t>[2002]520</w:t>
      </w:r>
      <w:r>
        <w:rPr>
          <w:rFonts w:ascii="Times New Roman" w:hAnsi="Times New Roman" w:hint="eastAsia"/>
          <w:color w:val="000000"/>
          <w:sz w:val="22"/>
          <w:szCs w:val="22"/>
        </w:rPr>
        <w:t>号）规定，实行由中标人付费的机电设备招标代理服务，可暂按现行有关规定执行，至</w:t>
      </w:r>
      <w:r>
        <w:rPr>
          <w:rFonts w:ascii="Times New Roman" w:hAnsi="Times New Roman" w:cs="Times New Roman"/>
          <w:color w:val="000000"/>
          <w:sz w:val="22"/>
          <w:szCs w:val="22"/>
        </w:rPr>
        <w:t>2004</w:t>
      </w:r>
      <w:r>
        <w:rPr>
          <w:rFonts w:ascii="Times New Roman" w:hAnsi="Times New Roman" w:hint="eastAsia"/>
          <w:color w:val="000000"/>
          <w:sz w:val="22"/>
          <w:szCs w:val="22"/>
        </w:rPr>
        <w:t>年</w:t>
      </w:r>
      <w:r>
        <w:rPr>
          <w:rFonts w:ascii="Times New Roman" w:hAnsi="Times New Roman" w:cs="Times New Roman"/>
          <w:color w:val="000000"/>
          <w:sz w:val="22"/>
          <w:szCs w:val="22"/>
        </w:rPr>
        <w:t>1</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日统一执行委托人付费。机电设备招标代理服务收费标准，自《办法》生效之日起按《办法》规定执行。</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药品集中招标采购收费暂按现行有关规定执行。</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特此通知。</w:t>
      </w:r>
    </w:p>
    <w:p w:rsidR="00A32067" w:rsidRDefault="00A32067">
      <w:pPr>
        <w:jc w:val="center"/>
        <w:rPr>
          <w:color w:val="000000"/>
          <w:sz w:val="22"/>
          <w:szCs w:val="22"/>
        </w:rPr>
      </w:pPr>
      <w:r>
        <w:rPr>
          <w:rFonts w:cs="宋体" w:hint="eastAsia"/>
          <w:color w:val="000000"/>
          <w:sz w:val="22"/>
          <w:szCs w:val="22"/>
        </w:rPr>
        <w:t xml:space="preserve">　</w:t>
      </w:r>
    </w:p>
    <w:p w:rsidR="00A32067" w:rsidRDefault="00A32067" w:rsidP="005431C7">
      <w:pPr>
        <w:ind w:firstLineChars="200" w:firstLine="31680"/>
        <w:jc w:val="left"/>
        <w:rPr>
          <w:color w:val="000000"/>
          <w:sz w:val="22"/>
          <w:szCs w:val="22"/>
        </w:rPr>
      </w:pPr>
      <w:r>
        <w:rPr>
          <w:rFonts w:cs="宋体" w:hint="eastAsia"/>
          <w:color w:val="000000"/>
          <w:sz w:val="22"/>
          <w:szCs w:val="22"/>
        </w:rPr>
        <w:t>附件：招标代理服务收费管理暂行办法。</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hint="eastAsia"/>
          <w:color w:val="000000"/>
          <w:sz w:val="22"/>
          <w:szCs w:val="22"/>
        </w:rPr>
        <w:t>中华人民共和国国家发展计划委员会</w:t>
      </w:r>
    </w:p>
    <w:p w:rsidR="00A32067" w:rsidRDefault="00A32067">
      <w:pPr>
        <w:jc w:val="right"/>
      </w:pPr>
      <w:r>
        <w:rPr>
          <w:rFonts w:cs="宋体" w:hint="eastAsia"/>
          <w:color w:val="000000"/>
          <w:sz w:val="22"/>
          <w:szCs w:val="22"/>
        </w:rPr>
        <w:t>二〇〇二年十月十五日</w:t>
      </w:r>
      <w:r>
        <w:rPr>
          <w:color w:val="000000"/>
          <w:sz w:val="22"/>
          <w:szCs w:val="22"/>
        </w:rPr>
        <w:t> </w:t>
      </w:r>
    </w:p>
    <w:tbl>
      <w:tblPr>
        <w:tblW w:w="9469" w:type="dxa"/>
        <w:jc w:val="center"/>
        <w:tblCellSpacing w:w="0" w:type="dxa"/>
        <w:tblLayout w:type="fixed"/>
        <w:tblCellMar>
          <w:left w:w="0" w:type="dxa"/>
          <w:right w:w="0" w:type="dxa"/>
        </w:tblCellMar>
        <w:tblLook w:val="00A0"/>
      </w:tblPr>
      <w:tblGrid>
        <w:gridCol w:w="9469"/>
      </w:tblGrid>
      <w:tr w:rsidR="00A32067">
        <w:trPr>
          <w:tblCellSpacing w:w="0" w:type="dxa"/>
          <w:jc w:val="center"/>
        </w:trPr>
        <w:tc>
          <w:tcPr>
            <w:tcW w:w="9469" w:type="dxa"/>
          </w:tcPr>
          <w:p w:rsidR="00A32067" w:rsidRPr="0002085C" w:rsidRDefault="00A32067">
            <w:pPr>
              <w:pStyle w:val="Heading2"/>
              <w:spacing w:before="0" w:after="0" w:line="415" w:lineRule="auto"/>
              <w:jc w:val="center"/>
              <w:rPr>
                <w:rFonts w:ascii="Times New Roman" w:hAnsi="Times New Roman" w:cs="Times New Roman"/>
                <w:color w:val="000000"/>
                <w:sz w:val="28"/>
                <w:szCs w:val="28"/>
              </w:rPr>
            </w:pPr>
            <w:r w:rsidRPr="0002085C">
              <w:rPr>
                <w:rFonts w:ascii="Times New Roman" w:hAnsi="Times New Roman" w:cs="Times New Roman"/>
              </w:rPr>
              <w:br w:type="page"/>
            </w: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w:t>
            </w:r>
            <w:r>
              <w:rPr>
                <w:rFonts w:ascii="Times New Roman" w:hAnsi="Times New Roman" w:cs="Times New Roman"/>
                <w:b/>
                <w:bCs/>
                <w:kern w:val="2"/>
              </w:rPr>
              <w:t>:</w:t>
            </w:r>
          </w:p>
          <w:p w:rsidR="00A32067" w:rsidRDefault="00A32067">
            <w:pPr>
              <w:jc w:val="center"/>
              <w:rPr>
                <w:b/>
                <w:bCs/>
                <w:sz w:val="32"/>
                <w:szCs w:val="32"/>
              </w:rPr>
            </w:pPr>
            <w:r>
              <w:rPr>
                <w:rFonts w:cs="宋体" w:hint="eastAsia"/>
                <w:b/>
                <w:bCs/>
                <w:sz w:val="32"/>
                <w:szCs w:val="32"/>
              </w:rPr>
              <w:t>招标代理服务收费管理暂行办法</w:t>
            </w:r>
          </w:p>
          <w:p w:rsidR="00A32067" w:rsidRDefault="00A32067">
            <w:pPr>
              <w:jc w:val="center"/>
              <w:rPr>
                <w:b/>
                <w:bCs/>
                <w:sz w:val="32"/>
                <w:szCs w:val="32"/>
              </w:rPr>
            </w:pP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eastAsia="微软雅黑" w:hAnsi="Times New Roman" w:cs="微软雅黑" w:hint="eastAsia"/>
                <w:b/>
                <w:bCs/>
                <w:color w:val="000000"/>
                <w:sz w:val="18"/>
                <w:szCs w:val="18"/>
              </w:rPr>
              <w:t xml:space="preserve">　</w:t>
            </w:r>
            <w:r>
              <w:rPr>
                <w:rFonts w:ascii="Times New Roman" w:eastAsia="微软雅黑" w:hAnsi="Times New Roman" w:cs="Times New Roman"/>
                <w:b/>
                <w:bCs/>
              </w:rPr>
              <w:t> </w:t>
            </w:r>
            <w:r>
              <w:rPr>
                <w:rFonts w:ascii="Times New Roman" w:hAnsi="Times New Roman" w:hint="eastAsia"/>
                <w:b/>
                <w:bCs/>
                <w:color w:val="000000"/>
                <w:sz w:val="22"/>
                <w:szCs w:val="22"/>
              </w:rPr>
              <w:t>第一条</w:t>
            </w:r>
            <w:r>
              <w:rPr>
                <w:rFonts w:ascii="Times New Roman" w:hAnsi="Times New Roman" w:hint="eastAsia"/>
                <w:color w:val="000000"/>
                <w:sz w:val="22"/>
                <w:szCs w:val="22"/>
              </w:rPr>
              <w:t>为规范招标代理服务收费行为，维护招标人、投标人和招标代理机构的合法权益</w:t>
            </w:r>
            <w:r>
              <w:rPr>
                <w:rFonts w:ascii="Times New Roman" w:hAnsi="Times New Roman" w:cs="Times New Roman"/>
                <w:color w:val="000000"/>
                <w:sz w:val="22"/>
                <w:szCs w:val="22"/>
              </w:rPr>
              <w:t>,</w:t>
            </w:r>
            <w:r>
              <w:rPr>
                <w:rFonts w:ascii="Times New Roman" w:hAnsi="Times New Roman" w:hint="eastAsia"/>
                <w:color w:val="000000"/>
                <w:sz w:val="22"/>
                <w:szCs w:val="22"/>
              </w:rPr>
              <w:t>根据《中华人民共和国价格法》、《中华人民共和国招标投标法》及有关法律、行政法规</w:t>
            </w:r>
            <w:r>
              <w:rPr>
                <w:rFonts w:ascii="Times New Roman" w:hAnsi="Times New Roman" w:cs="Times New Roman"/>
                <w:color w:val="000000"/>
                <w:sz w:val="22"/>
                <w:szCs w:val="22"/>
              </w:rPr>
              <w:t>,</w:t>
            </w:r>
            <w:r>
              <w:rPr>
                <w:rFonts w:ascii="Times New Roman" w:hAnsi="Times New Roman" w:hint="eastAsia"/>
                <w:color w:val="000000"/>
                <w:sz w:val="22"/>
                <w:szCs w:val="22"/>
              </w:rPr>
              <w:t>制定本办法。</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 xml:space="preserve">　第二条</w:t>
            </w:r>
            <w:r>
              <w:rPr>
                <w:rFonts w:ascii="Times New Roman" w:hAnsi="Times New Roman" w:hint="eastAsia"/>
                <w:color w:val="000000"/>
                <w:sz w:val="22"/>
                <w:szCs w:val="22"/>
              </w:rPr>
              <w:t>中华人民共和国境内发生的各类招标代理服务的收费行为</w:t>
            </w:r>
            <w:r>
              <w:rPr>
                <w:rFonts w:ascii="Times New Roman" w:hAnsi="Times New Roman" w:cs="Times New Roman"/>
                <w:color w:val="000000"/>
                <w:sz w:val="22"/>
                <w:szCs w:val="22"/>
              </w:rPr>
              <w:t>,</w:t>
            </w:r>
            <w:r>
              <w:rPr>
                <w:rFonts w:ascii="Times New Roman" w:hAnsi="Times New Roman" w:hint="eastAsia"/>
                <w:color w:val="000000"/>
                <w:sz w:val="22"/>
                <w:szCs w:val="22"/>
              </w:rPr>
              <w:t>适用本办法。</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 xml:space="preserve">　第三条</w:t>
            </w:r>
            <w:r>
              <w:rPr>
                <w:rFonts w:ascii="Times New Roman" w:hAnsi="Times New Roman" w:hint="eastAsia"/>
                <w:color w:val="000000"/>
                <w:sz w:val="22"/>
                <w:szCs w:val="22"/>
              </w:rPr>
              <w:t>本办法所称招标代理服务收费</w:t>
            </w:r>
            <w:r>
              <w:rPr>
                <w:rFonts w:ascii="Times New Roman" w:hAnsi="Times New Roman" w:cs="Times New Roman"/>
                <w:color w:val="000000"/>
                <w:sz w:val="22"/>
                <w:szCs w:val="22"/>
              </w:rPr>
              <w:t>,</w:t>
            </w:r>
            <w:r>
              <w:rPr>
                <w:rFonts w:ascii="Times New Roman" w:hAnsi="Times New Roman" w:hint="eastAsia"/>
                <w:color w:val="000000"/>
                <w:sz w:val="22"/>
                <w:szCs w:val="22"/>
              </w:rPr>
              <w:t>是指招标代理机构接受招标人委托</w:t>
            </w:r>
            <w:r>
              <w:rPr>
                <w:rFonts w:ascii="Times New Roman" w:hAnsi="Times New Roman" w:cs="Times New Roman"/>
                <w:color w:val="000000"/>
                <w:sz w:val="22"/>
                <w:szCs w:val="22"/>
              </w:rPr>
              <w:t>,</w:t>
            </w:r>
            <w:r>
              <w:rPr>
                <w:rFonts w:ascii="Times New Roman" w:hAnsi="Times New Roman" w:hint="eastAsia"/>
                <w:color w:val="000000"/>
                <w:sz w:val="22"/>
                <w:szCs w:val="22"/>
              </w:rPr>
              <w:t>从事编制招标文件（包括编制资格预审文件和标底）</w:t>
            </w:r>
            <w:r>
              <w:rPr>
                <w:rFonts w:ascii="Times New Roman" w:hAnsi="Times New Roman" w:cs="Times New Roman"/>
                <w:color w:val="000000"/>
                <w:sz w:val="22"/>
                <w:szCs w:val="22"/>
              </w:rPr>
              <w:t>,</w:t>
            </w:r>
            <w:r>
              <w:rPr>
                <w:rFonts w:ascii="Times New Roman" w:hAnsi="Times New Roman" w:hint="eastAsia"/>
                <w:color w:val="000000"/>
                <w:sz w:val="22"/>
                <w:szCs w:val="22"/>
              </w:rPr>
              <w:t>审查投标人资格</w:t>
            </w:r>
            <w:r>
              <w:rPr>
                <w:rFonts w:ascii="Times New Roman" w:hAnsi="Times New Roman" w:cs="Times New Roman"/>
                <w:color w:val="000000"/>
                <w:sz w:val="22"/>
                <w:szCs w:val="22"/>
              </w:rPr>
              <w:t>,</w:t>
            </w:r>
            <w:r>
              <w:rPr>
                <w:rFonts w:ascii="Times New Roman" w:hAnsi="Times New Roman" w:hint="eastAsia"/>
                <w:color w:val="000000"/>
                <w:sz w:val="22"/>
                <w:szCs w:val="22"/>
              </w:rPr>
              <w:t>组织投标人踏勘现场并答疑</w:t>
            </w:r>
            <w:r>
              <w:rPr>
                <w:rFonts w:ascii="Times New Roman" w:hAnsi="Times New Roman" w:cs="Times New Roman"/>
                <w:color w:val="000000"/>
                <w:sz w:val="22"/>
                <w:szCs w:val="22"/>
              </w:rPr>
              <w:t>,</w:t>
            </w:r>
            <w:r>
              <w:rPr>
                <w:rFonts w:ascii="Times New Roman" w:hAnsi="Times New Roman" w:hint="eastAsia"/>
                <w:color w:val="000000"/>
                <w:sz w:val="22"/>
                <w:szCs w:val="22"/>
              </w:rPr>
              <w:t>组织开标、评标、定标</w:t>
            </w:r>
            <w:r>
              <w:rPr>
                <w:rFonts w:ascii="Times New Roman" w:hAnsi="Times New Roman" w:cs="Times New Roman"/>
                <w:color w:val="000000"/>
                <w:sz w:val="22"/>
                <w:szCs w:val="22"/>
              </w:rPr>
              <w:t>,</w:t>
            </w:r>
            <w:r>
              <w:rPr>
                <w:rFonts w:ascii="Times New Roman" w:hAnsi="Times New Roman" w:hint="eastAsia"/>
                <w:color w:val="000000"/>
                <w:sz w:val="22"/>
                <w:szCs w:val="22"/>
              </w:rPr>
              <w:t>以及提供招标前期咨询、协调合同的签订等业务所收取的费用。</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 xml:space="preserve">　第四条</w:t>
            </w:r>
            <w:r>
              <w:rPr>
                <w:rFonts w:ascii="Times New Roman" w:hAnsi="Times New Roman" w:hint="eastAsia"/>
                <w:color w:val="000000"/>
                <w:sz w:val="22"/>
                <w:szCs w:val="22"/>
              </w:rPr>
              <w:t xml:space="preserve">　招标代理机构从事招标代理业务并收取服务费用的</w:t>
            </w:r>
            <w:r>
              <w:rPr>
                <w:rFonts w:ascii="Times New Roman" w:hAnsi="Times New Roman" w:cs="Times New Roman"/>
                <w:color w:val="000000"/>
                <w:sz w:val="22"/>
                <w:szCs w:val="22"/>
              </w:rPr>
              <w:t>,</w:t>
            </w:r>
            <w:r>
              <w:rPr>
                <w:rFonts w:ascii="Times New Roman" w:hAnsi="Times New Roman" w:hint="eastAsia"/>
                <w:color w:val="000000"/>
                <w:sz w:val="22"/>
                <w:szCs w:val="22"/>
              </w:rPr>
              <w:t>必须符合《中华人民共和国招标投标法》第十三条、第十四条规定的条件</w:t>
            </w:r>
            <w:r>
              <w:rPr>
                <w:rFonts w:ascii="Times New Roman" w:hAnsi="Times New Roman" w:cs="Times New Roman"/>
                <w:color w:val="000000"/>
                <w:sz w:val="22"/>
                <w:szCs w:val="22"/>
              </w:rPr>
              <w:t>,</w:t>
            </w:r>
            <w:r>
              <w:rPr>
                <w:rFonts w:ascii="Times New Roman" w:hAnsi="Times New Roman" w:hint="eastAsia"/>
                <w:color w:val="000000"/>
                <w:sz w:val="22"/>
                <w:szCs w:val="22"/>
              </w:rPr>
              <w:t>具备独立法人资格和相应资质。</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第五条</w:t>
            </w:r>
            <w:r>
              <w:rPr>
                <w:rFonts w:ascii="Times New Roman" w:hAnsi="Times New Roman" w:hint="eastAsia"/>
                <w:color w:val="000000"/>
                <w:sz w:val="22"/>
                <w:szCs w:val="22"/>
              </w:rPr>
              <w:t xml:space="preserve">　招标代理机构应当在招标人委托的范围内办理招标事宜</w:t>
            </w:r>
            <w:r>
              <w:rPr>
                <w:rFonts w:ascii="Times New Roman" w:hAnsi="Times New Roman" w:cs="Times New Roman"/>
                <w:color w:val="000000"/>
                <w:sz w:val="22"/>
                <w:szCs w:val="22"/>
              </w:rPr>
              <w:t>,</w:t>
            </w:r>
            <w:r>
              <w:rPr>
                <w:rFonts w:ascii="Times New Roman" w:hAnsi="Times New Roman" w:hint="eastAsia"/>
                <w:color w:val="000000"/>
                <w:sz w:val="22"/>
                <w:szCs w:val="22"/>
              </w:rPr>
              <w:t>遵守国家法律、法规及政策规定</w:t>
            </w:r>
            <w:r>
              <w:rPr>
                <w:rFonts w:ascii="Times New Roman" w:hAnsi="Times New Roman" w:cs="Times New Roman"/>
                <w:color w:val="000000"/>
                <w:sz w:val="22"/>
                <w:szCs w:val="22"/>
              </w:rPr>
              <w:t>,</w:t>
            </w:r>
            <w:r>
              <w:rPr>
                <w:rFonts w:ascii="Times New Roman" w:hAnsi="Times New Roman" w:hint="eastAsia"/>
                <w:color w:val="000000"/>
                <w:sz w:val="22"/>
                <w:szCs w:val="22"/>
              </w:rPr>
              <w:t>符合招标人的技术、质量要求。</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 xml:space="preserve">　第六条</w:t>
            </w:r>
            <w:r>
              <w:rPr>
                <w:rFonts w:ascii="Times New Roman" w:hAnsi="Times New Roman" w:hint="eastAsia"/>
                <w:color w:val="000000"/>
                <w:sz w:val="22"/>
                <w:szCs w:val="22"/>
              </w:rPr>
              <w:t xml:space="preserve">　招标代理服务应当遵循公开、公正、平等、自愿、有偿的原则。严格禁止任何单位和个人为招标人强制指定招标代理机构或强制具有自行招标资格的单位接受代理并收取费用。</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第七条</w:t>
            </w:r>
            <w:r>
              <w:rPr>
                <w:rFonts w:ascii="Times New Roman" w:hAnsi="Times New Roman" w:hint="eastAsia"/>
                <w:color w:val="000000"/>
                <w:sz w:val="22"/>
                <w:szCs w:val="22"/>
              </w:rPr>
              <w:t xml:space="preserve">　招标代理服务收费按照招标代理业务性质分为</w:t>
            </w:r>
            <w:r>
              <w:rPr>
                <w:rFonts w:ascii="Times New Roman" w:hAnsi="Times New Roman" w:cs="Times New Roman"/>
                <w:color w:val="000000"/>
                <w:sz w:val="22"/>
                <w:szCs w:val="22"/>
              </w:rPr>
              <w:t>:</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（一）各类土木工程、建筑工程、设备安装、管道线路敷设、装饰装修等建设以及附带服务的工程招标代理服务收费。</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（二）原材料、产品、设备和固态、液态或气态物体和电力等货物及其附带服务的货物招标代理服务收费。</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（三）工程勘察、设计、咨询、监理</w:t>
            </w:r>
            <w:r>
              <w:rPr>
                <w:rFonts w:ascii="Times New Roman" w:hAnsi="Times New Roman" w:cs="Times New Roman"/>
                <w:color w:val="000000"/>
                <w:sz w:val="22"/>
                <w:szCs w:val="22"/>
              </w:rPr>
              <w:t>,</w:t>
            </w:r>
            <w:r>
              <w:rPr>
                <w:rFonts w:ascii="Times New Roman" w:hAnsi="Times New Roman" w:hint="eastAsia"/>
                <w:color w:val="000000"/>
                <w:sz w:val="22"/>
                <w:szCs w:val="22"/>
              </w:rPr>
              <w:t>矿业权、土地使用权出让、转让和保险等工程和货物以外的服务招标代理服务收费。</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第八条</w:t>
            </w:r>
            <w:r>
              <w:rPr>
                <w:rFonts w:ascii="Times New Roman" w:hAnsi="Times New Roman" w:hint="eastAsia"/>
                <w:color w:val="000000"/>
                <w:sz w:val="22"/>
                <w:szCs w:val="22"/>
              </w:rPr>
              <w:t xml:space="preserve">　招标代理服务收费实行政府指导价。</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w:t>
            </w:r>
            <w:r>
              <w:rPr>
                <w:rFonts w:ascii="Times New Roman" w:hAnsi="Times New Roman" w:hint="eastAsia"/>
                <w:b/>
                <w:bCs/>
                <w:color w:val="000000"/>
                <w:sz w:val="22"/>
                <w:szCs w:val="22"/>
              </w:rPr>
              <w:t>第九条</w:t>
            </w:r>
            <w:r>
              <w:rPr>
                <w:rFonts w:ascii="Times New Roman" w:hAnsi="Times New Roman" w:hint="eastAsia"/>
                <w:color w:val="000000"/>
                <w:sz w:val="22"/>
                <w:szCs w:val="22"/>
              </w:rPr>
              <w:t xml:space="preserve">　招标代理服务收费采用差额定率累进计费方式。收费标准按本办法附件规定执行</w:t>
            </w:r>
            <w:r>
              <w:rPr>
                <w:rFonts w:ascii="Times New Roman" w:hAnsi="Times New Roman" w:cs="Times New Roman"/>
                <w:color w:val="000000"/>
                <w:sz w:val="22"/>
                <w:szCs w:val="22"/>
              </w:rPr>
              <w:t>,</w:t>
            </w:r>
            <w:r>
              <w:rPr>
                <w:rFonts w:ascii="Times New Roman" w:hAnsi="Times New Roman" w:hint="eastAsia"/>
                <w:color w:val="000000"/>
                <w:sz w:val="22"/>
                <w:szCs w:val="22"/>
              </w:rPr>
              <w:t>上下浮动幅度不超过</w:t>
            </w:r>
            <w:r>
              <w:rPr>
                <w:rFonts w:ascii="Times New Roman" w:hAnsi="Times New Roman" w:cs="Times New Roman"/>
                <w:color w:val="000000"/>
                <w:sz w:val="22"/>
                <w:szCs w:val="22"/>
              </w:rPr>
              <w:t>20</w:t>
            </w:r>
            <w:r>
              <w:rPr>
                <w:rFonts w:ascii="Times New Roman" w:hAnsi="Times New Roman" w:hint="eastAsia"/>
                <w:color w:val="000000"/>
                <w:sz w:val="22"/>
                <w:szCs w:val="22"/>
              </w:rPr>
              <w:t>％。具体收费额由招标代理机构和招标委托人在规定的收费标准和浮动幅度内协商确定。</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出售招标文件可以收取编制成本费</w:t>
            </w:r>
            <w:r>
              <w:rPr>
                <w:rFonts w:ascii="Times New Roman" w:hAnsi="Times New Roman" w:cs="Times New Roman"/>
                <w:color w:val="000000"/>
                <w:sz w:val="22"/>
                <w:szCs w:val="22"/>
              </w:rPr>
              <w:t>,</w:t>
            </w:r>
            <w:r>
              <w:rPr>
                <w:rFonts w:ascii="Times New Roman" w:hAnsi="Times New Roman" w:hint="eastAsia"/>
                <w:color w:val="000000"/>
                <w:sz w:val="22"/>
                <w:szCs w:val="22"/>
              </w:rPr>
              <w:t>具体定价办法由省、自治区、直辖市价格主管部门按照不以营利为目的的原则制定。</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第十条</w:t>
            </w:r>
            <w:r>
              <w:rPr>
                <w:rFonts w:ascii="Times New Roman" w:hAnsi="Times New Roman" w:hint="eastAsia"/>
                <w:color w:val="000000"/>
                <w:sz w:val="22"/>
                <w:szCs w:val="22"/>
              </w:rPr>
              <w:t xml:space="preserve">　招标代理服务实行</w:t>
            </w:r>
            <w:r>
              <w:rPr>
                <w:rFonts w:ascii="Times New Roman" w:hAnsi="Times New Roman" w:cs="Times New Roman"/>
                <w:color w:val="000000"/>
                <w:sz w:val="22"/>
                <w:szCs w:val="22"/>
              </w:rPr>
              <w:t>“</w:t>
            </w:r>
            <w:r>
              <w:rPr>
                <w:rFonts w:ascii="Times New Roman" w:hAnsi="Times New Roman" w:hint="eastAsia"/>
                <w:color w:val="000000"/>
                <w:sz w:val="22"/>
                <w:szCs w:val="22"/>
              </w:rPr>
              <w:t>谁委托谁付费</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工程招标委托人支付的招标代理服务费</w:t>
            </w:r>
            <w:r>
              <w:rPr>
                <w:rFonts w:ascii="Times New Roman" w:hAnsi="Times New Roman" w:cs="Times New Roman"/>
                <w:color w:val="000000"/>
                <w:sz w:val="22"/>
                <w:szCs w:val="22"/>
              </w:rPr>
              <w:t>,</w:t>
            </w:r>
            <w:r>
              <w:rPr>
                <w:rFonts w:ascii="Times New Roman" w:hAnsi="Times New Roman" w:hint="eastAsia"/>
                <w:color w:val="000000"/>
                <w:sz w:val="22"/>
                <w:szCs w:val="22"/>
              </w:rPr>
              <w:t>可计入工程前期费用。货物招标和服务招标委托人支付的招标代理服务费</w:t>
            </w:r>
            <w:r>
              <w:rPr>
                <w:rFonts w:ascii="Times New Roman" w:hAnsi="Times New Roman" w:cs="Times New Roman"/>
                <w:color w:val="000000"/>
                <w:sz w:val="22"/>
                <w:szCs w:val="22"/>
              </w:rPr>
              <w:t>,</w:t>
            </w:r>
            <w:r>
              <w:rPr>
                <w:rFonts w:ascii="Times New Roman" w:hAnsi="Times New Roman" w:hint="eastAsia"/>
                <w:color w:val="000000"/>
                <w:sz w:val="22"/>
                <w:szCs w:val="22"/>
              </w:rPr>
              <w:t>按照财政部门规定列支。</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第十一条</w:t>
            </w:r>
            <w:r>
              <w:rPr>
                <w:rFonts w:ascii="Times New Roman" w:hAnsi="Times New Roman" w:hint="eastAsia"/>
                <w:color w:val="000000"/>
                <w:sz w:val="22"/>
                <w:szCs w:val="22"/>
              </w:rPr>
              <w:t xml:space="preserve">　招标代理机构按规定收取代理费用和出售招标文件后</w:t>
            </w:r>
            <w:r>
              <w:rPr>
                <w:rFonts w:ascii="Times New Roman" w:hAnsi="Times New Roman" w:cs="Times New Roman"/>
                <w:color w:val="000000"/>
                <w:sz w:val="22"/>
                <w:szCs w:val="22"/>
              </w:rPr>
              <w:t>,</w:t>
            </w:r>
            <w:r>
              <w:rPr>
                <w:rFonts w:ascii="Times New Roman" w:hAnsi="Times New Roman" w:hint="eastAsia"/>
                <w:color w:val="000000"/>
                <w:sz w:val="22"/>
                <w:szCs w:val="22"/>
              </w:rPr>
              <w:t>不得再要求招标委托人无偿提供食宿、交通等或收取其他费用。</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第十二条</w:t>
            </w:r>
            <w:r>
              <w:rPr>
                <w:rFonts w:ascii="Times New Roman" w:hAnsi="Times New Roman" w:hint="eastAsia"/>
                <w:color w:val="000000"/>
                <w:sz w:val="22"/>
                <w:szCs w:val="22"/>
              </w:rPr>
              <w:t xml:space="preserve">　招标代理业务中有超出本办法第三条规定的要求的</w:t>
            </w:r>
            <w:r>
              <w:rPr>
                <w:rFonts w:ascii="Times New Roman" w:hAnsi="Times New Roman" w:cs="Times New Roman"/>
                <w:color w:val="000000"/>
                <w:sz w:val="22"/>
                <w:szCs w:val="22"/>
              </w:rPr>
              <w:t>,</w:t>
            </w:r>
            <w:r>
              <w:rPr>
                <w:rFonts w:ascii="Times New Roman" w:hAnsi="Times New Roman" w:hint="eastAsia"/>
                <w:color w:val="000000"/>
                <w:sz w:val="22"/>
                <w:szCs w:val="22"/>
              </w:rPr>
              <w:t>招标代理机构可与招标委托人就所增加的工作量</w:t>
            </w:r>
            <w:r>
              <w:rPr>
                <w:rFonts w:ascii="Times New Roman" w:hAnsi="Times New Roman" w:cs="Times New Roman"/>
                <w:color w:val="000000"/>
                <w:sz w:val="22"/>
                <w:szCs w:val="22"/>
              </w:rPr>
              <w:t>,</w:t>
            </w:r>
            <w:r>
              <w:rPr>
                <w:rFonts w:ascii="Times New Roman" w:hAnsi="Times New Roman" w:hint="eastAsia"/>
                <w:color w:val="000000"/>
                <w:sz w:val="22"/>
                <w:szCs w:val="22"/>
              </w:rPr>
              <w:t>另行协商确定服务费用。</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第十三条</w:t>
            </w:r>
            <w:r>
              <w:rPr>
                <w:rFonts w:ascii="Times New Roman" w:hAnsi="Times New Roman" w:hint="eastAsia"/>
                <w:color w:val="000000"/>
                <w:sz w:val="22"/>
                <w:szCs w:val="22"/>
              </w:rPr>
              <w:t xml:space="preserve">　招标代理服务收费纠纷</w:t>
            </w:r>
            <w:r>
              <w:rPr>
                <w:rFonts w:ascii="Times New Roman" w:hAnsi="Times New Roman" w:cs="Times New Roman"/>
                <w:color w:val="000000"/>
                <w:sz w:val="22"/>
                <w:szCs w:val="22"/>
              </w:rPr>
              <w:t>,</w:t>
            </w:r>
            <w:r>
              <w:rPr>
                <w:rFonts w:ascii="Times New Roman" w:hAnsi="Times New Roman" w:hint="eastAsia"/>
                <w:color w:val="000000"/>
                <w:sz w:val="22"/>
                <w:szCs w:val="22"/>
              </w:rPr>
              <w:t>依据《中华人民共和国价格法》、《中华人民共和国合同法》及其他有关法律、法规处理。</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第十四条</w:t>
            </w:r>
            <w:r>
              <w:rPr>
                <w:rFonts w:ascii="Times New Roman" w:hAnsi="Times New Roman" w:hint="eastAsia"/>
                <w:color w:val="000000"/>
                <w:sz w:val="22"/>
                <w:szCs w:val="22"/>
              </w:rPr>
              <w:t xml:space="preserve">　各级政府有关部门或者其授权、委托的单位</w:t>
            </w:r>
            <w:r>
              <w:rPr>
                <w:rFonts w:ascii="Times New Roman" w:hAnsi="Times New Roman" w:cs="Times New Roman"/>
                <w:color w:val="000000"/>
                <w:sz w:val="22"/>
                <w:szCs w:val="22"/>
              </w:rPr>
              <w:t>,</w:t>
            </w:r>
            <w:r>
              <w:rPr>
                <w:rFonts w:ascii="Times New Roman" w:hAnsi="Times New Roman" w:hint="eastAsia"/>
                <w:color w:val="000000"/>
                <w:sz w:val="22"/>
                <w:szCs w:val="22"/>
              </w:rPr>
              <w:t>按照国务院关于招标投标管理职能分工规定履行监督职能</w:t>
            </w:r>
            <w:r>
              <w:rPr>
                <w:rFonts w:ascii="Times New Roman" w:hAnsi="Times New Roman" w:cs="Times New Roman"/>
                <w:color w:val="000000"/>
                <w:sz w:val="22"/>
                <w:szCs w:val="22"/>
              </w:rPr>
              <w:t>,</w:t>
            </w:r>
            <w:r>
              <w:rPr>
                <w:rFonts w:ascii="Times New Roman" w:hAnsi="Times New Roman" w:hint="eastAsia"/>
                <w:color w:val="000000"/>
                <w:sz w:val="22"/>
                <w:szCs w:val="22"/>
              </w:rPr>
              <w:t>要求招标投标当事人履行审批、备案及其他手续的</w:t>
            </w:r>
            <w:r>
              <w:rPr>
                <w:rFonts w:ascii="Times New Roman" w:hAnsi="Times New Roman" w:cs="Times New Roman"/>
                <w:color w:val="000000"/>
                <w:sz w:val="22"/>
                <w:szCs w:val="22"/>
              </w:rPr>
              <w:t>,</w:t>
            </w:r>
            <w:r>
              <w:rPr>
                <w:rFonts w:ascii="Times New Roman" w:hAnsi="Times New Roman" w:hint="eastAsia"/>
                <w:color w:val="000000"/>
                <w:sz w:val="22"/>
                <w:szCs w:val="22"/>
              </w:rPr>
              <w:t>一律不得收费。</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违反前款规定</w:t>
            </w:r>
            <w:r>
              <w:rPr>
                <w:rFonts w:ascii="Times New Roman" w:hAnsi="Times New Roman" w:cs="Times New Roman"/>
                <w:color w:val="000000"/>
                <w:sz w:val="22"/>
                <w:szCs w:val="22"/>
              </w:rPr>
              <w:t>,</w:t>
            </w:r>
            <w:r>
              <w:rPr>
                <w:rFonts w:ascii="Times New Roman" w:hAnsi="Times New Roman" w:hint="eastAsia"/>
                <w:color w:val="000000"/>
                <w:sz w:val="22"/>
                <w:szCs w:val="22"/>
              </w:rPr>
              <w:t>擅自设立收费项目、制定收费标准以及收取管理性费用的</w:t>
            </w:r>
            <w:r>
              <w:rPr>
                <w:rFonts w:ascii="Times New Roman" w:hAnsi="Times New Roman" w:cs="Times New Roman"/>
                <w:color w:val="000000"/>
                <w:sz w:val="22"/>
                <w:szCs w:val="22"/>
              </w:rPr>
              <w:t>,</w:t>
            </w:r>
            <w:r>
              <w:rPr>
                <w:rFonts w:ascii="Times New Roman" w:hAnsi="Times New Roman" w:hint="eastAsia"/>
                <w:color w:val="000000"/>
                <w:sz w:val="22"/>
                <w:szCs w:val="22"/>
              </w:rPr>
              <w:t>由政府价格主管部门予以处罚。</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第十五条</w:t>
            </w:r>
            <w:r>
              <w:rPr>
                <w:rFonts w:ascii="Times New Roman" w:hAnsi="Times New Roman" w:hint="eastAsia"/>
                <w:color w:val="000000"/>
                <w:sz w:val="22"/>
                <w:szCs w:val="22"/>
              </w:rPr>
              <w:t xml:space="preserve">　招标代理机构违反本办法规定的</w:t>
            </w:r>
            <w:r>
              <w:rPr>
                <w:rFonts w:ascii="Times New Roman" w:hAnsi="Times New Roman" w:cs="Times New Roman"/>
                <w:color w:val="000000"/>
                <w:sz w:val="22"/>
                <w:szCs w:val="22"/>
              </w:rPr>
              <w:t>,</w:t>
            </w:r>
            <w:r>
              <w:rPr>
                <w:rFonts w:ascii="Times New Roman" w:hAnsi="Times New Roman" w:hint="eastAsia"/>
                <w:color w:val="000000"/>
                <w:sz w:val="22"/>
                <w:szCs w:val="22"/>
              </w:rPr>
              <w:t>由政府价格主管部门依据《中华人民共和国价格法》和《价格违法行为行政处罚规定》予以查处。</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第十六条</w:t>
            </w:r>
            <w:r>
              <w:rPr>
                <w:rFonts w:ascii="Times New Roman" w:hAnsi="Times New Roman" w:hint="eastAsia"/>
                <w:color w:val="000000"/>
                <w:sz w:val="22"/>
                <w:szCs w:val="22"/>
              </w:rPr>
              <w:t xml:space="preserve">　本办法由国家计委负责解释。</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第十七条</w:t>
            </w:r>
            <w:r>
              <w:rPr>
                <w:rFonts w:ascii="Times New Roman" w:hAnsi="Times New Roman" w:hint="eastAsia"/>
                <w:color w:val="000000"/>
                <w:sz w:val="22"/>
                <w:szCs w:val="22"/>
              </w:rPr>
              <w:t xml:space="preserve">　本办法自</w:t>
            </w:r>
            <w:r>
              <w:rPr>
                <w:rFonts w:ascii="Times New Roman" w:hAnsi="Times New Roman" w:cs="Times New Roman"/>
                <w:color w:val="000000"/>
                <w:sz w:val="22"/>
                <w:szCs w:val="22"/>
              </w:rPr>
              <w:t>2003</w:t>
            </w:r>
            <w:r>
              <w:rPr>
                <w:rFonts w:ascii="Times New Roman" w:hAnsi="Times New Roman" w:hint="eastAsia"/>
                <w:color w:val="000000"/>
                <w:sz w:val="22"/>
                <w:szCs w:val="22"/>
              </w:rPr>
              <w:t>年</w:t>
            </w:r>
            <w:r>
              <w:rPr>
                <w:rFonts w:ascii="Times New Roman" w:hAnsi="Times New Roman" w:cs="Times New Roman"/>
                <w:color w:val="000000"/>
                <w:sz w:val="22"/>
                <w:szCs w:val="22"/>
              </w:rPr>
              <w:t>1</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日起执行。国家计委及有关部门</w:t>
            </w:r>
            <w:r>
              <w:rPr>
                <w:rFonts w:ascii="Times New Roman" w:hAnsi="Times New Roman" w:cs="Times New Roman"/>
                <w:color w:val="000000"/>
                <w:sz w:val="22"/>
                <w:szCs w:val="22"/>
              </w:rPr>
              <w:t>,</w:t>
            </w:r>
            <w:r>
              <w:rPr>
                <w:rFonts w:ascii="Times New Roman" w:hAnsi="Times New Roman" w:hint="eastAsia"/>
                <w:color w:val="000000"/>
                <w:sz w:val="22"/>
                <w:szCs w:val="22"/>
              </w:rPr>
              <w:t>各省、自治区、直辖市价格主管部门制定的相关规定</w:t>
            </w:r>
            <w:r>
              <w:rPr>
                <w:rFonts w:ascii="Times New Roman" w:hAnsi="Times New Roman" w:cs="Times New Roman"/>
                <w:color w:val="000000"/>
                <w:sz w:val="22"/>
                <w:szCs w:val="22"/>
              </w:rPr>
              <w:t>,</w:t>
            </w:r>
            <w:r>
              <w:rPr>
                <w:rFonts w:ascii="Times New Roman" w:hAnsi="Times New Roman" w:hint="eastAsia"/>
                <w:color w:val="000000"/>
                <w:sz w:val="22"/>
                <w:szCs w:val="22"/>
              </w:rPr>
              <w:t>凡与本办法相抵触的</w:t>
            </w:r>
            <w:r>
              <w:rPr>
                <w:rFonts w:ascii="Times New Roman" w:hAnsi="Times New Roman" w:cs="Times New Roman"/>
                <w:color w:val="000000"/>
                <w:sz w:val="22"/>
                <w:szCs w:val="22"/>
              </w:rPr>
              <w:t>,</w:t>
            </w:r>
            <w:r>
              <w:rPr>
                <w:rFonts w:ascii="Times New Roman" w:hAnsi="Times New Roman" w:hint="eastAsia"/>
                <w:color w:val="000000"/>
                <w:sz w:val="22"/>
                <w:szCs w:val="22"/>
              </w:rPr>
              <w:t>自本办法生效之日起废止。</w:t>
            </w:r>
          </w:p>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附</w:t>
            </w:r>
            <w:r>
              <w:rPr>
                <w:rFonts w:ascii="Times New Roman" w:hAnsi="Times New Roman" w:cs="Times New Roman"/>
                <w:color w:val="000000"/>
                <w:sz w:val="22"/>
                <w:szCs w:val="22"/>
              </w:rPr>
              <w:t>:</w:t>
            </w:r>
            <w:r>
              <w:rPr>
                <w:rFonts w:ascii="Times New Roman" w:hAnsi="Times New Roman" w:hint="eastAsia"/>
                <w:color w:val="000000"/>
                <w:sz w:val="22"/>
                <w:szCs w:val="22"/>
              </w:rPr>
              <w:t>招标代理服务收费标准</w:t>
            </w:r>
          </w:p>
          <w:p w:rsidR="00A32067" w:rsidRDefault="00A32067">
            <w:pPr>
              <w:spacing w:line="480" w:lineRule="atLeast"/>
              <w:rPr>
                <w:sz w:val="24"/>
                <w:szCs w:val="24"/>
              </w:rPr>
            </w:pPr>
          </w:p>
        </w:tc>
      </w:tr>
    </w:tbl>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spacing w:line="480" w:lineRule="atLeast"/>
        <w:rPr>
          <w:color w:val="000000"/>
          <w:sz w:val="24"/>
          <w:szCs w:val="24"/>
        </w:rPr>
      </w:pP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招标代理服务收费标准</w:t>
      </w:r>
    </w:p>
    <w:tbl>
      <w:tblPr>
        <w:tblW w:w="8261" w:type="dxa"/>
        <w:jc w:val="center"/>
        <w:tblLayout w:type="fixed"/>
        <w:tblCellMar>
          <w:left w:w="0" w:type="dxa"/>
          <w:right w:w="0" w:type="dxa"/>
        </w:tblCellMar>
        <w:tblLook w:val="00A0"/>
      </w:tblPr>
      <w:tblGrid>
        <w:gridCol w:w="3224"/>
        <w:gridCol w:w="1701"/>
        <w:gridCol w:w="1701"/>
        <w:gridCol w:w="1635"/>
      </w:tblGrid>
      <w:tr w:rsidR="00A32067">
        <w:trPr>
          <w:trHeight w:val="1488"/>
          <w:jc w:val="center"/>
        </w:trPr>
        <w:tc>
          <w:tcPr>
            <w:tcW w:w="3224" w:type="dxa"/>
            <w:tcBorders>
              <w:top w:val="single" w:sz="8" w:space="0" w:color="333333"/>
              <w:left w:val="single" w:sz="8" w:space="0" w:color="333333"/>
              <w:bottom w:val="single" w:sz="8" w:space="0" w:color="333333"/>
              <w:right w:val="single" w:sz="8" w:space="0" w:color="333333"/>
            </w:tcBorders>
            <w:vAlign w:val="center"/>
          </w:tcPr>
          <w:p w:rsidR="00A32067" w:rsidRDefault="00A32067" w:rsidP="00A32067">
            <w:pPr>
              <w:tabs>
                <w:tab w:val="center" w:pos="1483"/>
                <w:tab w:val="right" w:pos="2967"/>
              </w:tabs>
              <w:spacing w:before="212" w:after="91" w:line="480" w:lineRule="atLeast"/>
              <w:ind w:firstLineChars="150" w:firstLine="31680"/>
              <w:jc w:val="center"/>
            </w:pPr>
            <w:r>
              <w:rPr>
                <w:noProof/>
              </w:rPr>
              <w:pict>
                <v:group id="__TH_G22五号7" o:spid="_x0000_s1050" style="position:absolute;left:0;text-align:left;margin-left:-3.25pt;margin-top:-.05pt;width:166.15pt;height:76.5pt;z-index:251650048" coordorigin="1800,9079" coordsize="2967,1525203203">
                  <v:line id="__TH_L5" o:spid="_x0000_s1051" style="position:absolute" from="3284,9079" to="4767,10604" strokecolor="#333" strokeweight="1pt"/>
                  <v:line id="__TH_L6" o:spid="_x0000_s1052" style="position:absolute" from="1800,9841" to="4767,10604" strokecolor="#333" strokeweight="1pt"/>
                </v:group>
              </w:pict>
            </w:r>
            <w:r>
              <w:rPr>
                <w:rFonts w:cs="宋体" w:hint="eastAsia"/>
              </w:rPr>
              <w:t>费率</w:t>
            </w:r>
            <w:r>
              <w:tab/>
            </w:r>
            <w:r>
              <w:rPr>
                <w:rFonts w:cs="宋体" w:hint="eastAsia"/>
              </w:rPr>
              <w:t>服务类型</w:t>
            </w:r>
          </w:p>
          <w:p w:rsidR="00A32067" w:rsidRDefault="00A32067">
            <w:pPr>
              <w:jc w:val="center"/>
            </w:pPr>
          </w:p>
          <w:p w:rsidR="00A32067" w:rsidRDefault="00A32067">
            <w:pPr>
              <w:jc w:val="center"/>
            </w:pPr>
          </w:p>
          <w:p w:rsidR="00A32067" w:rsidRDefault="00A32067">
            <w:pPr>
              <w:jc w:val="center"/>
            </w:pPr>
            <w:r>
              <w:rPr>
                <w:rFonts w:cs="宋体" w:hint="eastAsia"/>
              </w:rPr>
              <w:t>中标金额（万元）</w:t>
            </w:r>
          </w:p>
        </w:tc>
        <w:tc>
          <w:tcPr>
            <w:tcW w:w="1701" w:type="dxa"/>
            <w:tcBorders>
              <w:top w:val="single" w:sz="8" w:space="0" w:color="333333"/>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rFonts w:cs="宋体" w:hint="eastAsia"/>
                <w:color w:val="000000"/>
              </w:rPr>
              <w:t>货物招标</w:t>
            </w:r>
          </w:p>
        </w:tc>
        <w:tc>
          <w:tcPr>
            <w:tcW w:w="1701" w:type="dxa"/>
            <w:tcBorders>
              <w:top w:val="single" w:sz="8" w:space="0" w:color="333333"/>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rFonts w:cs="宋体" w:hint="eastAsia"/>
                <w:color w:val="000000"/>
              </w:rPr>
              <w:t>服务招标</w:t>
            </w:r>
          </w:p>
        </w:tc>
        <w:tc>
          <w:tcPr>
            <w:tcW w:w="1635" w:type="dxa"/>
            <w:tcBorders>
              <w:top w:val="single" w:sz="8" w:space="0" w:color="333333"/>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rFonts w:cs="宋体" w:hint="eastAsia"/>
                <w:color w:val="000000"/>
              </w:rPr>
              <w:t>工程招标</w:t>
            </w:r>
          </w:p>
        </w:tc>
      </w:tr>
      <w:tr w:rsidR="00A32067">
        <w:trPr>
          <w:trHeight w:hRule="exact" w:val="734"/>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100</w:t>
            </w:r>
            <w:r>
              <w:rPr>
                <w:rFonts w:cs="宋体" w:hint="eastAsia"/>
                <w:color w:val="000000"/>
              </w:rPr>
              <w:t>以下</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1.5%</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1.5%</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100-500</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1.1%</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0.8%</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0.7%</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500-1000</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0.8%</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0.45%</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0.55%</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1000-5000</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0.5%</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0.25%</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0.35%</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5000-10000</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0.25%</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0.1%</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0.2%</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10000-100000</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0.05%</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0.05%</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0.05%</w:t>
            </w:r>
          </w:p>
        </w:tc>
      </w:tr>
      <w:tr w:rsidR="00A32067">
        <w:trPr>
          <w:trHeight w:hRule="exact" w:val="680"/>
          <w:jc w:val="center"/>
        </w:trPr>
        <w:tc>
          <w:tcPr>
            <w:tcW w:w="3224" w:type="dxa"/>
            <w:tcBorders>
              <w:top w:val="nil"/>
              <w:left w:val="single" w:sz="8" w:space="0" w:color="333333"/>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1000000</w:t>
            </w:r>
            <w:r>
              <w:rPr>
                <w:rFonts w:cs="宋体" w:hint="eastAsia"/>
                <w:color w:val="000000"/>
              </w:rPr>
              <w:t>以上</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0.01%</w:t>
            </w:r>
          </w:p>
        </w:tc>
        <w:tc>
          <w:tcPr>
            <w:tcW w:w="1701"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0.01%</w:t>
            </w:r>
          </w:p>
        </w:tc>
        <w:tc>
          <w:tcPr>
            <w:tcW w:w="1635" w:type="dxa"/>
            <w:tcBorders>
              <w:top w:val="nil"/>
              <w:left w:val="nil"/>
              <w:bottom w:val="single" w:sz="8" w:space="0" w:color="333333"/>
              <w:right w:val="single" w:sz="8" w:space="0" w:color="333333"/>
            </w:tcBorders>
            <w:vAlign w:val="center"/>
          </w:tcPr>
          <w:p w:rsidR="00A32067" w:rsidRDefault="00A32067">
            <w:pPr>
              <w:spacing w:before="212" w:after="91" w:line="480" w:lineRule="atLeast"/>
              <w:ind w:firstLine="212"/>
              <w:jc w:val="center"/>
            </w:pPr>
            <w:r>
              <w:rPr>
                <w:color w:val="000000"/>
              </w:rPr>
              <w:t>0.01%</w:t>
            </w:r>
          </w:p>
        </w:tc>
      </w:tr>
    </w:tbl>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注：</w:t>
      </w:r>
      <w:r>
        <w:rPr>
          <w:rFonts w:ascii="Times New Roman" w:hAnsi="Times New Roman" w:cs="Times New Roman"/>
          <w:color w:val="000000"/>
          <w:sz w:val="22"/>
          <w:szCs w:val="22"/>
        </w:rPr>
        <w:t>1.</w:t>
      </w:r>
      <w:r>
        <w:rPr>
          <w:rFonts w:ascii="Times New Roman" w:hAnsi="Times New Roman" w:hint="eastAsia"/>
          <w:color w:val="000000"/>
          <w:sz w:val="22"/>
          <w:szCs w:val="22"/>
        </w:rPr>
        <w:t>按本表费率计算的收费为招标代理服务全过程的收费基准价格，单独提供编制招标文件（有标底的含标底）服务的，可按规定标准的</w:t>
      </w:r>
      <w:r>
        <w:rPr>
          <w:rFonts w:ascii="Times New Roman" w:hAnsi="Times New Roman" w:cs="Times New Roman"/>
          <w:color w:val="000000"/>
          <w:sz w:val="22"/>
          <w:szCs w:val="22"/>
        </w:rPr>
        <w:t>30%</w:t>
      </w:r>
      <w:r>
        <w:rPr>
          <w:rFonts w:ascii="Times New Roman" w:hAnsi="Times New Roman" w:hint="eastAsia"/>
          <w:color w:val="000000"/>
          <w:sz w:val="22"/>
          <w:szCs w:val="22"/>
        </w:rPr>
        <w:t>计收。</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招标代理服务收费按差额定率累进法计算。例如：某工程招标代理业务中标金额为</w:t>
      </w:r>
      <w:r>
        <w:rPr>
          <w:rFonts w:ascii="Times New Roman" w:hAnsi="Times New Roman" w:cs="Times New Roman"/>
          <w:color w:val="000000"/>
          <w:sz w:val="22"/>
          <w:szCs w:val="22"/>
        </w:rPr>
        <w:t>6000</w:t>
      </w:r>
      <w:r>
        <w:rPr>
          <w:rFonts w:ascii="Times New Roman" w:hAnsi="Times New Roman" w:hint="eastAsia"/>
          <w:color w:val="000000"/>
          <w:sz w:val="22"/>
          <w:szCs w:val="22"/>
        </w:rPr>
        <w:t>万元，计算招标代理服务收费额如下：</w:t>
      </w:r>
    </w:p>
    <w:p w:rsidR="00A32067" w:rsidRDefault="00A32067" w:rsidP="005431C7">
      <w:pPr>
        <w:pStyle w:val="NormalWeb"/>
        <w:shd w:val="clear" w:color="auto" w:fill="FFFFFF"/>
        <w:spacing w:before="0" w:beforeAutospacing="0" w:after="0" w:afterAutospacing="0" w:line="480" w:lineRule="auto"/>
        <w:ind w:firstLineChars="25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100</w:t>
      </w:r>
      <w:r>
        <w:rPr>
          <w:rFonts w:ascii="Times New Roman" w:hAnsi="Times New Roman" w:hint="eastAsia"/>
          <w:color w:val="000000"/>
          <w:sz w:val="22"/>
          <w:szCs w:val="22"/>
        </w:rPr>
        <w:t>万元</w:t>
      </w:r>
      <w:r>
        <w:rPr>
          <w:rFonts w:ascii="Times New Roman" w:hAnsi="Times New Roman" w:cs="Times New Roman"/>
          <w:color w:val="000000"/>
          <w:sz w:val="22"/>
          <w:szCs w:val="22"/>
        </w:rPr>
        <w:t>×1.0%=1</w:t>
      </w:r>
      <w:r>
        <w:rPr>
          <w:rFonts w:ascii="Times New Roman" w:hAnsi="Times New Roman" w:hint="eastAsia"/>
          <w:color w:val="000000"/>
          <w:sz w:val="22"/>
          <w:szCs w:val="22"/>
        </w:rPr>
        <w:t>万元</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w:t>
      </w:r>
      <w:r>
        <w:rPr>
          <w:rFonts w:ascii="Times New Roman" w:hAnsi="Times New Roman" w:cs="Times New Roman"/>
          <w:color w:val="000000"/>
          <w:sz w:val="22"/>
          <w:szCs w:val="22"/>
        </w:rPr>
        <w:t>500-100</w:t>
      </w:r>
      <w:r>
        <w:rPr>
          <w:rFonts w:ascii="Times New Roman" w:hAnsi="Times New Roman" w:hint="eastAsia"/>
          <w:color w:val="000000"/>
          <w:sz w:val="22"/>
          <w:szCs w:val="22"/>
        </w:rPr>
        <w:t>）万元</w:t>
      </w:r>
      <w:r>
        <w:rPr>
          <w:rFonts w:ascii="Times New Roman" w:hAnsi="Times New Roman" w:cs="Times New Roman"/>
          <w:color w:val="000000"/>
          <w:sz w:val="22"/>
          <w:szCs w:val="22"/>
        </w:rPr>
        <w:t>×0.7%=2.8</w:t>
      </w:r>
      <w:r>
        <w:rPr>
          <w:rFonts w:ascii="Times New Roman" w:hAnsi="Times New Roman" w:hint="eastAsia"/>
          <w:color w:val="000000"/>
          <w:sz w:val="22"/>
          <w:szCs w:val="22"/>
        </w:rPr>
        <w:t>万元</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w:t>
      </w:r>
      <w:r>
        <w:rPr>
          <w:rFonts w:ascii="Times New Roman" w:hAnsi="Times New Roman" w:cs="Times New Roman"/>
          <w:color w:val="000000"/>
          <w:sz w:val="22"/>
          <w:szCs w:val="22"/>
        </w:rPr>
        <w:t>1000-500</w:t>
      </w:r>
      <w:r>
        <w:rPr>
          <w:rFonts w:ascii="Times New Roman" w:hAnsi="Times New Roman" w:hint="eastAsia"/>
          <w:color w:val="000000"/>
          <w:sz w:val="22"/>
          <w:szCs w:val="22"/>
        </w:rPr>
        <w:t>）</w:t>
      </w:r>
      <w:r>
        <w:rPr>
          <w:rFonts w:ascii="Times New Roman" w:hAnsi="Times New Roman" w:cs="Times New Roman"/>
          <w:color w:val="000000"/>
          <w:sz w:val="22"/>
          <w:szCs w:val="22"/>
        </w:rPr>
        <w:t>×0.55%=2.75</w:t>
      </w:r>
      <w:r>
        <w:rPr>
          <w:rFonts w:ascii="Times New Roman" w:hAnsi="Times New Roman" w:hint="eastAsia"/>
          <w:color w:val="000000"/>
          <w:sz w:val="22"/>
          <w:szCs w:val="22"/>
        </w:rPr>
        <w:t>万元</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w:t>
      </w:r>
      <w:r>
        <w:rPr>
          <w:rFonts w:ascii="Times New Roman" w:hAnsi="Times New Roman" w:cs="Times New Roman"/>
          <w:color w:val="000000"/>
          <w:sz w:val="22"/>
          <w:szCs w:val="22"/>
        </w:rPr>
        <w:t>5000-1000</w:t>
      </w:r>
      <w:r>
        <w:rPr>
          <w:rFonts w:ascii="Times New Roman" w:hAnsi="Times New Roman" w:hint="eastAsia"/>
          <w:color w:val="000000"/>
          <w:sz w:val="22"/>
          <w:szCs w:val="22"/>
        </w:rPr>
        <w:t>）</w:t>
      </w:r>
      <w:r>
        <w:rPr>
          <w:rFonts w:ascii="Times New Roman" w:hAnsi="Times New Roman" w:cs="Times New Roman"/>
          <w:color w:val="000000"/>
          <w:sz w:val="22"/>
          <w:szCs w:val="22"/>
        </w:rPr>
        <w:t>×0.35%=14</w:t>
      </w:r>
      <w:r>
        <w:rPr>
          <w:rFonts w:ascii="Times New Roman" w:hAnsi="Times New Roman" w:hint="eastAsia"/>
          <w:color w:val="000000"/>
          <w:sz w:val="22"/>
          <w:szCs w:val="22"/>
        </w:rPr>
        <w:t>万元</w:t>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w:t>
      </w:r>
      <w:r>
        <w:rPr>
          <w:rFonts w:ascii="Times New Roman" w:hAnsi="Times New Roman" w:cs="Times New Roman"/>
          <w:color w:val="000000"/>
          <w:sz w:val="22"/>
          <w:szCs w:val="22"/>
        </w:rPr>
        <w:t>6000-5000</w:t>
      </w:r>
      <w:r>
        <w:rPr>
          <w:rFonts w:ascii="Times New Roman" w:hAnsi="Times New Roman" w:hint="eastAsia"/>
          <w:color w:val="000000"/>
          <w:sz w:val="22"/>
          <w:szCs w:val="22"/>
        </w:rPr>
        <w:t>）</w:t>
      </w:r>
      <w:r>
        <w:rPr>
          <w:rFonts w:ascii="Times New Roman" w:hAnsi="Times New Roman" w:cs="Times New Roman"/>
          <w:color w:val="000000"/>
          <w:sz w:val="22"/>
          <w:szCs w:val="22"/>
        </w:rPr>
        <w:t>×0.2%=2</w:t>
      </w:r>
      <w:r>
        <w:rPr>
          <w:rFonts w:ascii="Times New Roman" w:hAnsi="Times New Roman" w:hint="eastAsia"/>
          <w:color w:val="000000"/>
          <w:sz w:val="22"/>
          <w:szCs w:val="22"/>
        </w:rPr>
        <w:t>万元</w:t>
      </w:r>
      <w:r>
        <w:rPr>
          <w:rFonts w:ascii="Times New Roman" w:hAnsi="Times New Roman" w:cs="Times New Roman"/>
          <w:color w:val="000000"/>
          <w:sz w:val="22"/>
          <w:szCs w:val="22"/>
        </w:rPr>
        <w:tab/>
      </w:r>
    </w:p>
    <w:p w:rsidR="00A32067" w:rsidRDefault="00A32067" w:rsidP="005431C7">
      <w:pPr>
        <w:pStyle w:val="NormalWeb"/>
        <w:shd w:val="clear" w:color="auto" w:fill="FFFFFF"/>
        <w:spacing w:before="0" w:beforeAutospacing="0" w:after="0" w:afterAutospacing="0" w:line="48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合计收费</w:t>
      </w:r>
      <w:r>
        <w:rPr>
          <w:rFonts w:ascii="Times New Roman" w:hAnsi="Times New Roman" w:cs="Times New Roman"/>
          <w:color w:val="000000"/>
          <w:sz w:val="22"/>
          <w:szCs w:val="22"/>
        </w:rPr>
        <w:t>=1+2.8+2.75+14+2=22.55</w:t>
      </w:r>
      <w:r>
        <w:rPr>
          <w:rFonts w:ascii="Times New Roman" w:hAnsi="Times New Roman" w:hint="eastAsia"/>
          <w:color w:val="000000"/>
          <w:sz w:val="22"/>
          <w:szCs w:val="22"/>
        </w:rPr>
        <w:t>（万元）</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pPr>
        <w:shd w:val="clear" w:color="auto" w:fill="FFFFFF"/>
        <w:spacing w:line="480" w:lineRule="exact"/>
        <w:rPr>
          <w:sz w:val="24"/>
          <w:szCs w:val="24"/>
        </w:rPr>
        <w:sectPr w:rsidR="00A32067">
          <w:pgSz w:w="11907" w:h="16840"/>
          <w:pgMar w:top="1134" w:right="1077" w:bottom="1134" w:left="1077" w:header="794" w:footer="567" w:gutter="284"/>
          <w:cols w:space="720"/>
          <w:docGrid w:linePitch="312"/>
        </w:sectPr>
      </w:pPr>
    </w:p>
    <w:p w:rsidR="00A32067" w:rsidRDefault="00A32067">
      <w:pPr>
        <w:shd w:val="clear" w:color="auto" w:fill="FFFFFF"/>
        <w:spacing w:line="480" w:lineRule="exact"/>
        <w:rPr>
          <w:sz w:val="24"/>
          <w:szCs w:val="24"/>
        </w:rPr>
      </w:pPr>
    </w:p>
    <w:p w:rsidR="00A32067" w:rsidRDefault="00A32067">
      <w:pPr>
        <w:shd w:val="clear" w:color="auto" w:fill="FFFFFF"/>
        <w:spacing w:line="480" w:lineRule="exact"/>
        <w:ind w:firstLine="482"/>
        <w:rPr>
          <w:sz w:val="24"/>
          <w:szCs w:val="24"/>
        </w:rPr>
      </w:pPr>
    </w:p>
    <w:p w:rsidR="00A32067" w:rsidRDefault="00A32067">
      <w:pPr>
        <w:spacing w:line="360" w:lineRule="auto"/>
        <w:jc w:val="center"/>
        <w:outlineLvl w:val="2"/>
        <w:rPr>
          <w:sz w:val="44"/>
          <w:szCs w:val="44"/>
        </w:rPr>
      </w:pPr>
      <w:bookmarkStart w:id="75" w:name="_Toc519872304"/>
      <w:r>
        <w:rPr>
          <w:rFonts w:cs="宋体" w:hint="eastAsia"/>
          <w:sz w:val="44"/>
          <w:szCs w:val="44"/>
        </w:rPr>
        <w:t>国家发展改革委办公厅关于招标代理</w:t>
      </w:r>
      <w:r>
        <w:rPr>
          <w:sz w:val="44"/>
          <w:szCs w:val="44"/>
        </w:rPr>
        <w:br/>
      </w:r>
      <w:r>
        <w:rPr>
          <w:rFonts w:cs="宋体" w:hint="eastAsia"/>
          <w:sz w:val="44"/>
          <w:szCs w:val="44"/>
        </w:rPr>
        <w:t>服务收费有关问题的通知</w:t>
      </w:r>
      <w:r>
        <w:rPr>
          <w:sz w:val="44"/>
          <w:szCs w:val="44"/>
        </w:rPr>
        <w:br/>
      </w:r>
      <w:r>
        <w:rPr>
          <w:rFonts w:cs="宋体" w:hint="eastAsia"/>
          <w:color w:val="000000"/>
          <w:sz w:val="22"/>
          <w:szCs w:val="22"/>
        </w:rPr>
        <w:t>发改办价格［</w:t>
      </w:r>
      <w:r>
        <w:rPr>
          <w:color w:val="000000"/>
          <w:sz w:val="22"/>
          <w:szCs w:val="22"/>
        </w:rPr>
        <w:t>2003</w:t>
      </w:r>
      <w:r>
        <w:rPr>
          <w:rFonts w:cs="宋体" w:hint="eastAsia"/>
          <w:color w:val="000000"/>
          <w:sz w:val="22"/>
          <w:szCs w:val="22"/>
        </w:rPr>
        <w:t>］</w:t>
      </w:r>
      <w:r>
        <w:rPr>
          <w:color w:val="000000"/>
          <w:sz w:val="22"/>
          <w:szCs w:val="22"/>
        </w:rPr>
        <w:t>857</w:t>
      </w:r>
      <w:r>
        <w:rPr>
          <w:rFonts w:cs="宋体" w:hint="eastAsia"/>
          <w:color w:val="000000"/>
          <w:sz w:val="22"/>
          <w:szCs w:val="22"/>
        </w:rPr>
        <w:t>号</w:t>
      </w:r>
      <w:bookmarkEnd w:id="75"/>
    </w:p>
    <w:p w:rsidR="00A32067" w:rsidRDefault="00A32067" w:rsidP="005431C7">
      <w:pPr>
        <w:ind w:firstLineChars="450" w:firstLine="31680"/>
      </w:pP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各省、自治区、直辖市计委、物价局：</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为规范招标代理服务收费行为，</w:t>
      </w:r>
      <w:r>
        <w:rPr>
          <w:rFonts w:ascii="Times New Roman" w:hAnsi="Times New Roman" w:cs="Times New Roman"/>
          <w:color w:val="000000"/>
          <w:sz w:val="22"/>
          <w:szCs w:val="22"/>
        </w:rPr>
        <w:t>2002</w:t>
      </w:r>
      <w:r>
        <w:rPr>
          <w:rFonts w:ascii="Times New Roman" w:hAnsi="Times New Roman" w:hint="eastAsia"/>
          <w:color w:val="000000"/>
          <w:sz w:val="22"/>
          <w:szCs w:val="22"/>
        </w:rPr>
        <w:t>年</w:t>
      </w:r>
      <w:r>
        <w:rPr>
          <w:rFonts w:ascii="Times New Roman" w:hAnsi="Times New Roman" w:cs="Times New Roman"/>
          <w:color w:val="000000"/>
          <w:sz w:val="22"/>
          <w:szCs w:val="22"/>
        </w:rPr>
        <w:t>10</w:t>
      </w:r>
      <w:r>
        <w:rPr>
          <w:rFonts w:ascii="Times New Roman" w:hAnsi="Times New Roman" w:hint="eastAsia"/>
          <w:color w:val="000000"/>
          <w:sz w:val="22"/>
          <w:szCs w:val="22"/>
        </w:rPr>
        <w:t>月，我委以计价格［</w:t>
      </w:r>
      <w:r>
        <w:rPr>
          <w:rFonts w:ascii="Times New Roman" w:hAnsi="Times New Roman" w:cs="Times New Roman"/>
          <w:color w:val="000000"/>
          <w:sz w:val="22"/>
          <w:szCs w:val="22"/>
        </w:rPr>
        <w:t>2002</w:t>
      </w:r>
      <w:r>
        <w:rPr>
          <w:rFonts w:ascii="Times New Roman" w:hAnsi="Times New Roman" w:hint="eastAsia"/>
          <w:color w:val="000000"/>
          <w:sz w:val="22"/>
          <w:szCs w:val="22"/>
        </w:rPr>
        <w:t>］</w:t>
      </w:r>
      <w:r>
        <w:rPr>
          <w:rFonts w:ascii="Times New Roman" w:hAnsi="Times New Roman" w:cs="Times New Roman"/>
          <w:color w:val="000000"/>
          <w:sz w:val="22"/>
          <w:szCs w:val="22"/>
        </w:rPr>
        <w:t>1980</w:t>
      </w:r>
      <w:r>
        <w:rPr>
          <w:rFonts w:ascii="Times New Roman" w:hAnsi="Times New Roman" w:hint="eastAsia"/>
          <w:color w:val="000000"/>
          <w:sz w:val="22"/>
          <w:szCs w:val="22"/>
        </w:rPr>
        <w:t>号文印发了《招标代理服务收费管理暂行办法》（以下简称《办法》）。根据有关方面的意见，为有利于《办法》的顺利实施，现将有关事项通知如下</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删去计价格［</w:t>
      </w:r>
      <w:r>
        <w:rPr>
          <w:rFonts w:ascii="Times New Roman" w:hAnsi="Times New Roman" w:cs="Times New Roman"/>
          <w:color w:val="000000"/>
          <w:sz w:val="22"/>
          <w:szCs w:val="22"/>
        </w:rPr>
        <w:t>2002</w:t>
      </w:r>
      <w:r>
        <w:rPr>
          <w:rFonts w:ascii="Times New Roman" w:hAnsi="Times New Roman" w:hint="eastAsia"/>
          <w:color w:val="000000"/>
          <w:sz w:val="22"/>
          <w:szCs w:val="22"/>
        </w:rPr>
        <w:t>］</w:t>
      </w:r>
      <w:r>
        <w:rPr>
          <w:rFonts w:ascii="Times New Roman" w:hAnsi="Times New Roman" w:cs="Times New Roman"/>
          <w:color w:val="000000"/>
          <w:sz w:val="22"/>
          <w:szCs w:val="22"/>
        </w:rPr>
        <w:t>1980</w:t>
      </w:r>
      <w:r>
        <w:rPr>
          <w:rFonts w:ascii="Times New Roman" w:hAnsi="Times New Roman" w:hint="eastAsia"/>
          <w:color w:val="000000"/>
          <w:sz w:val="22"/>
          <w:szCs w:val="22"/>
        </w:rPr>
        <w:t>号文第二自然段的内容。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将《办法》第十条中</w:t>
      </w:r>
      <w:r>
        <w:rPr>
          <w:rFonts w:ascii="Times New Roman" w:hAnsi="Times New Roman" w:cs="Times New Roman"/>
          <w:color w:val="000000"/>
          <w:sz w:val="22"/>
          <w:szCs w:val="22"/>
        </w:rPr>
        <w:t>“</w:t>
      </w:r>
      <w:r>
        <w:rPr>
          <w:rFonts w:ascii="Times New Roman" w:hAnsi="Times New Roman" w:hint="eastAsia"/>
          <w:color w:val="000000"/>
          <w:sz w:val="22"/>
          <w:szCs w:val="22"/>
        </w:rPr>
        <w:t>招标代理服务实行，谁委托谁付费</w:t>
      </w:r>
      <w:r>
        <w:rPr>
          <w:rFonts w:ascii="Times New Roman" w:hAnsi="Times New Roman" w:cs="Times New Roman"/>
          <w:color w:val="000000"/>
          <w:sz w:val="22"/>
          <w:szCs w:val="22"/>
        </w:rPr>
        <w:t>”</w:t>
      </w:r>
      <w:r>
        <w:rPr>
          <w:rFonts w:ascii="Times New Roman" w:hAnsi="Times New Roman" w:hint="eastAsia"/>
          <w:color w:val="000000"/>
          <w:sz w:val="22"/>
          <w:szCs w:val="22"/>
        </w:rPr>
        <w:t>，修改为</w:t>
      </w:r>
      <w:r>
        <w:rPr>
          <w:rFonts w:ascii="Times New Roman" w:hAnsi="Times New Roman" w:cs="Times New Roman"/>
          <w:color w:val="000000"/>
          <w:sz w:val="22"/>
          <w:szCs w:val="22"/>
        </w:rPr>
        <w:t>“</w:t>
      </w:r>
      <w:r>
        <w:rPr>
          <w:rFonts w:ascii="Times New Roman" w:hAnsi="Times New Roman" w:hint="eastAsia"/>
          <w:color w:val="000000"/>
          <w:sz w:val="22"/>
          <w:szCs w:val="22"/>
        </w:rPr>
        <w:t>招标代理服务费用应有招标人支付，招标人、招标代理机构与投标人另有约定的，从其约定</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r>
        <w:rPr>
          <w:rFonts w:ascii="Times New Roman" w:hAnsi="Times New Roman" w:hint="eastAsia"/>
          <w:color w:val="000000"/>
          <w:sz w:val="22"/>
          <w:szCs w:val="22"/>
        </w:rPr>
        <w:t>国家发展和改革委员会</w:t>
      </w: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right"/>
        <w:rPr>
          <w:rFonts w:ascii="Times New Roman" w:hAnsi="Times New Roman" w:cs="Times New Roman"/>
          <w:color w:val="000000"/>
          <w:sz w:val="22"/>
          <w:szCs w:val="22"/>
        </w:rPr>
      </w:pPr>
      <w:r>
        <w:rPr>
          <w:rFonts w:ascii="Times New Roman" w:hAnsi="Times New Roman" w:hint="eastAsia"/>
          <w:color w:val="000000"/>
          <w:sz w:val="22"/>
          <w:szCs w:val="22"/>
        </w:rPr>
        <w:t>二〇〇三年九月十五日</w:t>
      </w:r>
    </w:p>
    <w:p w:rsidR="00A32067" w:rsidRDefault="00A32067">
      <w:pPr>
        <w:spacing w:line="360" w:lineRule="auto"/>
        <w:jc w:val="center"/>
        <w:outlineLvl w:val="0"/>
        <w:rPr>
          <w:sz w:val="44"/>
          <w:szCs w:val="44"/>
        </w:rPr>
        <w:sectPr w:rsidR="00A32067">
          <w:headerReference w:type="even" r:id="rId87"/>
          <w:headerReference w:type="default" r:id="rId88"/>
          <w:pgSz w:w="11907" w:h="16840"/>
          <w:pgMar w:top="1134" w:right="1077" w:bottom="1134" w:left="1077" w:header="794" w:footer="567" w:gutter="284"/>
          <w:cols w:space="720"/>
          <w:docGrid w:linePitch="312"/>
        </w:sectPr>
      </w:pPr>
    </w:p>
    <w:p w:rsidR="00A32067" w:rsidRDefault="00A32067">
      <w:pPr>
        <w:spacing w:line="360" w:lineRule="auto"/>
        <w:jc w:val="center"/>
        <w:outlineLvl w:val="0"/>
        <w:rPr>
          <w:sz w:val="44"/>
          <w:szCs w:val="44"/>
        </w:rPr>
      </w:pPr>
    </w:p>
    <w:p w:rsidR="00A32067" w:rsidRDefault="00A32067">
      <w:pPr>
        <w:spacing w:line="360" w:lineRule="auto"/>
        <w:jc w:val="center"/>
        <w:outlineLvl w:val="0"/>
        <w:rPr>
          <w:sz w:val="44"/>
          <w:szCs w:val="44"/>
        </w:rPr>
      </w:pPr>
    </w:p>
    <w:p w:rsidR="00A32067" w:rsidRDefault="00A32067">
      <w:pPr>
        <w:spacing w:line="360" w:lineRule="auto"/>
        <w:jc w:val="center"/>
        <w:outlineLvl w:val="2"/>
        <w:rPr>
          <w:sz w:val="44"/>
          <w:szCs w:val="44"/>
        </w:rPr>
      </w:pPr>
      <w:bookmarkStart w:id="76" w:name="_Toc519872305"/>
      <w:r>
        <w:rPr>
          <w:rFonts w:cs="宋体" w:hint="eastAsia"/>
          <w:sz w:val="44"/>
          <w:szCs w:val="44"/>
        </w:rPr>
        <w:t>国家发展改革委、建设部关于印发《建设工程监理与相关服务收费管理规定》的通知</w:t>
      </w:r>
      <w:r>
        <w:rPr>
          <w:sz w:val="44"/>
          <w:szCs w:val="44"/>
        </w:rPr>
        <w:br/>
      </w:r>
      <w:r>
        <w:rPr>
          <w:rFonts w:cs="宋体" w:hint="eastAsia"/>
          <w:color w:val="000000"/>
          <w:sz w:val="22"/>
          <w:szCs w:val="22"/>
        </w:rPr>
        <w:t>发改价格［</w:t>
      </w:r>
      <w:r>
        <w:rPr>
          <w:color w:val="000000"/>
          <w:sz w:val="22"/>
          <w:szCs w:val="22"/>
        </w:rPr>
        <w:t>2007</w:t>
      </w:r>
      <w:r>
        <w:rPr>
          <w:rFonts w:cs="宋体" w:hint="eastAsia"/>
          <w:color w:val="000000"/>
          <w:sz w:val="22"/>
          <w:szCs w:val="22"/>
        </w:rPr>
        <w:t>］</w:t>
      </w:r>
      <w:r>
        <w:rPr>
          <w:color w:val="000000"/>
          <w:sz w:val="22"/>
          <w:szCs w:val="22"/>
        </w:rPr>
        <w:t>670</w:t>
      </w:r>
      <w:r>
        <w:rPr>
          <w:rFonts w:cs="宋体" w:hint="eastAsia"/>
          <w:color w:val="000000"/>
          <w:sz w:val="22"/>
          <w:szCs w:val="22"/>
        </w:rPr>
        <w:t>号</w:t>
      </w:r>
      <w:bookmarkEnd w:id="76"/>
    </w:p>
    <w:p w:rsidR="00A32067" w:rsidRDefault="00A32067">
      <w:pPr>
        <w:pStyle w:val="NormalWeb"/>
        <w:snapToGrid w:val="0"/>
        <w:spacing w:before="0" w:beforeAutospacing="0" w:after="0" w:afterAutospacing="0"/>
        <w:jc w:val="both"/>
        <w:rPr>
          <w:rFonts w:ascii="Times New Roman" w:eastAsia="仿宋_GB2312" w:hAnsi="Times New Roman" w:cs="Times New Roman"/>
          <w:sz w:val="28"/>
          <w:szCs w:val="28"/>
        </w:rPr>
      </w:pPr>
    </w:p>
    <w:p w:rsidR="00A32067" w:rsidRDefault="00A32067" w:rsidP="005431C7">
      <w:pPr>
        <w:pStyle w:val="NormalWeb"/>
        <w:shd w:val="clear" w:color="auto" w:fill="FFFFFF"/>
        <w:spacing w:before="0" w:beforeAutospacing="0" w:after="0" w:afterAutospacing="0" w:line="360" w:lineRule="auto"/>
        <w:ind w:leftChars="100" w:left="31680"/>
        <w:jc w:val="both"/>
        <w:rPr>
          <w:rFonts w:ascii="Times New Roman" w:hAnsi="Times New Roman" w:cs="Times New Roman"/>
          <w:color w:val="000000"/>
          <w:sz w:val="22"/>
          <w:szCs w:val="22"/>
        </w:rPr>
      </w:pPr>
      <w:r>
        <w:rPr>
          <w:rFonts w:ascii="Times New Roman" w:hAnsi="Times New Roman" w:hint="eastAsia"/>
          <w:color w:val="000000"/>
          <w:sz w:val="22"/>
          <w:szCs w:val="22"/>
        </w:rPr>
        <w:t>国务院有关部门，各省、自治区、直辖市发展改革委、物价局、建设厅（委）</w:t>
      </w:r>
      <w:r>
        <w:rPr>
          <w:rFonts w:ascii="Times New Roman" w:hAnsi="Times New Roman" w:cs="Times New Roman"/>
          <w:color w:val="000000"/>
          <w:sz w:val="22"/>
          <w:szCs w:val="22"/>
        </w:rPr>
        <w:t xml:space="preserve">: </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 xml:space="preserve">　　为规范建设工程监理及相关服务收费行为，维护委托双方合法权益，促进工程监理行业健康发展，我们制定了《建设工程监理与相关服务收费管理规定》，现印发给你们，自</w:t>
      </w:r>
      <w:r>
        <w:rPr>
          <w:rFonts w:ascii="Times New Roman" w:hAnsi="Times New Roman" w:cs="Times New Roman"/>
          <w:color w:val="000000"/>
          <w:sz w:val="22"/>
          <w:szCs w:val="22"/>
        </w:rPr>
        <w:t>2007</w:t>
      </w:r>
      <w:r>
        <w:rPr>
          <w:rFonts w:ascii="Times New Roman" w:hAnsi="Times New Roman" w:hint="eastAsia"/>
          <w:color w:val="000000"/>
          <w:sz w:val="22"/>
          <w:szCs w:val="22"/>
        </w:rPr>
        <w:t>年</w:t>
      </w:r>
      <w:r>
        <w:rPr>
          <w:rFonts w:ascii="Times New Roman" w:hAnsi="Times New Roman" w:cs="Times New Roman"/>
          <w:color w:val="000000"/>
          <w:sz w:val="22"/>
          <w:szCs w:val="22"/>
        </w:rPr>
        <w:t>5</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日起执行。原国家物价局、建设部下发的《关于发布工程建设监理费有关规定的通知》（</w:t>
      </w:r>
      <w:r>
        <w:rPr>
          <w:rFonts w:ascii="Times New Roman" w:hAnsi="Times New Roman" w:cs="Times New Roman"/>
          <w:color w:val="000000"/>
          <w:sz w:val="22"/>
          <w:szCs w:val="22"/>
        </w:rPr>
        <w:t>[1992]</w:t>
      </w:r>
      <w:r>
        <w:rPr>
          <w:rFonts w:ascii="Times New Roman" w:hAnsi="Times New Roman" w:hint="eastAsia"/>
          <w:color w:val="000000"/>
          <w:sz w:val="22"/>
          <w:szCs w:val="22"/>
        </w:rPr>
        <w:t>价费字</w:t>
      </w:r>
      <w:r>
        <w:rPr>
          <w:rFonts w:ascii="Times New Roman" w:hAnsi="Times New Roman" w:cs="Times New Roman"/>
          <w:color w:val="000000"/>
          <w:sz w:val="22"/>
          <w:szCs w:val="22"/>
        </w:rPr>
        <w:t>479</w:t>
      </w:r>
      <w:r>
        <w:rPr>
          <w:rFonts w:ascii="Times New Roman" w:hAnsi="Times New Roman" w:hint="eastAsia"/>
          <w:color w:val="000000"/>
          <w:sz w:val="22"/>
          <w:szCs w:val="22"/>
        </w:rPr>
        <w:t>号）自本规定生效之日起废止。</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附：建设工程监理与相关服务收费管理规定</w:t>
      </w:r>
    </w:p>
    <w:p w:rsidR="00A32067" w:rsidRDefault="00A32067">
      <w:pPr>
        <w:pStyle w:val="NormalWeb"/>
        <w:shd w:val="clear" w:color="auto" w:fill="FFFFFF"/>
        <w:spacing w:before="0" w:beforeAutospacing="0" w:after="0" w:afterAutospacing="0" w:line="600" w:lineRule="exact"/>
        <w:rPr>
          <w:rFonts w:ascii="Times New Roman" w:eastAsia="微软雅黑" w:hAnsi="Times New Roman" w:cs="Times New Roman"/>
        </w:rPr>
      </w:pPr>
    </w:p>
    <w:p w:rsidR="00A32067" w:rsidRDefault="00A32067">
      <w:pPr>
        <w:pStyle w:val="NormalWeb"/>
        <w:shd w:val="clear" w:color="auto" w:fill="FFFFFF"/>
        <w:spacing w:before="0" w:beforeAutospacing="0" w:after="0" w:afterAutospacing="0" w:line="600" w:lineRule="exact"/>
        <w:rPr>
          <w:rFonts w:ascii="Times New Roman" w:eastAsia="微软雅黑" w:hAnsi="Times New Roman" w:cs="Times New Roman"/>
        </w:rPr>
      </w:pPr>
    </w:p>
    <w:p w:rsidR="00A32067" w:rsidRDefault="00A32067">
      <w:pPr>
        <w:pStyle w:val="NormalWeb"/>
        <w:shd w:val="clear" w:color="auto" w:fill="FFFFFF"/>
        <w:spacing w:before="0" w:beforeAutospacing="0" w:after="0" w:afterAutospacing="0" w:line="600" w:lineRule="exact"/>
        <w:rPr>
          <w:rFonts w:ascii="Times New Roman" w:eastAsia="微软雅黑" w:hAnsi="Times New Roman" w:cs="Times New Roman"/>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hint="eastAsia"/>
          <w:color w:val="000000"/>
          <w:sz w:val="22"/>
          <w:szCs w:val="22"/>
        </w:rPr>
        <w:t>中华人民共和国国家发展和改革委员会</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hint="eastAsia"/>
          <w:color w:val="000000"/>
          <w:sz w:val="22"/>
          <w:szCs w:val="22"/>
        </w:rPr>
        <w:t xml:space="preserve">中华人民共和国建设部　　　</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r>
        <w:rPr>
          <w:rFonts w:ascii="Times New Roman" w:hAnsi="Times New Roman" w:hint="eastAsia"/>
          <w:color w:val="000000"/>
          <w:sz w:val="22"/>
          <w:szCs w:val="22"/>
        </w:rPr>
        <w:t>二〇〇七年三月三十日</w:t>
      </w: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sectPr w:rsidR="00A32067">
          <w:headerReference w:type="even" r:id="rId89"/>
          <w:headerReference w:type="default" r:id="rId90"/>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jc w:val="right"/>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附件一：</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sz w:val="40"/>
          <w:szCs w:val="40"/>
        </w:rPr>
      </w:pPr>
      <w:r>
        <w:rPr>
          <w:rFonts w:ascii="Times New Roman" w:hAnsi="Times New Roman" w:hint="eastAsia"/>
          <w:b/>
          <w:bCs/>
          <w:color w:val="333333"/>
          <w:sz w:val="40"/>
          <w:szCs w:val="40"/>
        </w:rPr>
        <w:t>建设工程监理与相关服务收费管理规定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第一条</w:t>
      </w:r>
      <w:r>
        <w:rPr>
          <w:rFonts w:ascii="Times New Roman" w:hAnsi="Times New Roman" w:hint="eastAsia"/>
          <w:color w:val="000000"/>
          <w:sz w:val="22"/>
          <w:szCs w:val="22"/>
        </w:rPr>
        <w:t>为规范建设工程监理与相关服务收费行为，维护发包人和监理人的合法权益，根据《中华人民共和国价格法》及有关法律、法规，制定本规定。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第二条</w:t>
      </w:r>
      <w:r>
        <w:rPr>
          <w:rFonts w:ascii="Times New Roman" w:hAnsi="Times New Roman" w:hint="eastAsia"/>
          <w:color w:val="000000"/>
          <w:sz w:val="22"/>
          <w:szCs w:val="22"/>
        </w:rPr>
        <w:t>建设工程监理与相关服务，应当遵循公开、公平、公正、自愿和诚实信用的原则。依法须招标的建设工程，应通过招标方式确定监理人。监理服务招标应优先考虑监理单位的资信程度、监理方案的优劣等技术因素。</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第三条</w:t>
      </w:r>
      <w:r>
        <w:rPr>
          <w:rFonts w:ascii="Times New Roman" w:hAnsi="Times New Roman" w:hint="eastAsia"/>
          <w:color w:val="000000"/>
          <w:sz w:val="22"/>
          <w:szCs w:val="22"/>
        </w:rPr>
        <w:t>发包人和监理人应当遵守国家有关价格法律法规的规定，接受政府价格主管部门的监督、管理。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第四条</w:t>
      </w:r>
      <w:r>
        <w:rPr>
          <w:rFonts w:ascii="Times New Roman" w:hAnsi="Times New Roman" w:hint="eastAsia"/>
          <w:color w:val="000000"/>
          <w:sz w:val="22"/>
          <w:szCs w:val="22"/>
        </w:rPr>
        <w:t>建设工程监理与相关服务收费根据建设项目性质不同情况，分别实行政府指导价或市场调节价。依法必须实行监理的建设工程施工阶段的监理收费实行政府指导价；其它建设工程施工阶段的监理收费和其它阶段的监理与相关服务收费实行市场调节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第五条</w:t>
      </w:r>
      <w:r>
        <w:rPr>
          <w:rFonts w:ascii="Times New Roman" w:hAnsi="Times New Roman" w:hint="eastAsia"/>
          <w:color w:val="000000"/>
          <w:sz w:val="22"/>
          <w:szCs w:val="22"/>
        </w:rPr>
        <w:t>实行政府指导价的建设工程施工阶段监理收费，其基准价根据《建设工程监理与相关服务收费标准》计算，浮动幅度为上下</w:t>
      </w:r>
      <w:r>
        <w:rPr>
          <w:rFonts w:ascii="Times New Roman" w:hAnsi="Times New Roman" w:cs="Times New Roman"/>
          <w:color w:val="000000"/>
          <w:sz w:val="22"/>
          <w:szCs w:val="22"/>
        </w:rPr>
        <w:t>20</w:t>
      </w:r>
      <w:r>
        <w:rPr>
          <w:rFonts w:ascii="Times New Roman" w:hAnsi="Times New Roman" w:hint="eastAsia"/>
          <w:color w:val="000000"/>
          <w:sz w:val="22"/>
          <w:szCs w:val="22"/>
        </w:rPr>
        <w:t>％。发包人和监理人应当根据建设工程的实际情况在规定的浮动幅度内协商确定收费额。实行市场调节价的建设工程监理与相关服务收费，由发包人和监理人协商确定收费额。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第六条</w:t>
      </w:r>
      <w:r>
        <w:rPr>
          <w:rFonts w:ascii="Times New Roman" w:hAnsi="Times New Roman" w:hint="eastAsia"/>
          <w:color w:val="000000"/>
          <w:sz w:val="22"/>
          <w:szCs w:val="22"/>
        </w:rPr>
        <w:t>建设工程监理与相关服务收费，应当体现优质优价的原则。在保证工程质量的前提下，由于监理人提供的监理与相关服务节省投资，缩短工期，取得显著经济效益的，发包人可根据合同约定奖励监理人。</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第七条</w:t>
      </w:r>
      <w:r>
        <w:rPr>
          <w:rFonts w:ascii="Times New Roman" w:hAnsi="Times New Roman" w:hint="eastAsia"/>
          <w:color w:val="000000"/>
          <w:sz w:val="22"/>
          <w:szCs w:val="22"/>
        </w:rPr>
        <w:t>监理人应当按照《关于商品和服务实行明码标价的规定》，告知发包人有关服务项目、服务内容、服务质量、收费依据，以及收费标准。</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第八条</w:t>
      </w:r>
      <w:r>
        <w:rPr>
          <w:rFonts w:ascii="Times New Roman" w:hAnsi="Times New Roman" w:hint="eastAsia"/>
          <w:color w:val="000000"/>
          <w:sz w:val="22"/>
          <w:szCs w:val="22"/>
        </w:rPr>
        <w:t>建设工程监理与相关服务的内容、质量要求和相应的收费金额以及支付方式，由发包人和监理人在监理与相关服务合同中约定。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第九条</w:t>
      </w:r>
      <w:r>
        <w:rPr>
          <w:rFonts w:ascii="Times New Roman" w:hAnsi="Times New Roman" w:hint="eastAsia"/>
          <w:color w:val="000000"/>
          <w:sz w:val="22"/>
          <w:szCs w:val="22"/>
        </w:rPr>
        <w:t>监理人提供的监理与相关服务，应当符合国家有关法律、法规和标准规范，满足合同约定的服务内容和质量等要求。监理人不得违反标准规范规定或合同约定，通过降低服务质量、减少服务内容等手段进行恶性竞争，扰乱正常市场秩序。</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第十条</w:t>
      </w:r>
      <w:r>
        <w:rPr>
          <w:rFonts w:ascii="Times New Roman" w:hAnsi="Times New Roman" w:hint="eastAsia"/>
          <w:color w:val="000000"/>
          <w:sz w:val="22"/>
          <w:szCs w:val="22"/>
        </w:rPr>
        <w:t>由于非监理人原因造成建设工程监理与相关服务工作量增加或减少的，发包人应当按合同约定与监理人协商另行支付或扣减相应的监理与相关服务费用。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第十一条</w:t>
      </w:r>
      <w:r>
        <w:rPr>
          <w:rFonts w:ascii="Times New Roman" w:hAnsi="Times New Roman" w:hint="eastAsia"/>
          <w:color w:val="000000"/>
          <w:sz w:val="22"/>
          <w:szCs w:val="22"/>
        </w:rPr>
        <w:t>由于监理人原因造成监理与相关服务工作量增加的，发包人不另行支付监理与相关服务费用。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监理人提供的监理与相关服务不符合国家有关法律、法规和标准规范的，提供的监理服务人员、执业水平和服务时间未达到监理工作要求的，不能满足合同约定的服务内容和质量等要求的，发包人可按合同约定扣减相应的监理与相关服务费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由于监理人工作失误给发包人造成经济损失的，监理人应当按照合同约定依法承担相应赔偿责任。</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第十二条</w:t>
      </w:r>
      <w:r>
        <w:rPr>
          <w:rFonts w:ascii="Times New Roman" w:hAnsi="Times New Roman" w:hint="eastAsia"/>
          <w:color w:val="000000"/>
          <w:sz w:val="22"/>
          <w:szCs w:val="22"/>
        </w:rPr>
        <w:t>违反本规定和国家有关价格法律、法规规定的，由政府价格主管部门依据《中华人民共和国价格法》、《价格违法行为行政处罚规定》予以处罚。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第十三条</w:t>
      </w:r>
      <w:r>
        <w:rPr>
          <w:rFonts w:ascii="Times New Roman" w:hAnsi="Times New Roman" w:hint="eastAsia"/>
          <w:color w:val="000000"/>
          <w:sz w:val="22"/>
          <w:szCs w:val="22"/>
        </w:rPr>
        <w:t>本规定及所附《建设工程监理与相关服务收费标准》，由国家发展改革委会同建设部负责解释。</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b/>
          <w:bCs/>
          <w:color w:val="000000"/>
          <w:sz w:val="22"/>
          <w:szCs w:val="22"/>
        </w:rPr>
        <w:t>第十四条</w:t>
      </w:r>
      <w:r>
        <w:rPr>
          <w:rFonts w:ascii="Times New Roman" w:hAnsi="Times New Roman" w:hint="eastAsia"/>
          <w:color w:val="000000"/>
          <w:sz w:val="22"/>
          <w:szCs w:val="22"/>
        </w:rPr>
        <w:t>本规定自</w:t>
      </w:r>
      <w:r>
        <w:rPr>
          <w:rFonts w:ascii="Times New Roman" w:hAnsi="Times New Roman" w:cs="Times New Roman"/>
          <w:color w:val="000000"/>
          <w:sz w:val="22"/>
          <w:szCs w:val="22"/>
        </w:rPr>
        <w:t>2007</w:t>
      </w:r>
      <w:r>
        <w:rPr>
          <w:rFonts w:ascii="Times New Roman" w:hAnsi="Times New Roman" w:hint="eastAsia"/>
          <w:color w:val="000000"/>
          <w:sz w:val="22"/>
          <w:szCs w:val="22"/>
        </w:rPr>
        <w:t>年</w:t>
      </w:r>
      <w:r>
        <w:rPr>
          <w:rFonts w:ascii="Times New Roman" w:hAnsi="Times New Roman" w:cs="Times New Roman"/>
          <w:color w:val="000000"/>
          <w:sz w:val="22"/>
          <w:szCs w:val="22"/>
        </w:rPr>
        <w:t>5</w:t>
      </w:r>
      <w:r>
        <w:rPr>
          <w:rFonts w:ascii="Times New Roman" w:hAnsi="Times New Roman" w:hint="eastAsia"/>
          <w:color w:val="000000"/>
          <w:sz w:val="22"/>
          <w:szCs w:val="22"/>
        </w:rPr>
        <w:t>月</w:t>
      </w:r>
      <w:r>
        <w:rPr>
          <w:rFonts w:ascii="Times New Roman" w:hAnsi="Times New Roman" w:cs="Times New Roman"/>
          <w:color w:val="000000"/>
          <w:sz w:val="22"/>
          <w:szCs w:val="22"/>
        </w:rPr>
        <w:t>1</w:t>
      </w:r>
      <w:r>
        <w:rPr>
          <w:rFonts w:ascii="Times New Roman" w:hAnsi="Times New Roman" w:hint="eastAsia"/>
          <w:color w:val="000000"/>
          <w:sz w:val="22"/>
          <w:szCs w:val="22"/>
        </w:rPr>
        <w:t>日起施行，规定生效之日前已签订服务合同及在建项目的相关收费不再调整。原国家物价局与建设部联合发布的《关于发布工程建设监理费有关规定的通知》（</w:t>
      </w:r>
      <w:r>
        <w:rPr>
          <w:rFonts w:ascii="Times New Roman" w:hAnsi="Times New Roman" w:cs="Times New Roman"/>
          <w:color w:val="000000"/>
          <w:sz w:val="22"/>
          <w:szCs w:val="22"/>
        </w:rPr>
        <w:t>[1992]</w:t>
      </w:r>
      <w:r>
        <w:rPr>
          <w:rFonts w:ascii="Times New Roman" w:hAnsi="Times New Roman" w:hint="eastAsia"/>
          <w:color w:val="000000"/>
          <w:sz w:val="22"/>
          <w:szCs w:val="22"/>
        </w:rPr>
        <w:t>价费字</w:t>
      </w:r>
      <w:r>
        <w:rPr>
          <w:rFonts w:ascii="Times New Roman" w:hAnsi="Times New Roman" w:cs="Times New Roman"/>
          <w:color w:val="000000"/>
          <w:sz w:val="22"/>
          <w:szCs w:val="22"/>
        </w:rPr>
        <w:t>479</w:t>
      </w:r>
      <w:r>
        <w:rPr>
          <w:rFonts w:ascii="Times New Roman" w:hAnsi="Times New Roman" w:hint="eastAsia"/>
          <w:color w:val="000000"/>
          <w:sz w:val="22"/>
          <w:szCs w:val="22"/>
        </w:rPr>
        <w:t>号）同时废止。国务院有关部门及各地制定的相关规定与本规定相抵触的，以本规定为准。</w:t>
      </w:r>
    </w:p>
    <w:p w:rsidR="00A32067" w:rsidRDefault="00A32067">
      <w:pPr>
        <w:pStyle w:val="NormalWeb"/>
        <w:snapToGrid w:val="0"/>
        <w:spacing w:before="0" w:beforeAutospacing="0" w:after="0" w:afterAutospacing="0" w:line="360" w:lineRule="auto"/>
        <w:jc w:val="both"/>
        <w:rPr>
          <w:rFonts w:ascii="Times New Roman" w:eastAsia="微软雅黑"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napToGrid w:val="0"/>
        <w:spacing w:before="0" w:beforeAutospacing="0" w:after="0" w:afterAutospacing="0"/>
        <w:jc w:val="both"/>
        <w:rPr>
          <w:rFonts w:ascii="Times New Roman" w:eastAsia="仿宋_GB2312" w:hAnsi="Times New Roman" w:cs="Times New Roman"/>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附件二：</w:t>
      </w:r>
      <w:r>
        <w:rPr>
          <w:rFonts w:ascii="Times New Roman" w:hAnsi="Times New Roman" w:hint="eastAsia"/>
          <w:b/>
          <w:bCs/>
          <w:color w:val="333333"/>
        </w:rPr>
        <w:t>建设工程监理与相关服务收费标准</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1 </w:t>
      </w:r>
      <w:r>
        <w:rPr>
          <w:rFonts w:ascii="Times New Roman" w:hAnsi="Times New Roman" w:hint="eastAsia"/>
          <w:color w:val="000000"/>
          <w:sz w:val="22"/>
          <w:szCs w:val="22"/>
        </w:rPr>
        <w:t>总则</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1.0.1 </w:t>
      </w:r>
      <w:r>
        <w:rPr>
          <w:rFonts w:ascii="Times New Roman" w:hAnsi="Times New Roman" w:hint="eastAsia"/>
          <w:color w:val="000000"/>
          <w:sz w:val="22"/>
          <w:szCs w:val="22"/>
        </w:rPr>
        <w:t>建设工程监理与相关服务是指监理人接受发包人的委托，提供建设工程施工阶段的质量、进度、费用控制管理和安全生产监督管理、合同、信息等方面协调管理服务，以及勘察、设计、保修等阶段的相关服务。各阶段的工作内容见《建设工程监理与相关服务的主要工作内容》（附表一）。</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1.0.2 </w:t>
      </w:r>
      <w:r>
        <w:rPr>
          <w:rFonts w:ascii="Times New Roman" w:hAnsi="Times New Roman" w:hint="eastAsia"/>
          <w:color w:val="000000"/>
          <w:sz w:val="22"/>
          <w:szCs w:val="22"/>
        </w:rPr>
        <w:t>建设工程监理与相关服务收费包括建设工程施工阶段的工程监理（以下简称</w:t>
      </w:r>
      <w:r>
        <w:rPr>
          <w:rFonts w:ascii="Times New Roman" w:hAnsi="Times New Roman" w:cs="Times New Roman"/>
          <w:color w:val="000000"/>
          <w:sz w:val="22"/>
          <w:szCs w:val="22"/>
        </w:rPr>
        <w:t>“</w:t>
      </w:r>
      <w:r>
        <w:rPr>
          <w:rFonts w:ascii="Times New Roman" w:hAnsi="Times New Roman" w:hint="eastAsia"/>
          <w:color w:val="000000"/>
          <w:sz w:val="22"/>
          <w:szCs w:val="22"/>
        </w:rPr>
        <w:t>施工监理</w:t>
      </w:r>
      <w:r>
        <w:rPr>
          <w:rFonts w:ascii="Times New Roman" w:hAnsi="Times New Roman" w:cs="Times New Roman"/>
          <w:color w:val="000000"/>
          <w:sz w:val="22"/>
          <w:szCs w:val="22"/>
        </w:rPr>
        <w:t>”</w:t>
      </w:r>
      <w:r>
        <w:rPr>
          <w:rFonts w:ascii="Times New Roman" w:hAnsi="Times New Roman" w:hint="eastAsia"/>
          <w:color w:val="000000"/>
          <w:sz w:val="22"/>
          <w:szCs w:val="22"/>
        </w:rPr>
        <w:t>）服务收费和勘察、设计、保修等阶段的相关服务（以下简称</w:t>
      </w:r>
      <w:r>
        <w:rPr>
          <w:rFonts w:ascii="Times New Roman" w:hAnsi="Times New Roman" w:cs="Times New Roman"/>
          <w:color w:val="000000"/>
          <w:sz w:val="22"/>
          <w:szCs w:val="22"/>
        </w:rPr>
        <w:t>“</w:t>
      </w:r>
      <w:r>
        <w:rPr>
          <w:rFonts w:ascii="Times New Roman" w:hAnsi="Times New Roman" w:hint="eastAsia"/>
          <w:color w:val="000000"/>
          <w:sz w:val="22"/>
          <w:szCs w:val="22"/>
        </w:rPr>
        <w:t>其他阶段的相关服务</w:t>
      </w:r>
      <w:r>
        <w:rPr>
          <w:rFonts w:ascii="Times New Roman" w:hAnsi="Times New Roman" w:cs="Times New Roman"/>
          <w:color w:val="000000"/>
          <w:sz w:val="22"/>
          <w:szCs w:val="22"/>
        </w:rPr>
        <w:t>”</w:t>
      </w:r>
      <w:r>
        <w:rPr>
          <w:rFonts w:ascii="Times New Roman" w:hAnsi="Times New Roman" w:hint="eastAsia"/>
          <w:color w:val="000000"/>
          <w:sz w:val="22"/>
          <w:szCs w:val="22"/>
        </w:rPr>
        <w:t>）收费。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1.0.3 </w:t>
      </w:r>
      <w:r>
        <w:rPr>
          <w:rFonts w:ascii="Times New Roman" w:hAnsi="Times New Roman" w:hint="eastAsia"/>
          <w:color w:val="000000"/>
          <w:sz w:val="22"/>
          <w:szCs w:val="22"/>
        </w:rPr>
        <w:t>铁路、水运、公路、水电、水库工程的施工监理服务收费按建筑安装工程费分档定额计费方式计算收费。其他工程的施工监理服务收费按照建设项目工程概算投资额分档定额计费方式计算收费。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1.0.4 </w:t>
      </w:r>
      <w:r>
        <w:rPr>
          <w:rFonts w:ascii="Times New Roman" w:hAnsi="Times New Roman" w:hint="eastAsia"/>
          <w:color w:val="000000"/>
          <w:sz w:val="22"/>
          <w:szCs w:val="22"/>
        </w:rPr>
        <w:t>其他阶段的相关服务收费一般按相关服务工作所需工日和《建设工程监理与相关服务人员人工日费用标准》（附表四）收费。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1.0.5 </w:t>
      </w:r>
      <w:r>
        <w:rPr>
          <w:rFonts w:ascii="Times New Roman" w:hAnsi="Times New Roman" w:hint="eastAsia"/>
          <w:color w:val="000000"/>
          <w:sz w:val="22"/>
          <w:szCs w:val="22"/>
        </w:rPr>
        <w:t>施工监理服务收费按照下列公式计算：</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(1</w:t>
      </w:r>
      <w:r>
        <w:rPr>
          <w:rFonts w:ascii="Times New Roman" w:hAnsi="Times New Roman" w:hint="eastAsia"/>
          <w:color w:val="000000"/>
          <w:sz w:val="22"/>
          <w:szCs w:val="22"/>
        </w:rPr>
        <w:t>）施工监理服务收费＝施工监理服务收费基准价</w:t>
      </w:r>
      <w:r>
        <w:rPr>
          <w:rFonts w:ascii="Times New Roman" w:hAnsi="Times New Roman" w:cs="Times New Roman"/>
          <w:color w:val="000000"/>
          <w:sz w:val="22"/>
          <w:szCs w:val="22"/>
        </w:rPr>
        <w:t>×(1</w:t>
      </w:r>
      <w:r>
        <w:rPr>
          <w:rFonts w:ascii="Times New Roman" w:hAnsi="Times New Roman" w:hint="eastAsia"/>
          <w:color w:val="000000"/>
          <w:sz w:val="22"/>
          <w:szCs w:val="22"/>
        </w:rPr>
        <w:t>士浮动幅度值）</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(2</w:t>
      </w:r>
      <w:r>
        <w:rPr>
          <w:rFonts w:ascii="Times New Roman" w:hAnsi="Times New Roman" w:hint="eastAsia"/>
          <w:color w:val="000000"/>
          <w:sz w:val="22"/>
          <w:szCs w:val="22"/>
        </w:rPr>
        <w:t>）施工监理服务收费基准价＝施工监理服务收费基价</w:t>
      </w:r>
      <w:r>
        <w:rPr>
          <w:rFonts w:ascii="Times New Roman" w:hAnsi="Times New Roman" w:cs="Times New Roman"/>
          <w:color w:val="000000"/>
          <w:sz w:val="22"/>
          <w:szCs w:val="22"/>
        </w:rPr>
        <w:t>X</w:t>
      </w:r>
      <w:r>
        <w:rPr>
          <w:rFonts w:ascii="Times New Roman" w:hAnsi="Times New Roman" w:hint="eastAsia"/>
          <w:color w:val="000000"/>
          <w:sz w:val="22"/>
          <w:szCs w:val="22"/>
        </w:rPr>
        <w:t>专业调整系数</w:t>
      </w:r>
      <w:r>
        <w:rPr>
          <w:rFonts w:ascii="Times New Roman" w:hAnsi="Times New Roman" w:cs="Times New Roman"/>
          <w:color w:val="000000"/>
          <w:sz w:val="22"/>
          <w:szCs w:val="22"/>
        </w:rPr>
        <w:t>X</w:t>
      </w:r>
      <w:r>
        <w:rPr>
          <w:rFonts w:ascii="Times New Roman" w:hAnsi="Times New Roman" w:hint="eastAsia"/>
          <w:color w:val="000000"/>
          <w:sz w:val="22"/>
          <w:szCs w:val="22"/>
        </w:rPr>
        <w:t>工程复杂程度调整系数</w:t>
      </w:r>
      <w:r>
        <w:rPr>
          <w:rFonts w:ascii="Times New Roman" w:hAnsi="Times New Roman" w:cs="Times New Roman"/>
          <w:color w:val="000000"/>
          <w:sz w:val="22"/>
          <w:szCs w:val="22"/>
        </w:rPr>
        <w:t>×</w:t>
      </w:r>
      <w:r>
        <w:rPr>
          <w:rFonts w:ascii="Times New Roman" w:hAnsi="Times New Roman" w:hint="eastAsia"/>
          <w:color w:val="000000"/>
          <w:sz w:val="22"/>
          <w:szCs w:val="22"/>
        </w:rPr>
        <w:t>高程调整系数</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1.0.6 </w:t>
      </w:r>
      <w:r>
        <w:rPr>
          <w:rFonts w:ascii="Times New Roman" w:hAnsi="Times New Roman" w:hint="eastAsia"/>
          <w:color w:val="000000"/>
          <w:sz w:val="22"/>
          <w:szCs w:val="22"/>
        </w:rPr>
        <w:t>施工监理服务收费基价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施工监理服务收费基价是完成国家法律法规、规范规定的施工阶段监理基本服务内容的价格。施工监理服务收费基价按《施工监理服务收费基价表》（附表二）确定，计费额处于两个数值区间的，采用直线内插法确定施工监理服务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1.0.7 </w:t>
      </w:r>
      <w:r>
        <w:rPr>
          <w:rFonts w:ascii="Times New Roman" w:hAnsi="Times New Roman" w:hint="eastAsia"/>
          <w:color w:val="000000"/>
          <w:sz w:val="22"/>
          <w:szCs w:val="22"/>
        </w:rPr>
        <w:t>施工监理服务收费基准价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施工监理服务收费基准价是按照本收费标准规定的基价和</w:t>
      </w:r>
      <w:r>
        <w:rPr>
          <w:rFonts w:ascii="Times New Roman" w:hAnsi="Times New Roman" w:cs="Times New Roman"/>
          <w:color w:val="000000"/>
          <w:sz w:val="22"/>
          <w:szCs w:val="22"/>
        </w:rPr>
        <w:t>1.0.5(2</w:t>
      </w:r>
      <w:r>
        <w:rPr>
          <w:rFonts w:ascii="Times New Roman" w:hAnsi="Times New Roman" w:hint="eastAsia"/>
          <w:color w:val="000000"/>
          <w:sz w:val="22"/>
          <w:szCs w:val="22"/>
        </w:rPr>
        <w:t>）计算出的施工监理服务基准收费额。发包人与监理人根据项目的实际情况，在规定的浮动幅度范围内协商确定施工监理服务收费合同额。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1.0.8 </w:t>
      </w:r>
      <w:r>
        <w:rPr>
          <w:rFonts w:ascii="Times New Roman" w:hAnsi="Times New Roman" w:hint="eastAsia"/>
          <w:color w:val="000000"/>
          <w:sz w:val="22"/>
          <w:szCs w:val="22"/>
        </w:rPr>
        <w:t>施工监理服务收费的计费额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施工监理服务收费以建设项目工程概算投资额分档定额计费方式收费的，其计费额为工程概算中的建筑安装工程费、设备购置费和联合试运转费之和，即工程概算投资额。对设备购置费和联合试运转费占工程概算投资额</w:t>
      </w:r>
      <w:r>
        <w:rPr>
          <w:rFonts w:ascii="Times New Roman" w:hAnsi="Times New Roman" w:cs="Times New Roman"/>
          <w:color w:val="000000"/>
          <w:sz w:val="22"/>
          <w:szCs w:val="22"/>
        </w:rPr>
        <w:t>40%</w:t>
      </w:r>
      <w:r>
        <w:rPr>
          <w:rFonts w:ascii="Times New Roman" w:hAnsi="Times New Roman" w:hint="eastAsia"/>
          <w:color w:val="000000"/>
          <w:sz w:val="22"/>
          <w:szCs w:val="22"/>
        </w:rPr>
        <w:t>以上的工程项目，其建筑安装工程费全部计入计费额，设备购置费和联合试运转费按</w:t>
      </w:r>
      <w:r>
        <w:rPr>
          <w:rFonts w:ascii="Times New Roman" w:hAnsi="Times New Roman" w:cs="Times New Roman"/>
          <w:color w:val="000000"/>
          <w:sz w:val="22"/>
          <w:szCs w:val="22"/>
        </w:rPr>
        <w:t>40%</w:t>
      </w:r>
      <w:r>
        <w:rPr>
          <w:rFonts w:ascii="Times New Roman" w:hAnsi="Times New Roman" w:hint="eastAsia"/>
          <w:color w:val="000000"/>
          <w:sz w:val="22"/>
          <w:szCs w:val="22"/>
        </w:rPr>
        <w:t>的比例计入计费额。但其计费额不应小于建筑安装工程费与其相同且设备购置费和联合试运转费等于工程概算投资额</w:t>
      </w:r>
      <w:r>
        <w:rPr>
          <w:rFonts w:ascii="Times New Roman" w:hAnsi="Times New Roman" w:cs="Times New Roman"/>
          <w:color w:val="000000"/>
          <w:sz w:val="22"/>
          <w:szCs w:val="22"/>
        </w:rPr>
        <w:t>40%</w:t>
      </w:r>
      <w:r>
        <w:rPr>
          <w:rFonts w:ascii="Times New Roman" w:hAnsi="Times New Roman" w:hint="eastAsia"/>
          <w:color w:val="000000"/>
          <w:sz w:val="22"/>
          <w:szCs w:val="22"/>
        </w:rPr>
        <w:t>的工程项目的计费额。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工程中有利用原有设备并进行安装调试服务的，以签订工程监理合同时同类设备的当期价格作为施工监理服务收费的计费额；工程中有缓配设备的，应扣除签订工程监理合同时同类设备的当期价格作为施工监理服务收费的计费额；工程中有引进设备的，按照购进设备的离岸价格折换成人民币作为施工监理服务收费的计费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施工监理服务收费以建筑安装工程费分档定额计费方式收费的，其计费额为工程概算中的建筑安装工程费。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作为施工监理服务收费计费额的建设项目工程概算投资额或建筑安装工程费均指每个监理合同中约定的工程项目范围的计费额。</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1.0.9 </w:t>
      </w:r>
      <w:r>
        <w:rPr>
          <w:rFonts w:ascii="Times New Roman" w:hAnsi="Times New Roman" w:hint="eastAsia"/>
          <w:color w:val="000000"/>
          <w:sz w:val="22"/>
          <w:szCs w:val="22"/>
        </w:rPr>
        <w:t>施工监理服务收费调整系数</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施工监理服务收费调整系数包括：专业调整系数、工程复杂程度调整系数和高程调整系数。</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(1</w:t>
      </w:r>
      <w:r>
        <w:rPr>
          <w:rFonts w:ascii="Times New Roman" w:hAnsi="Times New Roman" w:hint="eastAsia"/>
          <w:color w:val="000000"/>
          <w:sz w:val="22"/>
          <w:szCs w:val="22"/>
        </w:rPr>
        <w:t>）专业调整系数是对不同专业建设工程的施工监理工作复杂程度和工作量差异进行调整的系数。计算施工监理服务收费时，专业调整系数在《施工监理服务收费专业调整系数表》（附表三）中查找确定。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(2</w:t>
      </w:r>
      <w:r>
        <w:rPr>
          <w:rFonts w:ascii="Times New Roman" w:hAnsi="Times New Roman" w:hint="eastAsia"/>
          <w:color w:val="000000"/>
          <w:sz w:val="22"/>
          <w:szCs w:val="22"/>
        </w:rPr>
        <w:t>）工程复杂程度调整系数是对同一专业建设工程的施工监理复杂程度和工作量差异进行调整的系数。工程复杂程度分为一般、较复杂和复杂三个等级，其调整系数分别为：一般（</w:t>
      </w:r>
      <w:r>
        <w:rPr>
          <w:rFonts w:hint="eastAsia"/>
          <w:color w:val="000000"/>
          <w:sz w:val="22"/>
          <w:szCs w:val="22"/>
        </w:rPr>
        <w:t>Ⅰ</w:t>
      </w:r>
      <w:r>
        <w:rPr>
          <w:rFonts w:ascii="Times New Roman" w:hAnsi="Times New Roman" w:hint="eastAsia"/>
          <w:color w:val="000000"/>
          <w:sz w:val="22"/>
          <w:szCs w:val="22"/>
        </w:rPr>
        <w:t>级）</w:t>
      </w:r>
      <w:r>
        <w:rPr>
          <w:rFonts w:ascii="Times New Roman" w:hAnsi="Times New Roman" w:cs="Times New Roman"/>
          <w:color w:val="000000"/>
          <w:sz w:val="22"/>
          <w:szCs w:val="22"/>
        </w:rPr>
        <w:t xml:space="preserve">0.85 </w:t>
      </w:r>
      <w:r>
        <w:rPr>
          <w:rFonts w:ascii="Times New Roman" w:hAnsi="Times New Roman" w:hint="eastAsia"/>
          <w:color w:val="000000"/>
          <w:sz w:val="22"/>
          <w:szCs w:val="22"/>
        </w:rPr>
        <w:t>；较复杂（</w:t>
      </w:r>
      <w:r>
        <w:rPr>
          <w:rFonts w:hint="eastAsia"/>
          <w:color w:val="000000"/>
          <w:sz w:val="22"/>
          <w:szCs w:val="22"/>
        </w:rPr>
        <w:t>Ⅱ</w:t>
      </w:r>
      <w:r>
        <w:rPr>
          <w:rFonts w:ascii="Times New Roman" w:hAnsi="Times New Roman" w:hint="eastAsia"/>
          <w:color w:val="000000"/>
          <w:sz w:val="22"/>
          <w:szCs w:val="22"/>
        </w:rPr>
        <w:t>级）</w:t>
      </w:r>
      <w:r>
        <w:rPr>
          <w:rFonts w:ascii="Times New Roman" w:hAnsi="Times New Roman" w:cs="Times New Roman"/>
          <w:color w:val="000000"/>
          <w:sz w:val="22"/>
          <w:szCs w:val="22"/>
        </w:rPr>
        <w:t>1.0</w:t>
      </w:r>
      <w:r>
        <w:rPr>
          <w:rFonts w:ascii="Times New Roman" w:hAnsi="Times New Roman" w:hint="eastAsia"/>
          <w:color w:val="000000"/>
          <w:sz w:val="22"/>
          <w:szCs w:val="22"/>
        </w:rPr>
        <w:t>；复杂（</w:t>
      </w:r>
      <w:r>
        <w:rPr>
          <w:rFonts w:hint="eastAsia"/>
          <w:color w:val="000000"/>
          <w:sz w:val="22"/>
          <w:szCs w:val="22"/>
        </w:rPr>
        <w:t>Ⅲ</w:t>
      </w:r>
      <w:r>
        <w:rPr>
          <w:rFonts w:ascii="Times New Roman" w:hAnsi="Times New Roman" w:hint="eastAsia"/>
          <w:color w:val="000000"/>
          <w:sz w:val="22"/>
          <w:szCs w:val="22"/>
        </w:rPr>
        <w:t>级）</w:t>
      </w:r>
      <w:r>
        <w:rPr>
          <w:rFonts w:ascii="Times New Roman" w:hAnsi="Times New Roman" w:cs="Times New Roman"/>
          <w:color w:val="000000"/>
          <w:sz w:val="22"/>
          <w:szCs w:val="22"/>
        </w:rPr>
        <w:t xml:space="preserve">1.15 </w:t>
      </w:r>
      <w:r>
        <w:rPr>
          <w:rFonts w:ascii="Times New Roman" w:hAnsi="Times New Roman" w:hint="eastAsia"/>
          <w:color w:val="000000"/>
          <w:sz w:val="22"/>
          <w:szCs w:val="22"/>
        </w:rPr>
        <w:t>。计算施工监理服务收费时，工程复杂程度在相应章节的《工程复杂程度表》中查找确定。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(3</w:t>
      </w:r>
      <w:r>
        <w:rPr>
          <w:rFonts w:ascii="Times New Roman" w:hAnsi="Times New Roman" w:hint="eastAsia"/>
          <w:color w:val="000000"/>
          <w:sz w:val="22"/>
          <w:szCs w:val="22"/>
        </w:rPr>
        <w:t>）高程调整系数如下：</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海拔高程</w:t>
      </w:r>
      <w:r>
        <w:rPr>
          <w:rFonts w:ascii="Times New Roman" w:hAnsi="Times New Roman" w:cs="Times New Roman"/>
          <w:color w:val="000000"/>
          <w:sz w:val="22"/>
          <w:szCs w:val="22"/>
        </w:rPr>
        <w:t>2O01m</w:t>
      </w:r>
      <w:r>
        <w:rPr>
          <w:rFonts w:ascii="Times New Roman" w:hAnsi="Times New Roman" w:hint="eastAsia"/>
          <w:color w:val="000000"/>
          <w:sz w:val="22"/>
          <w:szCs w:val="22"/>
        </w:rPr>
        <w:t>以下的为</w:t>
      </w:r>
      <w:r>
        <w:rPr>
          <w:rFonts w:ascii="Times New Roman" w:hAnsi="Times New Roman" w:cs="Times New Roman"/>
          <w:color w:val="000000"/>
          <w:sz w:val="22"/>
          <w:szCs w:val="22"/>
        </w:rPr>
        <w:t xml:space="preserve">l;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海拔高程</w:t>
      </w:r>
      <w:r>
        <w:rPr>
          <w:rFonts w:ascii="Times New Roman" w:hAnsi="Times New Roman" w:cs="Times New Roman"/>
          <w:color w:val="000000"/>
          <w:sz w:val="22"/>
          <w:szCs w:val="22"/>
        </w:rPr>
        <w:t>2001</w:t>
      </w:r>
      <w:r>
        <w:rPr>
          <w:rFonts w:ascii="Times New Roman" w:hAnsi="Times New Roman" w:hint="eastAsia"/>
          <w:color w:val="000000"/>
          <w:sz w:val="22"/>
          <w:szCs w:val="22"/>
        </w:rPr>
        <w:t>～</w:t>
      </w:r>
      <w:r>
        <w:rPr>
          <w:rFonts w:ascii="Times New Roman" w:hAnsi="Times New Roman" w:cs="Times New Roman"/>
          <w:color w:val="000000"/>
          <w:sz w:val="22"/>
          <w:szCs w:val="22"/>
        </w:rPr>
        <w:t>3000m</w:t>
      </w:r>
      <w:r>
        <w:rPr>
          <w:rFonts w:ascii="Times New Roman" w:hAnsi="Times New Roman" w:hint="eastAsia"/>
          <w:color w:val="000000"/>
          <w:sz w:val="22"/>
          <w:szCs w:val="22"/>
        </w:rPr>
        <w:t>为</w:t>
      </w:r>
      <w:r>
        <w:rPr>
          <w:rFonts w:ascii="Times New Roman" w:hAnsi="Times New Roman" w:cs="Times New Roman"/>
          <w:color w:val="000000"/>
          <w:sz w:val="22"/>
          <w:szCs w:val="22"/>
        </w:rPr>
        <w:t xml:space="preserve">1.1;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海拔高程</w:t>
      </w:r>
      <w:r>
        <w:rPr>
          <w:rFonts w:ascii="Times New Roman" w:hAnsi="Times New Roman" w:cs="Times New Roman"/>
          <w:color w:val="000000"/>
          <w:sz w:val="22"/>
          <w:szCs w:val="22"/>
        </w:rPr>
        <w:t>3001</w:t>
      </w:r>
      <w:r>
        <w:rPr>
          <w:rFonts w:ascii="Times New Roman" w:hAnsi="Times New Roman" w:hint="eastAsia"/>
          <w:color w:val="000000"/>
          <w:sz w:val="22"/>
          <w:szCs w:val="22"/>
        </w:rPr>
        <w:t>～</w:t>
      </w:r>
      <w:r>
        <w:rPr>
          <w:rFonts w:ascii="Times New Roman" w:hAnsi="Times New Roman" w:cs="Times New Roman"/>
          <w:color w:val="000000"/>
          <w:sz w:val="22"/>
          <w:szCs w:val="22"/>
        </w:rPr>
        <w:t>350Om</w:t>
      </w:r>
      <w:r>
        <w:rPr>
          <w:rFonts w:ascii="Times New Roman" w:hAnsi="Times New Roman" w:hint="eastAsia"/>
          <w:color w:val="000000"/>
          <w:sz w:val="22"/>
          <w:szCs w:val="22"/>
        </w:rPr>
        <w:t>为</w:t>
      </w:r>
      <w:r>
        <w:rPr>
          <w:rFonts w:ascii="Times New Roman" w:hAnsi="Times New Roman" w:cs="Times New Roman"/>
          <w:color w:val="000000"/>
          <w:sz w:val="22"/>
          <w:szCs w:val="22"/>
        </w:rPr>
        <w:t xml:space="preserve">1.2; </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海拔高程</w:t>
      </w:r>
      <w:r>
        <w:rPr>
          <w:rFonts w:ascii="Times New Roman" w:hAnsi="Times New Roman" w:cs="Times New Roman"/>
          <w:color w:val="000000"/>
          <w:sz w:val="22"/>
          <w:szCs w:val="22"/>
        </w:rPr>
        <w:t>3501</w:t>
      </w:r>
      <w:r>
        <w:rPr>
          <w:rFonts w:ascii="Times New Roman" w:hAnsi="Times New Roman" w:hint="eastAsia"/>
          <w:color w:val="000000"/>
          <w:sz w:val="22"/>
          <w:szCs w:val="22"/>
        </w:rPr>
        <w:t>～</w:t>
      </w:r>
      <w:r>
        <w:rPr>
          <w:rFonts w:ascii="Times New Roman" w:hAnsi="Times New Roman" w:cs="Times New Roman"/>
          <w:color w:val="000000"/>
          <w:sz w:val="22"/>
          <w:szCs w:val="22"/>
        </w:rPr>
        <w:t>4000m</w:t>
      </w:r>
      <w:r>
        <w:rPr>
          <w:rFonts w:ascii="Times New Roman" w:hAnsi="Times New Roman" w:hint="eastAsia"/>
          <w:color w:val="000000"/>
          <w:sz w:val="22"/>
          <w:szCs w:val="22"/>
        </w:rPr>
        <w:t>为</w:t>
      </w:r>
      <w:r>
        <w:rPr>
          <w:rFonts w:ascii="Times New Roman" w:hAnsi="Times New Roman" w:cs="Times New Roman"/>
          <w:color w:val="000000"/>
          <w:sz w:val="22"/>
          <w:szCs w:val="22"/>
        </w:rPr>
        <w:t>1.3;</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海拔高程</w:t>
      </w:r>
      <w:r>
        <w:rPr>
          <w:rFonts w:ascii="Times New Roman" w:hAnsi="Times New Roman" w:cs="Times New Roman"/>
          <w:color w:val="000000"/>
          <w:sz w:val="22"/>
          <w:szCs w:val="22"/>
        </w:rPr>
        <w:t>4001m</w:t>
      </w:r>
      <w:r>
        <w:rPr>
          <w:rFonts w:ascii="Times New Roman" w:hAnsi="Times New Roman" w:hint="eastAsia"/>
          <w:color w:val="000000"/>
          <w:sz w:val="22"/>
          <w:szCs w:val="22"/>
        </w:rPr>
        <w:t>以上的，高程调整系数由发包人和监理人协商确定。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1.0.10 </w:t>
      </w:r>
      <w:r>
        <w:rPr>
          <w:rFonts w:ascii="Times New Roman" w:hAnsi="Times New Roman" w:hint="eastAsia"/>
          <w:color w:val="000000"/>
          <w:sz w:val="22"/>
          <w:szCs w:val="22"/>
        </w:rPr>
        <w:t>发包人将施工监理服务中的某一部分工作单独发包给监理人，按照其占施工监理服务工作量的比例计算施工监理服务收费，其中质量控制和安全生产监督管理服务收费不宜低于施工监理服务收费额的</w:t>
      </w:r>
      <w:r>
        <w:rPr>
          <w:rFonts w:ascii="Times New Roman" w:hAnsi="Times New Roman" w:cs="Times New Roman"/>
          <w:color w:val="000000"/>
          <w:sz w:val="22"/>
          <w:szCs w:val="22"/>
        </w:rPr>
        <w:t>70</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1.0.11 </w:t>
      </w:r>
      <w:r>
        <w:rPr>
          <w:rFonts w:ascii="Times New Roman" w:hAnsi="Times New Roman" w:hint="eastAsia"/>
          <w:color w:val="000000"/>
          <w:sz w:val="22"/>
          <w:szCs w:val="22"/>
        </w:rPr>
        <w:t>建设工程项目施工监理服务由两个或者两个以上监理人承担的，各监理人按照其占施工监理服务工作量的比例计算施工监理服务收费。发包人委托其中一个监理人对建设工程项目施工监理服务总负责的，该监理人按照各监理人合计监理服务收费额的</w:t>
      </w:r>
      <w:r>
        <w:rPr>
          <w:rFonts w:ascii="Times New Roman" w:hAnsi="Times New Roman" w:cs="Times New Roman"/>
          <w:color w:val="000000"/>
          <w:sz w:val="22"/>
          <w:szCs w:val="22"/>
        </w:rPr>
        <w:t>4</w:t>
      </w:r>
      <w:r>
        <w:rPr>
          <w:rFonts w:ascii="Times New Roman" w:hAnsi="Times New Roman" w:hint="eastAsia"/>
          <w:color w:val="000000"/>
          <w:sz w:val="22"/>
          <w:szCs w:val="22"/>
        </w:rPr>
        <w:t>％一</w:t>
      </w:r>
      <w:r>
        <w:rPr>
          <w:rFonts w:ascii="Times New Roman" w:hAnsi="Times New Roman" w:cs="Times New Roman"/>
          <w:color w:val="000000"/>
          <w:sz w:val="22"/>
          <w:szCs w:val="22"/>
        </w:rPr>
        <w:t>6</w:t>
      </w:r>
      <w:r>
        <w:rPr>
          <w:rFonts w:ascii="Times New Roman" w:hAnsi="Times New Roman" w:hint="eastAsia"/>
          <w:color w:val="000000"/>
          <w:sz w:val="22"/>
          <w:szCs w:val="22"/>
        </w:rPr>
        <w:t>％向发包人收取总体协调费。</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1.0.12 </w:t>
      </w:r>
      <w:r>
        <w:rPr>
          <w:rFonts w:ascii="Times New Roman" w:hAnsi="Times New Roman" w:hint="eastAsia"/>
          <w:color w:val="000000"/>
          <w:sz w:val="22"/>
          <w:szCs w:val="22"/>
        </w:rPr>
        <w:t>本收费标准不包括本总则</w:t>
      </w:r>
      <w:r>
        <w:rPr>
          <w:rFonts w:ascii="Times New Roman" w:hAnsi="Times New Roman" w:cs="Times New Roman"/>
          <w:color w:val="000000"/>
          <w:sz w:val="22"/>
          <w:szCs w:val="22"/>
        </w:rPr>
        <w:t xml:space="preserve">1.0.1 </w:t>
      </w:r>
      <w:r>
        <w:rPr>
          <w:rFonts w:ascii="Times New Roman" w:hAnsi="Times New Roman" w:hint="eastAsia"/>
          <w:color w:val="000000"/>
          <w:sz w:val="22"/>
          <w:szCs w:val="22"/>
        </w:rPr>
        <w:t>以外的其他服务收费。其他服务收费，国家有规定的，从其规定；国家没有规定的，由发包人与监理人协商确定。</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附表一</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建设工程监理与相关服务的主要工作内容</w:t>
      </w:r>
    </w:p>
    <w:tbl>
      <w:tblPr>
        <w:tblpPr w:leftFromText="180" w:rightFromText="180" w:vertAnchor="text" w:horzAnchor="margin" w:tblpXSpec="center" w:tblpY="283"/>
        <w:tblW w:w="9487" w:type="dxa"/>
        <w:tblLayout w:type="fixed"/>
        <w:tblLook w:val="00A0"/>
      </w:tblPr>
      <w:tblGrid>
        <w:gridCol w:w="2127"/>
        <w:gridCol w:w="5386"/>
        <w:gridCol w:w="1974"/>
      </w:tblGrid>
      <w:tr w:rsidR="00A32067">
        <w:trPr>
          <w:trHeight w:val="705"/>
        </w:trPr>
        <w:tc>
          <w:tcPr>
            <w:tcW w:w="212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r>
              <w:rPr>
                <w:rFonts w:cs="宋体" w:hint="eastAsia"/>
              </w:rPr>
              <w:t>服务阶段</w:t>
            </w:r>
          </w:p>
        </w:tc>
        <w:tc>
          <w:tcPr>
            <w:tcW w:w="5386" w:type="dxa"/>
            <w:tcBorders>
              <w:top w:val="single" w:sz="4" w:space="0" w:color="auto"/>
              <w:left w:val="nil"/>
              <w:bottom w:val="single" w:sz="4" w:space="0" w:color="auto"/>
              <w:right w:val="single" w:sz="4" w:space="0" w:color="auto"/>
            </w:tcBorders>
            <w:vAlign w:val="center"/>
          </w:tcPr>
          <w:p w:rsidR="00A32067" w:rsidRDefault="00A32067">
            <w:pPr>
              <w:jc w:val="center"/>
            </w:pPr>
            <w:r>
              <w:rPr>
                <w:rFonts w:cs="宋体" w:hint="eastAsia"/>
              </w:rPr>
              <w:t>主要工作内容</w:t>
            </w:r>
          </w:p>
        </w:tc>
        <w:tc>
          <w:tcPr>
            <w:tcW w:w="1974" w:type="dxa"/>
            <w:tcBorders>
              <w:top w:val="single" w:sz="4" w:space="0" w:color="auto"/>
              <w:left w:val="nil"/>
              <w:bottom w:val="single" w:sz="4" w:space="0" w:color="auto"/>
              <w:right w:val="single" w:sz="4" w:space="0" w:color="auto"/>
            </w:tcBorders>
            <w:vAlign w:val="center"/>
          </w:tcPr>
          <w:p w:rsidR="00A32067" w:rsidRDefault="00A32067">
            <w:pPr>
              <w:jc w:val="center"/>
            </w:pPr>
            <w:r>
              <w:rPr>
                <w:rFonts w:cs="宋体" w:hint="eastAsia"/>
              </w:rPr>
              <w:t>备注</w:t>
            </w:r>
          </w:p>
        </w:tc>
      </w:tr>
      <w:tr w:rsidR="00A32067">
        <w:trPr>
          <w:trHeight w:val="1127"/>
        </w:trPr>
        <w:tc>
          <w:tcPr>
            <w:tcW w:w="2127" w:type="dxa"/>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勘察阶段</w:t>
            </w:r>
          </w:p>
        </w:tc>
        <w:tc>
          <w:tcPr>
            <w:tcW w:w="5386"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协助发包人编制勘察要求、选择勘察单位，核查勘察方案并监督实施和进行相应的控制，参与验收勘察成果。</w:t>
            </w:r>
          </w:p>
        </w:tc>
        <w:tc>
          <w:tcPr>
            <w:tcW w:w="1974"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建设工程勘察、设计、施工、保修等阶段监理与相关服务的具体工作内容执行国家、行业有关规范、规定。</w:t>
            </w:r>
          </w:p>
        </w:tc>
      </w:tr>
      <w:tr w:rsidR="00A32067">
        <w:trPr>
          <w:trHeight w:val="1541"/>
        </w:trPr>
        <w:tc>
          <w:tcPr>
            <w:tcW w:w="2127" w:type="dxa"/>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设计阶段</w:t>
            </w:r>
          </w:p>
        </w:tc>
        <w:tc>
          <w:tcPr>
            <w:tcW w:w="5386"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协助发包人编制设计要求、选择设计单位，组织评选设计方案，对各设计单位进行协调管理，监督合同履行，审查设计进度计划并监督实施，核查设计大纲和设计深度、使用技术规范合理性，提出设计评估报告（包括各阶段设计的核查意见和优化建议），协助审核设计概算。</w:t>
            </w:r>
          </w:p>
        </w:tc>
        <w:tc>
          <w:tcPr>
            <w:tcW w:w="1974" w:type="dxa"/>
            <w:vMerge/>
            <w:tcBorders>
              <w:top w:val="nil"/>
              <w:left w:val="single" w:sz="4" w:space="0" w:color="auto"/>
              <w:bottom w:val="single" w:sz="4" w:space="0" w:color="auto"/>
              <w:right w:val="single" w:sz="4" w:space="0" w:color="auto"/>
            </w:tcBorders>
            <w:vAlign w:val="center"/>
          </w:tcPr>
          <w:p w:rsidR="00A32067" w:rsidRDefault="00A32067">
            <w:pPr>
              <w:rPr>
                <w:sz w:val="24"/>
                <w:szCs w:val="24"/>
              </w:rPr>
            </w:pPr>
          </w:p>
        </w:tc>
      </w:tr>
      <w:tr w:rsidR="00A32067">
        <w:trPr>
          <w:trHeight w:val="696"/>
        </w:trPr>
        <w:tc>
          <w:tcPr>
            <w:tcW w:w="2127" w:type="dxa"/>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施工阶段</w:t>
            </w:r>
          </w:p>
        </w:tc>
        <w:tc>
          <w:tcPr>
            <w:tcW w:w="5386"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施工过程中的质量、进度、费用控制，安全生产监督管理、合同、信息等方面的协调管理。</w:t>
            </w:r>
          </w:p>
        </w:tc>
        <w:tc>
          <w:tcPr>
            <w:tcW w:w="1974" w:type="dxa"/>
            <w:vMerge/>
            <w:tcBorders>
              <w:top w:val="nil"/>
              <w:left w:val="single" w:sz="4" w:space="0" w:color="auto"/>
              <w:bottom w:val="single" w:sz="4" w:space="0" w:color="auto"/>
              <w:right w:val="single" w:sz="4" w:space="0" w:color="auto"/>
            </w:tcBorders>
            <w:vAlign w:val="center"/>
          </w:tcPr>
          <w:p w:rsidR="00A32067" w:rsidRDefault="00A32067">
            <w:pPr>
              <w:rPr>
                <w:sz w:val="24"/>
                <w:szCs w:val="24"/>
              </w:rPr>
            </w:pPr>
          </w:p>
        </w:tc>
      </w:tr>
      <w:tr w:rsidR="00A32067">
        <w:trPr>
          <w:trHeight w:val="1035"/>
        </w:trPr>
        <w:tc>
          <w:tcPr>
            <w:tcW w:w="2127" w:type="dxa"/>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保修阶段</w:t>
            </w:r>
          </w:p>
        </w:tc>
        <w:tc>
          <w:tcPr>
            <w:tcW w:w="5386" w:type="dxa"/>
            <w:tcBorders>
              <w:top w:val="nil"/>
              <w:left w:val="nil"/>
              <w:bottom w:val="single" w:sz="4" w:space="0" w:color="auto"/>
              <w:right w:val="single" w:sz="4" w:space="0" w:color="auto"/>
            </w:tcBorders>
            <w:vAlign w:val="center"/>
          </w:tcPr>
          <w:p w:rsidR="00A32067" w:rsidRDefault="00A32067">
            <w:pPr>
              <w:jc w:val="center"/>
            </w:pPr>
            <w:r>
              <w:rPr>
                <w:rFonts w:cs="宋体" w:hint="eastAsia"/>
              </w:rPr>
              <w:t>检查和记录工程质量缺陷，对缺陷原因进行调查分析并确定责任归属，审核修复方案，监督修复过程并验收，审核修复费用。</w:t>
            </w:r>
          </w:p>
        </w:tc>
        <w:tc>
          <w:tcPr>
            <w:tcW w:w="1974" w:type="dxa"/>
            <w:vMerge/>
            <w:tcBorders>
              <w:top w:val="nil"/>
              <w:left w:val="single" w:sz="4" w:space="0" w:color="auto"/>
              <w:bottom w:val="single" w:sz="4" w:space="0" w:color="auto"/>
              <w:right w:val="single" w:sz="4" w:space="0" w:color="auto"/>
            </w:tcBorders>
            <w:vAlign w:val="center"/>
          </w:tcPr>
          <w:p w:rsidR="00A32067" w:rsidRDefault="00A32067">
            <w:pPr>
              <w:rPr>
                <w:sz w:val="24"/>
                <w:szCs w:val="24"/>
              </w:rPr>
            </w:pPr>
          </w:p>
        </w:tc>
      </w:tr>
    </w:tbl>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headerReference w:type="even" r:id="rId91"/>
          <w:headerReference w:type="default" r:id="rId92"/>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附表二</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施工监理收费基价表</w:t>
      </w:r>
    </w:p>
    <w:p w:rsidR="00A32067" w:rsidRDefault="00A32067">
      <w:pPr>
        <w:pStyle w:val="NormalWeb"/>
        <w:shd w:val="clear" w:color="auto" w:fill="FFFFFF"/>
        <w:spacing w:before="0" w:beforeAutospacing="0" w:after="0" w:afterAutospacing="0" w:line="360" w:lineRule="auto"/>
        <w:ind w:right="482"/>
        <w:jc w:val="right"/>
        <w:rPr>
          <w:rFonts w:ascii="Times New Roman" w:hAnsi="Times New Roman" w:cs="Times New Roman"/>
          <w:kern w:val="2"/>
        </w:rPr>
      </w:pPr>
      <w:r>
        <w:rPr>
          <w:rFonts w:ascii="Times New Roman" w:hAnsi="Times New Roman" w:hint="eastAsia"/>
          <w:kern w:val="2"/>
        </w:rPr>
        <w:t>单位：万元</w:t>
      </w:r>
    </w:p>
    <w:tbl>
      <w:tblPr>
        <w:tblW w:w="85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685"/>
        <w:gridCol w:w="3345"/>
        <w:gridCol w:w="3492"/>
      </w:tblGrid>
      <w:tr w:rsidR="00A32067">
        <w:trPr>
          <w:trHeight w:val="433"/>
          <w:jc w:val="center"/>
        </w:trPr>
        <w:tc>
          <w:tcPr>
            <w:tcW w:w="1685" w:type="dxa"/>
          </w:tcPr>
          <w:p w:rsidR="00A32067" w:rsidRDefault="00A32067">
            <w:pPr>
              <w:jc w:val="center"/>
            </w:pPr>
            <w:r>
              <w:rPr>
                <w:rFonts w:cs="宋体" w:hint="eastAsia"/>
              </w:rPr>
              <w:t>序号</w:t>
            </w:r>
          </w:p>
        </w:tc>
        <w:tc>
          <w:tcPr>
            <w:tcW w:w="3345" w:type="dxa"/>
          </w:tcPr>
          <w:p w:rsidR="00A32067" w:rsidRDefault="00A32067">
            <w:pPr>
              <w:jc w:val="center"/>
            </w:pPr>
            <w:r>
              <w:rPr>
                <w:rFonts w:cs="宋体" w:hint="eastAsia"/>
              </w:rPr>
              <w:t>计费额</w:t>
            </w:r>
          </w:p>
        </w:tc>
        <w:tc>
          <w:tcPr>
            <w:tcW w:w="3492" w:type="dxa"/>
          </w:tcPr>
          <w:p w:rsidR="00A32067" w:rsidRDefault="00A32067">
            <w:pPr>
              <w:jc w:val="center"/>
            </w:pPr>
            <w:r>
              <w:rPr>
                <w:rFonts w:cs="宋体" w:hint="eastAsia"/>
              </w:rPr>
              <w:t>收费基价</w:t>
            </w:r>
          </w:p>
        </w:tc>
      </w:tr>
      <w:tr w:rsidR="00A32067">
        <w:trPr>
          <w:trHeight w:val="433"/>
          <w:jc w:val="center"/>
        </w:trPr>
        <w:tc>
          <w:tcPr>
            <w:tcW w:w="1685" w:type="dxa"/>
          </w:tcPr>
          <w:p w:rsidR="00A32067" w:rsidRDefault="00A32067">
            <w:pPr>
              <w:jc w:val="center"/>
            </w:pPr>
            <w:r>
              <w:t>1</w:t>
            </w:r>
          </w:p>
        </w:tc>
        <w:tc>
          <w:tcPr>
            <w:tcW w:w="3345" w:type="dxa"/>
          </w:tcPr>
          <w:p w:rsidR="00A32067" w:rsidRDefault="00A32067">
            <w:pPr>
              <w:jc w:val="center"/>
            </w:pPr>
            <w:r>
              <w:t>500</w:t>
            </w:r>
          </w:p>
        </w:tc>
        <w:tc>
          <w:tcPr>
            <w:tcW w:w="3492" w:type="dxa"/>
          </w:tcPr>
          <w:p w:rsidR="00A32067" w:rsidRDefault="00A32067">
            <w:pPr>
              <w:jc w:val="center"/>
            </w:pPr>
            <w:r>
              <w:t>16.5</w:t>
            </w:r>
          </w:p>
        </w:tc>
      </w:tr>
      <w:tr w:rsidR="00A32067">
        <w:trPr>
          <w:trHeight w:val="433"/>
          <w:jc w:val="center"/>
        </w:trPr>
        <w:tc>
          <w:tcPr>
            <w:tcW w:w="1685" w:type="dxa"/>
          </w:tcPr>
          <w:p w:rsidR="00A32067" w:rsidRDefault="00A32067">
            <w:pPr>
              <w:jc w:val="center"/>
            </w:pPr>
            <w:r>
              <w:t>2</w:t>
            </w:r>
          </w:p>
        </w:tc>
        <w:tc>
          <w:tcPr>
            <w:tcW w:w="3345" w:type="dxa"/>
          </w:tcPr>
          <w:p w:rsidR="00A32067" w:rsidRDefault="00A32067">
            <w:pPr>
              <w:jc w:val="center"/>
            </w:pPr>
            <w:r>
              <w:t>1000</w:t>
            </w:r>
          </w:p>
        </w:tc>
        <w:tc>
          <w:tcPr>
            <w:tcW w:w="3492" w:type="dxa"/>
          </w:tcPr>
          <w:p w:rsidR="00A32067" w:rsidRDefault="00A32067">
            <w:pPr>
              <w:jc w:val="center"/>
            </w:pPr>
            <w:r>
              <w:t>30.1</w:t>
            </w:r>
          </w:p>
        </w:tc>
      </w:tr>
      <w:tr w:rsidR="00A32067">
        <w:trPr>
          <w:trHeight w:val="433"/>
          <w:jc w:val="center"/>
        </w:trPr>
        <w:tc>
          <w:tcPr>
            <w:tcW w:w="1685" w:type="dxa"/>
          </w:tcPr>
          <w:p w:rsidR="00A32067" w:rsidRDefault="00A32067">
            <w:pPr>
              <w:jc w:val="center"/>
            </w:pPr>
            <w:r>
              <w:t>3</w:t>
            </w:r>
          </w:p>
        </w:tc>
        <w:tc>
          <w:tcPr>
            <w:tcW w:w="3345" w:type="dxa"/>
          </w:tcPr>
          <w:p w:rsidR="00A32067" w:rsidRDefault="00A32067">
            <w:pPr>
              <w:jc w:val="center"/>
            </w:pPr>
            <w:r>
              <w:t>3000</w:t>
            </w:r>
          </w:p>
        </w:tc>
        <w:tc>
          <w:tcPr>
            <w:tcW w:w="3492" w:type="dxa"/>
          </w:tcPr>
          <w:p w:rsidR="00A32067" w:rsidRDefault="00A32067">
            <w:pPr>
              <w:jc w:val="center"/>
            </w:pPr>
            <w:r>
              <w:t>78.1</w:t>
            </w:r>
          </w:p>
        </w:tc>
      </w:tr>
      <w:tr w:rsidR="00A32067">
        <w:trPr>
          <w:trHeight w:val="433"/>
          <w:jc w:val="center"/>
        </w:trPr>
        <w:tc>
          <w:tcPr>
            <w:tcW w:w="1685" w:type="dxa"/>
          </w:tcPr>
          <w:p w:rsidR="00A32067" w:rsidRDefault="00A32067">
            <w:pPr>
              <w:jc w:val="center"/>
            </w:pPr>
            <w:r>
              <w:t>4</w:t>
            </w:r>
          </w:p>
        </w:tc>
        <w:tc>
          <w:tcPr>
            <w:tcW w:w="3345" w:type="dxa"/>
          </w:tcPr>
          <w:p w:rsidR="00A32067" w:rsidRDefault="00A32067">
            <w:pPr>
              <w:jc w:val="center"/>
            </w:pPr>
            <w:r>
              <w:t>5000</w:t>
            </w:r>
          </w:p>
        </w:tc>
        <w:tc>
          <w:tcPr>
            <w:tcW w:w="3492" w:type="dxa"/>
          </w:tcPr>
          <w:p w:rsidR="00A32067" w:rsidRDefault="00A32067">
            <w:pPr>
              <w:jc w:val="center"/>
            </w:pPr>
            <w:r>
              <w:t>120.8</w:t>
            </w:r>
          </w:p>
        </w:tc>
      </w:tr>
      <w:tr w:rsidR="00A32067">
        <w:trPr>
          <w:trHeight w:val="433"/>
          <w:jc w:val="center"/>
        </w:trPr>
        <w:tc>
          <w:tcPr>
            <w:tcW w:w="1685" w:type="dxa"/>
          </w:tcPr>
          <w:p w:rsidR="00A32067" w:rsidRDefault="00A32067">
            <w:pPr>
              <w:jc w:val="center"/>
            </w:pPr>
            <w:r>
              <w:t>5</w:t>
            </w:r>
          </w:p>
        </w:tc>
        <w:tc>
          <w:tcPr>
            <w:tcW w:w="3345" w:type="dxa"/>
          </w:tcPr>
          <w:p w:rsidR="00A32067" w:rsidRDefault="00A32067">
            <w:pPr>
              <w:jc w:val="center"/>
            </w:pPr>
            <w:r>
              <w:t>8000</w:t>
            </w:r>
          </w:p>
        </w:tc>
        <w:tc>
          <w:tcPr>
            <w:tcW w:w="3492" w:type="dxa"/>
          </w:tcPr>
          <w:p w:rsidR="00A32067" w:rsidRDefault="00A32067">
            <w:pPr>
              <w:jc w:val="center"/>
            </w:pPr>
            <w:r>
              <w:t>181.0</w:t>
            </w:r>
          </w:p>
        </w:tc>
      </w:tr>
      <w:tr w:rsidR="00A32067">
        <w:trPr>
          <w:trHeight w:val="433"/>
          <w:jc w:val="center"/>
        </w:trPr>
        <w:tc>
          <w:tcPr>
            <w:tcW w:w="1685" w:type="dxa"/>
          </w:tcPr>
          <w:p w:rsidR="00A32067" w:rsidRDefault="00A32067">
            <w:pPr>
              <w:jc w:val="center"/>
            </w:pPr>
            <w:r>
              <w:t>6</w:t>
            </w:r>
          </w:p>
        </w:tc>
        <w:tc>
          <w:tcPr>
            <w:tcW w:w="3345" w:type="dxa"/>
          </w:tcPr>
          <w:p w:rsidR="00A32067" w:rsidRDefault="00A32067">
            <w:pPr>
              <w:jc w:val="center"/>
            </w:pPr>
            <w:r>
              <w:t>10000</w:t>
            </w:r>
          </w:p>
        </w:tc>
        <w:tc>
          <w:tcPr>
            <w:tcW w:w="3492" w:type="dxa"/>
          </w:tcPr>
          <w:p w:rsidR="00A32067" w:rsidRDefault="00A32067">
            <w:pPr>
              <w:jc w:val="center"/>
            </w:pPr>
            <w:r>
              <w:t>218.6</w:t>
            </w:r>
          </w:p>
        </w:tc>
      </w:tr>
      <w:tr w:rsidR="00A32067">
        <w:trPr>
          <w:trHeight w:val="433"/>
          <w:jc w:val="center"/>
        </w:trPr>
        <w:tc>
          <w:tcPr>
            <w:tcW w:w="1685" w:type="dxa"/>
          </w:tcPr>
          <w:p w:rsidR="00A32067" w:rsidRDefault="00A32067">
            <w:pPr>
              <w:jc w:val="center"/>
            </w:pPr>
            <w:r>
              <w:t>7</w:t>
            </w:r>
          </w:p>
        </w:tc>
        <w:tc>
          <w:tcPr>
            <w:tcW w:w="3345" w:type="dxa"/>
          </w:tcPr>
          <w:p w:rsidR="00A32067" w:rsidRDefault="00A32067">
            <w:pPr>
              <w:jc w:val="center"/>
            </w:pPr>
            <w:r>
              <w:t>20000</w:t>
            </w:r>
          </w:p>
        </w:tc>
        <w:tc>
          <w:tcPr>
            <w:tcW w:w="3492" w:type="dxa"/>
          </w:tcPr>
          <w:p w:rsidR="00A32067" w:rsidRDefault="00A32067">
            <w:pPr>
              <w:jc w:val="center"/>
            </w:pPr>
            <w:r>
              <w:t>393.4</w:t>
            </w:r>
          </w:p>
        </w:tc>
      </w:tr>
      <w:tr w:rsidR="00A32067">
        <w:trPr>
          <w:trHeight w:val="433"/>
          <w:jc w:val="center"/>
        </w:trPr>
        <w:tc>
          <w:tcPr>
            <w:tcW w:w="1685" w:type="dxa"/>
          </w:tcPr>
          <w:p w:rsidR="00A32067" w:rsidRDefault="00A32067">
            <w:pPr>
              <w:jc w:val="center"/>
            </w:pPr>
            <w:r>
              <w:t>8</w:t>
            </w:r>
          </w:p>
        </w:tc>
        <w:tc>
          <w:tcPr>
            <w:tcW w:w="3345" w:type="dxa"/>
          </w:tcPr>
          <w:p w:rsidR="00A32067" w:rsidRDefault="00A32067">
            <w:pPr>
              <w:jc w:val="center"/>
            </w:pPr>
            <w:r>
              <w:t>40000</w:t>
            </w:r>
          </w:p>
        </w:tc>
        <w:tc>
          <w:tcPr>
            <w:tcW w:w="3492" w:type="dxa"/>
          </w:tcPr>
          <w:p w:rsidR="00A32067" w:rsidRDefault="00A32067">
            <w:pPr>
              <w:jc w:val="center"/>
            </w:pPr>
            <w:r>
              <w:t>708.2</w:t>
            </w:r>
          </w:p>
        </w:tc>
      </w:tr>
      <w:tr w:rsidR="00A32067">
        <w:trPr>
          <w:trHeight w:val="433"/>
          <w:jc w:val="center"/>
        </w:trPr>
        <w:tc>
          <w:tcPr>
            <w:tcW w:w="1685" w:type="dxa"/>
          </w:tcPr>
          <w:p w:rsidR="00A32067" w:rsidRDefault="00A32067">
            <w:pPr>
              <w:jc w:val="center"/>
            </w:pPr>
            <w:r>
              <w:t>9</w:t>
            </w:r>
          </w:p>
        </w:tc>
        <w:tc>
          <w:tcPr>
            <w:tcW w:w="3345" w:type="dxa"/>
          </w:tcPr>
          <w:p w:rsidR="00A32067" w:rsidRDefault="00A32067">
            <w:pPr>
              <w:jc w:val="center"/>
            </w:pPr>
            <w:r>
              <w:t>60000</w:t>
            </w:r>
          </w:p>
        </w:tc>
        <w:tc>
          <w:tcPr>
            <w:tcW w:w="3492" w:type="dxa"/>
          </w:tcPr>
          <w:p w:rsidR="00A32067" w:rsidRDefault="00A32067">
            <w:pPr>
              <w:jc w:val="center"/>
            </w:pPr>
            <w:r>
              <w:t>991.4</w:t>
            </w:r>
          </w:p>
        </w:tc>
      </w:tr>
      <w:tr w:rsidR="00A32067">
        <w:trPr>
          <w:trHeight w:val="433"/>
          <w:jc w:val="center"/>
        </w:trPr>
        <w:tc>
          <w:tcPr>
            <w:tcW w:w="1685" w:type="dxa"/>
          </w:tcPr>
          <w:p w:rsidR="00A32067" w:rsidRDefault="00A32067">
            <w:pPr>
              <w:jc w:val="center"/>
            </w:pPr>
            <w:r>
              <w:t>10</w:t>
            </w:r>
          </w:p>
        </w:tc>
        <w:tc>
          <w:tcPr>
            <w:tcW w:w="3345" w:type="dxa"/>
          </w:tcPr>
          <w:p w:rsidR="00A32067" w:rsidRDefault="00A32067">
            <w:pPr>
              <w:jc w:val="center"/>
            </w:pPr>
            <w:r>
              <w:t>80000</w:t>
            </w:r>
          </w:p>
        </w:tc>
        <w:tc>
          <w:tcPr>
            <w:tcW w:w="3492" w:type="dxa"/>
          </w:tcPr>
          <w:p w:rsidR="00A32067" w:rsidRDefault="00A32067">
            <w:pPr>
              <w:jc w:val="center"/>
            </w:pPr>
            <w:r>
              <w:t>1255.8</w:t>
            </w:r>
          </w:p>
        </w:tc>
      </w:tr>
      <w:tr w:rsidR="00A32067">
        <w:trPr>
          <w:trHeight w:val="433"/>
          <w:jc w:val="center"/>
        </w:trPr>
        <w:tc>
          <w:tcPr>
            <w:tcW w:w="1685" w:type="dxa"/>
          </w:tcPr>
          <w:p w:rsidR="00A32067" w:rsidRDefault="00A32067">
            <w:pPr>
              <w:jc w:val="center"/>
            </w:pPr>
            <w:r>
              <w:t>11</w:t>
            </w:r>
          </w:p>
        </w:tc>
        <w:tc>
          <w:tcPr>
            <w:tcW w:w="3345" w:type="dxa"/>
          </w:tcPr>
          <w:p w:rsidR="00A32067" w:rsidRDefault="00A32067">
            <w:pPr>
              <w:jc w:val="center"/>
            </w:pPr>
            <w:r>
              <w:t>100000</w:t>
            </w:r>
          </w:p>
        </w:tc>
        <w:tc>
          <w:tcPr>
            <w:tcW w:w="3492" w:type="dxa"/>
          </w:tcPr>
          <w:p w:rsidR="00A32067" w:rsidRDefault="00A32067">
            <w:pPr>
              <w:jc w:val="center"/>
            </w:pPr>
            <w:r>
              <w:t>1507.0</w:t>
            </w:r>
          </w:p>
        </w:tc>
      </w:tr>
      <w:tr w:rsidR="00A32067">
        <w:trPr>
          <w:trHeight w:val="433"/>
          <w:jc w:val="center"/>
        </w:trPr>
        <w:tc>
          <w:tcPr>
            <w:tcW w:w="1685" w:type="dxa"/>
          </w:tcPr>
          <w:p w:rsidR="00A32067" w:rsidRDefault="00A32067">
            <w:pPr>
              <w:jc w:val="center"/>
            </w:pPr>
            <w:r>
              <w:t>12</w:t>
            </w:r>
          </w:p>
        </w:tc>
        <w:tc>
          <w:tcPr>
            <w:tcW w:w="3345" w:type="dxa"/>
          </w:tcPr>
          <w:p w:rsidR="00A32067" w:rsidRDefault="00A32067">
            <w:pPr>
              <w:jc w:val="center"/>
            </w:pPr>
            <w:r>
              <w:t>200000</w:t>
            </w:r>
          </w:p>
        </w:tc>
        <w:tc>
          <w:tcPr>
            <w:tcW w:w="3492" w:type="dxa"/>
          </w:tcPr>
          <w:p w:rsidR="00A32067" w:rsidRDefault="00A32067">
            <w:pPr>
              <w:jc w:val="center"/>
            </w:pPr>
            <w:r>
              <w:t>2712.5</w:t>
            </w:r>
          </w:p>
        </w:tc>
      </w:tr>
      <w:tr w:rsidR="00A32067">
        <w:trPr>
          <w:trHeight w:val="433"/>
          <w:jc w:val="center"/>
        </w:trPr>
        <w:tc>
          <w:tcPr>
            <w:tcW w:w="1685" w:type="dxa"/>
          </w:tcPr>
          <w:p w:rsidR="00A32067" w:rsidRDefault="00A32067">
            <w:pPr>
              <w:jc w:val="center"/>
            </w:pPr>
            <w:r>
              <w:t>13</w:t>
            </w:r>
          </w:p>
        </w:tc>
        <w:tc>
          <w:tcPr>
            <w:tcW w:w="3345" w:type="dxa"/>
          </w:tcPr>
          <w:p w:rsidR="00A32067" w:rsidRDefault="00A32067">
            <w:pPr>
              <w:jc w:val="center"/>
            </w:pPr>
            <w:r>
              <w:t>400000</w:t>
            </w:r>
          </w:p>
        </w:tc>
        <w:tc>
          <w:tcPr>
            <w:tcW w:w="3492" w:type="dxa"/>
          </w:tcPr>
          <w:p w:rsidR="00A32067" w:rsidRDefault="00A32067">
            <w:pPr>
              <w:jc w:val="center"/>
            </w:pPr>
            <w:r>
              <w:t>4882.6</w:t>
            </w:r>
          </w:p>
        </w:tc>
      </w:tr>
      <w:tr w:rsidR="00A32067">
        <w:trPr>
          <w:trHeight w:val="433"/>
          <w:jc w:val="center"/>
        </w:trPr>
        <w:tc>
          <w:tcPr>
            <w:tcW w:w="1685" w:type="dxa"/>
          </w:tcPr>
          <w:p w:rsidR="00A32067" w:rsidRDefault="00A32067">
            <w:pPr>
              <w:jc w:val="center"/>
            </w:pPr>
            <w:r>
              <w:t>14</w:t>
            </w:r>
          </w:p>
        </w:tc>
        <w:tc>
          <w:tcPr>
            <w:tcW w:w="3345" w:type="dxa"/>
          </w:tcPr>
          <w:p w:rsidR="00A32067" w:rsidRDefault="00A32067">
            <w:pPr>
              <w:jc w:val="center"/>
            </w:pPr>
            <w:r>
              <w:t>600000</w:t>
            </w:r>
          </w:p>
        </w:tc>
        <w:tc>
          <w:tcPr>
            <w:tcW w:w="3492" w:type="dxa"/>
          </w:tcPr>
          <w:p w:rsidR="00A32067" w:rsidRDefault="00A32067">
            <w:pPr>
              <w:jc w:val="center"/>
            </w:pPr>
            <w:r>
              <w:t>6835.6</w:t>
            </w:r>
          </w:p>
        </w:tc>
      </w:tr>
      <w:tr w:rsidR="00A32067">
        <w:trPr>
          <w:trHeight w:val="433"/>
          <w:jc w:val="center"/>
        </w:trPr>
        <w:tc>
          <w:tcPr>
            <w:tcW w:w="1685" w:type="dxa"/>
          </w:tcPr>
          <w:p w:rsidR="00A32067" w:rsidRDefault="00A32067">
            <w:pPr>
              <w:jc w:val="center"/>
            </w:pPr>
            <w:r>
              <w:t>15</w:t>
            </w:r>
          </w:p>
        </w:tc>
        <w:tc>
          <w:tcPr>
            <w:tcW w:w="3345" w:type="dxa"/>
          </w:tcPr>
          <w:p w:rsidR="00A32067" w:rsidRDefault="00A32067">
            <w:pPr>
              <w:jc w:val="center"/>
            </w:pPr>
            <w:r>
              <w:t>800000</w:t>
            </w:r>
          </w:p>
        </w:tc>
        <w:tc>
          <w:tcPr>
            <w:tcW w:w="3492" w:type="dxa"/>
          </w:tcPr>
          <w:p w:rsidR="00A32067" w:rsidRDefault="00A32067">
            <w:pPr>
              <w:jc w:val="center"/>
            </w:pPr>
            <w:r>
              <w:t>8658.4</w:t>
            </w:r>
          </w:p>
        </w:tc>
      </w:tr>
      <w:tr w:rsidR="00A32067">
        <w:trPr>
          <w:trHeight w:val="433"/>
          <w:jc w:val="center"/>
        </w:trPr>
        <w:tc>
          <w:tcPr>
            <w:tcW w:w="1685" w:type="dxa"/>
          </w:tcPr>
          <w:p w:rsidR="00A32067" w:rsidRDefault="00A32067">
            <w:pPr>
              <w:jc w:val="center"/>
            </w:pPr>
            <w:r>
              <w:t>16</w:t>
            </w:r>
          </w:p>
        </w:tc>
        <w:tc>
          <w:tcPr>
            <w:tcW w:w="3345" w:type="dxa"/>
          </w:tcPr>
          <w:p w:rsidR="00A32067" w:rsidRDefault="00A32067">
            <w:pPr>
              <w:jc w:val="center"/>
            </w:pPr>
            <w:r>
              <w:t>1000000</w:t>
            </w:r>
          </w:p>
        </w:tc>
        <w:tc>
          <w:tcPr>
            <w:tcW w:w="3492" w:type="dxa"/>
          </w:tcPr>
          <w:p w:rsidR="00A32067" w:rsidRDefault="00A32067">
            <w:pPr>
              <w:jc w:val="center"/>
            </w:pPr>
            <w:r>
              <w:t>10390.1</w:t>
            </w:r>
          </w:p>
        </w:tc>
      </w:tr>
    </w:tbl>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注：计费额大于</w:t>
      </w:r>
      <w:r>
        <w:rPr>
          <w:rFonts w:ascii="Times New Roman" w:hAnsi="Times New Roman" w:cs="Times New Roman"/>
          <w:color w:val="000000"/>
          <w:sz w:val="22"/>
          <w:szCs w:val="22"/>
        </w:rPr>
        <w:t>1000000</w:t>
      </w:r>
      <w:r>
        <w:rPr>
          <w:rFonts w:ascii="Times New Roman" w:hAnsi="Times New Roman" w:hint="eastAsia"/>
          <w:color w:val="000000"/>
          <w:sz w:val="22"/>
          <w:szCs w:val="22"/>
        </w:rPr>
        <w:t>万元的，以计费额乘以</w:t>
      </w:r>
      <w:r>
        <w:rPr>
          <w:rFonts w:ascii="Times New Roman" w:hAnsi="Times New Roman" w:cs="Times New Roman"/>
          <w:color w:val="000000"/>
          <w:sz w:val="22"/>
          <w:szCs w:val="22"/>
        </w:rPr>
        <w:t>1.039%</w:t>
      </w:r>
      <w:r>
        <w:rPr>
          <w:rFonts w:ascii="Times New Roman" w:hAnsi="Times New Roman" w:hint="eastAsia"/>
          <w:color w:val="000000"/>
          <w:sz w:val="22"/>
          <w:szCs w:val="22"/>
        </w:rPr>
        <w:t>的收费率计算收费基价。其他未包含的其收费由双方</w:t>
      </w:r>
    </w:p>
    <w:p w:rsidR="00A32067" w:rsidRDefault="00A32067">
      <w:pPr>
        <w:rPr>
          <w:color w:val="000000"/>
          <w:sz w:val="24"/>
          <w:szCs w:val="24"/>
        </w:rPr>
      </w:pPr>
    </w:p>
    <w:p w:rsidR="00A32067" w:rsidRDefault="00A32067">
      <w:pPr>
        <w:rPr>
          <w:color w:val="000000"/>
          <w:sz w:val="24"/>
          <w:szCs w:val="24"/>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附表三</w:t>
      </w:r>
    </w:p>
    <w:p w:rsidR="00A32067" w:rsidRDefault="00A32067">
      <w:pPr>
        <w:spacing w:line="360" w:lineRule="auto"/>
        <w:jc w:val="center"/>
        <w:rPr>
          <w:b/>
          <w:bCs/>
          <w:color w:val="000000"/>
          <w:sz w:val="28"/>
          <w:szCs w:val="28"/>
        </w:rPr>
      </w:pPr>
      <w:r>
        <w:rPr>
          <w:rFonts w:cs="宋体" w:hint="eastAsia"/>
          <w:b/>
          <w:bCs/>
          <w:color w:val="000000"/>
          <w:sz w:val="28"/>
          <w:szCs w:val="28"/>
        </w:rPr>
        <w:t>施工监理收费专业调整系数表</w:t>
      </w:r>
    </w:p>
    <w:p w:rsidR="00A32067" w:rsidRDefault="00A32067" w:rsidP="005431C7">
      <w:pPr>
        <w:spacing w:line="420" w:lineRule="exact"/>
        <w:ind w:firstLineChars="1150" w:firstLine="31680"/>
        <w:rPr>
          <w:color w:val="000000"/>
          <w:sz w:val="28"/>
          <w:szCs w:val="28"/>
        </w:rPr>
      </w:pPr>
      <w:r>
        <w:rPr>
          <w:rFonts w:cs="宋体" w:hint="eastAsia"/>
          <w:color w:val="000000"/>
          <w:sz w:val="28"/>
          <w:szCs w:val="28"/>
        </w:rPr>
        <w:t>工程类型专业调整系数</w:t>
      </w:r>
    </w:p>
    <w:p w:rsidR="00A32067" w:rsidRDefault="00A32067">
      <w:pPr>
        <w:spacing w:line="420" w:lineRule="exact"/>
        <w:rPr>
          <w:color w:val="000000"/>
        </w:rPr>
      </w:pPr>
      <w:r>
        <w:rPr>
          <w:color w:val="000000"/>
        </w:rPr>
        <w:t>1</w:t>
      </w:r>
      <w:r>
        <w:rPr>
          <w:rFonts w:cs="宋体" w:hint="eastAsia"/>
          <w:color w:val="000000"/>
        </w:rPr>
        <w:t>．矿山采选工程</w:t>
      </w:r>
    </w:p>
    <w:p w:rsidR="00A32067" w:rsidRDefault="00A32067">
      <w:pPr>
        <w:spacing w:line="420" w:lineRule="exact"/>
        <w:rPr>
          <w:color w:val="000000"/>
        </w:rPr>
      </w:pPr>
      <w:r>
        <w:rPr>
          <w:rFonts w:cs="宋体" w:hint="eastAsia"/>
          <w:color w:val="000000"/>
        </w:rPr>
        <w:t>黑色、有色、黄金、化学、非金属及其他矿采选工程</w:t>
      </w:r>
      <w:r>
        <w:rPr>
          <w:color w:val="000000"/>
        </w:rPr>
        <w:t xml:space="preserve">  0.9 </w:t>
      </w:r>
    </w:p>
    <w:p w:rsidR="00A32067" w:rsidRDefault="00A32067">
      <w:pPr>
        <w:spacing w:line="420" w:lineRule="exact"/>
        <w:rPr>
          <w:color w:val="000000"/>
        </w:rPr>
      </w:pPr>
      <w:r>
        <w:rPr>
          <w:rFonts w:cs="宋体" w:hint="eastAsia"/>
          <w:color w:val="000000"/>
        </w:rPr>
        <w:t xml:space="preserve">选煤及其他煤炭工程　　　　　</w:t>
      </w:r>
      <w:r>
        <w:rPr>
          <w:color w:val="000000"/>
        </w:rPr>
        <w:t xml:space="preserve"> 1.0   </w:t>
      </w:r>
    </w:p>
    <w:p w:rsidR="00A32067" w:rsidRDefault="00A32067">
      <w:pPr>
        <w:spacing w:line="420" w:lineRule="exact"/>
        <w:rPr>
          <w:color w:val="000000"/>
        </w:rPr>
      </w:pPr>
      <w:r>
        <w:rPr>
          <w:rFonts w:cs="宋体" w:hint="eastAsia"/>
          <w:color w:val="000000"/>
        </w:rPr>
        <w:t>矿井工程，铀矿采选工程</w:t>
      </w:r>
      <w:r>
        <w:rPr>
          <w:color w:val="000000"/>
        </w:rPr>
        <w:t xml:space="preserve">                          1.1   </w:t>
      </w:r>
    </w:p>
    <w:p w:rsidR="00A32067" w:rsidRDefault="00A32067">
      <w:pPr>
        <w:spacing w:line="420" w:lineRule="exact"/>
        <w:rPr>
          <w:color w:val="000000"/>
        </w:rPr>
      </w:pPr>
      <w:r>
        <w:rPr>
          <w:color w:val="000000"/>
        </w:rPr>
        <w:t>2.</w:t>
      </w:r>
      <w:r>
        <w:rPr>
          <w:rFonts w:cs="宋体" w:hint="eastAsia"/>
          <w:color w:val="000000"/>
        </w:rPr>
        <w:t>加工冶炼工程</w:t>
      </w:r>
    </w:p>
    <w:p w:rsidR="00A32067" w:rsidRDefault="00A32067">
      <w:pPr>
        <w:spacing w:line="420" w:lineRule="exact"/>
        <w:rPr>
          <w:color w:val="000000"/>
        </w:rPr>
      </w:pPr>
      <w:r>
        <w:rPr>
          <w:rFonts w:cs="宋体" w:hint="eastAsia"/>
          <w:color w:val="000000"/>
        </w:rPr>
        <w:t xml:space="preserve">冶炼工程　　　　　　　　　　　　　　　　　　　　</w:t>
      </w:r>
      <w:r>
        <w:rPr>
          <w:color w:val="000000"/>
        </w:rPr>
        <w:t xml:space="preserve"> 0.9</w:t>
      </w:r>
    </w:p>
    <w:p w:rsidR="00A32067" w:rsidRDefault="00A32067">
      <w:pPr>
        <w:spacing w:line="420" w:lineRule="exact"/>
        <w:rPr>
          <w:color w:val="000000"/>
        </w:rPr>
      </w:pPr>
      <w:r>
        <w:rPr>
          <w:rFonts w:cs="宋体" w:hint="eastAsia"/>
          <w:color w:val="000000"/>
        </w:rPr>
        <w:t>船舶水工工程</w:t>
      </w:r>
      <w:r>
        <w:rPr>
          <w:color w:val="000000"/>
        </w:rPr>
        <w:t xml:space="preserve">                                     1.0  </w:t>
      </w:r>
    </w:p>
    <w:p w:rsidR="00A32067" w:rsidRDefault="00A32067">
      <w:pPr>
        <w:spacing w:line="420" w:lineRule="exact"/>
        <w:rPr>
          <w:color w:val="000000"/>
        </w:rPr>
      </w:pPr>
      <w:r>
        <w:rPr>
          <w:rFonts w:cs="宋体" w:hint="eastAsia"/>
          <w:color w:val="000000"/>
        </w:rPr>
        <w:t>各类加工、冶炼工程</w:t>
      </w:r>
      <w:r>
        <w:rPr>
          <w:color w:val="000000"/>
        </w:rPr>
        <w:t xml:space="preserve">                               1.0</w:t>
      </w:r>
    </w:p>
    <w:p w:rsidR="00A32067" w:rsidRDefault="00A32067">
      <w:pPr>
        <w:spacing w:line="420" w:lineRule="exact"/>
        <w:rPr>
          <w:color w:val="000000"/>
        </w:rPr>
      </w:pPr>
      <w:r>
        <w:rPr>
          <w:rFonts w:cs="宋体" w:hint="eastAsia"/>
          <w:color w:val="000000"/>
        </w:rPr>
        <w:t>核加工工程</w:t>
      </w:r>
      <w:r>
        <w:rPr>
          <w:color w:val="000000"/>
        </w:rPr>
        <w:t xml:space="preserve">                                       1.2</w:t>
      </w:r>
    </w:p>
    <w:p w:rsidR="00A32067" w:rsidRDefault="00A32067">
      <w:pPr>
        <w:spacing w:line="420" w:lineRule="exact"/>
        <w:rPr>
          <w:color w:val="000000"/>
        </w:rPr>
      </w:pPr>
      <w:r>
        <w:rPr>
          <w:color w:val="000000"/>
        </w:rPr>
        <w:t>3.</w:t>
      </w:r>
      <w:r>
        <w:rPr>
          <w:rFonts w:cs="宋体" w:hint="eastAsia"/>
          <w:color w:val="000000"/>
        </w:rPr>
        <w:t>石油化工工程</w:t>
      </w:r>
    </w:p>
    <w:p w:rsidR="00A32067" w:rsidRDefault="00A32067">
      <w:pPr>
        <w:spacing w:line="420" w:lineRule="exact"/>
        <w:rPr>
          <w:color w:val="000000"/>
        </w:rPr>
      </w:pPr>
      <w:r>
        <w:rPr>
          <w:rFonts w:cs="宋体" w:hint="eastAsia"/>
          <w:color w:val="000000"/>
        </w:rPr>
        <w:t>石油工程</w:t>
      </w:r>
      <w:r>
        <w:rPr>
          <w:color w:val="000000"/>
        </w:rPr>
        <w:t xml:space="preserve">    0.9</w:t>
      </w:r>
    </w:p>
    <w:p w:rsidR="00A32067" w:rsidRDefault="00A32067">
      <w:pPr>
        <w:spacing w:line="420" w:lineRule="exact"/>
        <w:rPr>
          <w:color w:val="000000"/>
        </w:rPr>
      </w:pPr>
      <w:r>
        <w:rPr>
          <w:rFonts w:cs="宋体" w:hint="eastAsia"/>
          <w:color w:val="000000"/>
        </w:rPr>
        <w:t>化工、石化、化纤、医药工程</w:t>
      </w:r>
      <w:r>
        <w:rPr>
          <w:color w:val="000000"/>
        </w:rPr>
        <w:t xml:space="preserve">    1.0</w:t>
      </w:r>
    </w:p>
    <w:p w:rsidR="00A32067" w:rsidRDefault="00A32067">
      <w:pPr>
        <w:spacing w:line="420" w:lineRule="exact"/>
        <w:rPr>
          <w:color w:val="000000"/>
        </w:rPr>
      </w:pPr>
      <w:r>
        <w:rPr>
          <w:rFonts w:cs="宋体" w:hint="eastAsia"/>
          <w:color w:val="000000"/>
        </w:rPr>
        <w:t>核化工工程</w:t>
      </w:r>
      <w:r>
        <w:rPr>
          <w:color w:val="000000"/>
        </w:rPr>
        <w:t xml:space="preserve">    1.2</w:t>
      </w:r>
    </w:p>
    <w:p w:rsidR="00A32067" w:rsidRDefault="00A32067">
      <w:pPr>
        <w:spacing w:line="420" w:lineRule="exact"/>
        <w:rPr>
          <w:color w:val="000000"/>
        </w:rPr>
      </w:pPr>
      <w:r>
        <w:rPr>
          <w:color w:val="000000"/>
        </w:rPr>
        <w:t>4.</w:t>
      </w:r>
      <w:r>
        <w:rPr>
          <w:rFonts w:cs="宋体" w:hint="eastAsia"/>
          <w:color w:val="000000"/>
        </w:rPr>
        <w:t>水利电力工程</w:t>
      </w:r>
    </w:p>
    <w:p w:rsidR="00A32067" w:rsidRDefault="00A32067">
      <w:pPr>
        <w:spacing w:line="420" w:lineRule="exact"/>
        <w:rPr>
          <w:color w:val="000000"/>
        </w:rPr>
      </w:pPr>
      <w:r>
        <w:rPr>
          <w:rFonts w:cs="宋体" w:hint="eastAsia"/>
          <w:color w:val="000000"/>
        </w:rPr>
        <w:t>风力发电、其他水利工程</w:t>
      </w:r>
      <w:r>
        <w:rPr>
          <w:color w:val="000000"/>
        </w:rPr>
        <w:t xml:space="preserve">    0.9</w:t>
      </w:r>
    </w:p>
    <w:p w:rsidR="00A32067" w:rsidRDefault="00A32067">
      <w:pPr>
        <w:spacing w:line="420" w:lineRule="exact"/>
        <w:rPr>
          <w:color w:val="000000"/>
        </w:rPr>
      </w:pPr>
      <w:r>
        <w:rPr>
          <w:rFonts w:cs="宋体" w:hint="eastAsia"/>
          <w:color w:val="000000"/>
        </w:rPr>
        <w:t>火电工程、送变电工程</w:t>
      </w:r>
      <w:r>
        <w:rPr>
          <w:color w:val="000000"/>
        </w:rPr>
        <w:t xml:space="preserve">  1.0</w:t>
      </w:r>
    </w:p>
    <w:p w:rsidR="00A32067" w:rsidRDefault="00A32067">
      <w:pPr>
        <w:spacing w:line="420" w:lineRule="exact"/>
        <w:rPr>
          <w:color w:val="000000"/>
        </w:rPr>
      </w:pPr>
      <w:r>
        <w:rPr>
          <w:rFonts w:cs="宋体" w:hint="eastAsia"/>
          <w:color w:val="000000"/>
        </w:rPr>
        <w:t>核能、水电、水库工程</w:t>
      </w:r>
      <w:r>
        <w:rPr>
          <w:color w:val="000000"/>
        </w:rPr>
        <w:t xml:space="preserve">   1.2</w:t>
      </w:r>
    </w:p>
    <w:p w:rsidR="00A32067" w:rsidRDefault="00A32067">
      <w:pPr>
        <w:spacing w:line="420" w:lineRule="exact"/>
        <w:rPr>
          <w:color w:val="000000"/>
        </w:rPr>
      </w:pPr>
      <w:r>
        <w:rPr>
          <w:color w:val="000000"/>
        </w:rPr>
        <w:t>5</w:t>
      </w:r>
      <w:r>
        <w:rPr>
          <w:rFonts w:cs="宋体" w:hint="eastAsia"/>
          <w:color w:val="000000"/>
        </w:rPr>
        <w:t>．交通运输工程</w:t>
      </w:r>
    </w:p>
    <w:p w:rsidR="00A32067" w:rsidRDefault="00A32067">
      <w:pPr>
        <w:spacing w:line="420" w:lineRule="exact"/>
        <w:rPr>
          <w:color w:val="000000"/>
        </w:rPr>
      </w:pPr>
      <w:r>
        <w:rPr>
          <w:rFonts w:cs="宋体" w:hint="eastAsia"/>
          <w:color w:val="000000"/>
        </w:rPr>
        <w:t>机场场道、机场空管工程和助航灯光工程</w:t>
      </w:r>
      <w:r>
        <w:rPr>
          <w:color w:val="000000"/>
        </w:rPr>
        <w:t xml:space="preserve">   0.9</w:t>
      </w:r>
    </w:p>
    <w:p w:rsidR="00A32067" w:rsidRDefault="00A32067">
      <w:pPr>
        <w:spacing w:line="420" w:lineRule="exact"/>
        <w:rPr>
          <w:color w:val="000000"/>
        </w:rPr>
      </w:pPr>
      <w:r>
        <w:rPr>
          <w:rFonts w:cs="宋体" w:hint="eastAsia"/>
          <w:color w:val="000000"/>
        </w:rPr>
        <w:t>铁路、公路、城市道路、轻轨工程</w:t>
      </w:r>
      <w:r>
        <w:rPr>
          <w:color w:val="000000"/>
        </w:rPr>
        <w:t xml:space="preserve">  1.0</w:t>
      </w:r>
    </w:p>
    <w:p w:rsidR="00A32067" w:rsidRDefault="00A32067">
      <w:pPr>
        <w:spacing w:line="420" w:lineRule="exact"/>
        <w:rPr>
          <w:color w:val="000000"/>
        </w:rPr>
      </w:pPr>
      <w:r>
        <w:rPr>
          <w:rFonts w:cs="宋体" w:hint="eastAsia"/>
          <w:color w:val="000000"/>
        </w:rPr>
        <w:t>水运、地铁、桥梁、隧道、索道工程</w:t>
      </w:r>
      <w:r>
        <w:rPr>
          <w:color w:val="000000"/>
        </w:rPr>
        <w:t xml:space="preserve">  1.1</w:t>
      </w:r>
    </w:p>
    <w:p w:rsidR="00A32067" w:rsidRDefault="00A32067">
      <w:pPr>
        <w:spacing w:line="420" w:lineRule="exact"/>
        <w:rPr>
          <w:color w:val="000000"/>
        </w:rPr>
      </w:pPr>
      <w:r>
        <w:rPr>
          <w:color w:val="000000"/>
        </w:rPr>
        <w:t>6</w:t>
      </w:r>
      <w:r>
        <w:rPr>
          <w:rFonts w:cs="宋体" w:hint="eastAsia"/>
          <w:color w:val="000000"/>
        </w:rPr>
        <w:t>．建筑市政工程</w:t>
      </w:r>
    </w:p>
    <w:p w:rsidR="00A32067" w:rsidRDefault="00A32067">
      <w:pPr>
        <w:spacing w:line="420" w:lineRule="exact"/>
        <w:rPr>
          <w:color w:val="000000"/>
        </w:rPr>
      </w:pPr>
      <w:r>
        <w:rPr>
          <w:rFonts w:cs="宋体" w:hint="eastAsia"/>
          <w:color w:val="000000"/>
        </w:rPr>
        <w:t>园林绿化工程</w:t>
      </w:r>
      <w:r>
        <w:rPr>
          <w:color w:val="000000"/>
        </w:rPr>
        <w:t xml:space="preserve">       0.8</w:t>
      </w:r>
    </w:p>
    <w:p w:rsidR="00A32067" w:rsidRDefault="00A32067">
      <w:pPr>
        <w:spacing w:line="420" w:lineRule="exact"/>
        <w:rPr>
          <w:color w:val="000000"/>
        </w:rPr>
      </w:pPr>
      <w:r>
        <w:rPr>
          <w:rFonts w:cs="宋体" w:hint="eastAsia"/>
          <w:color w:val="000000"/>
        </w:rPr>
        <w:t>建筑、人防、市政公用工程</w:t>
      </w:r>
      <w:r>
        <w:rPr>
          <w:color w:val="000000"/>
        </w:rPr>
        <w:t xml:space="preserve"> 1.0</w:t>
      </w:r>
    </w:p>
    <w:p w:rsidR="00A32067" w:rsidRDefault="00A32067">
      <w:pPr>
        <w:spacing w:line="420" w:lineRule="exact"/>
        <w:rPr>
          <w:color w:val="000000"/>
        </w:rPr>
      </w:pPr>
      <w:r>
        <w:rPr>
          <w:rFonts w:cs="宋体" w:hint="eastAsia"/>
          <w:color w:val="000000"/>
        </w:rPr>
        <w:t>邮电、电信、广播电视工程</w:t>
      </w:r>
      <w:r>
        <w:rPr>
          <w:color w:val="000000"/>
        </w:rPr>
        <w:t xml:space="preserve">   1.0</w:t>
      </w:r>
    </w:p>
    <w:p w:rsidR="00A32067" w:rsidRDefault="00A32067">
      <w:pPr>
        <w:spacing w:line="420" w:lineRule="exact"/>
        <w:rPr>
          <w:color w:val="000000"/>
        </w:rPr>
      </w:pPr>
      <w:r>
        <w:rPr>
          <w:color w:val="000000"/>
        </w:rPr>
        <w:t>7</w:t>
      </w:r>
      <w:r>
        <w:rPr>
          <w:rFonts w:cs="宋体" w:hint="eastAsia"/>
          <w:color w:val="000000"/>
        </w:rPr>
        <w:t>．农业林业工程</w:t>
      </w:r>
    </w:p>
    <w:p w:rsidR="00A32067" w:rsidRDefault="00A32067">
      <w:pPr>
        <w:spacing w:line="420" w:lineRule="exact"/>
        <w:rPr>
          <w:color w:val="000000"/>
        </w:rPr>
      </w:pPr>
      <w:r>
        <w:rPr>
          <w:rFonts w:cs="宋体" w:hint="eastAsia"/>
          <w:color w:val="000000"/>
        </w:rPr>
        <w:t>农业工程</w:t>
      </w:r>
      <w:r>
        <w:rPr>
          <w:color w:val="000000"/>
        </w:rPr>
        <w:t xml:space="preserve">    0.9</w:t>
      </w:r>
    </w:p>
    <w:p w:rsidR="00A32067" w:rsidRDefault="00A32067">
      <w:pPr>
        <w:spacing w:line="420" w:lineRule="exact"/>
        <w:rPr>
          <w:color w:val="000000"/>
        </w:rPr>
      </w:pPr>
      <w:r>
        <w:rPr>
          <w:rFonts w:cs="宋体" w:hint="eastAsia"/>
          <w:color w:val="000000"/>
        </w:rPr>
        <w:t>林业工程</w:t>
      </w:r>
      <w:r>
        <w:rPr>
          <w:color w:val="000000"/>
        </w:rPr>
        <w:t xml:space="preserve">    0.9</w:t>
      </w:r>
    </w:p>
    <w:p w:rsidR="00A32067" w:rsidRDefault="00A32067">
      <w:pPr>
        <w:pStyle w:val="NormalWeb"/>
        <w:shd w:val="clear" w:color="auto" w:fill="FFFFFF"/>
        <w:spacing w:before="0" w:beforeAutospacing="0" w:after="0" w:afterAutospacing="0" w:line="360" w:lineRule="auto"/>
        <w:rPr>
          <w:rFonts w:ascii="Times New Roman" w:hAnsi="Times New Roman" w:cs="Times New Roman"/>
          <w:color w:val="000000"/>
        </w:rPr>
      </w:pPr>
      <w:r>
        <w:rPr>
          <w:rFonts w:ascii="Times New Roman" w:hAnsi="Times New Roman" w:cs="Times New Roman"/>
          <w:color w:val="000000"/>
          <w:sz w:val="28"/>
          <w:szCs w:val="28"/>
        </w:rPr>
        <w:br w:type="page"/>
      </w:r>
      <w:r>
        <w:rPr>
          <w:rFonts w:ascii="Times New Roman" w:hAnsi="Times New Roman" w:hint="eastAsia"/>
          <w:b/>
          <w:bCs/>
          <w:kern w:val="2"/>
        </w:rPr>
        <w:t>附表四</w:t>
      </w:r>
    </w:p>
    <w:p w:rsidR="00A32067" w:rsidRDefault="00A32067">
      <w:pPr>
        <w:pStyle w:val="NormalWeb"/>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hint="eastAsia"/>
          <w:b/>
          <w:bCs/>
          <w:kern w:val="2"/>
        </w:rPr>
        <w:t>建设工程监理与相关服务人员人工日费用标准</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0" w:type="dxa"/>
        </w:tblCellMar>
        <w:tblLook w:val="00A0"/>
      </w:tblPr>
      <w:tblGrid>
        <w:gridCol w:w="5519"/>
        <w:gridCol w:w="3179"/>
      </w:tblGrid>
      <w:tr w:rsidR="00A32067">
        <w:trPr>
          <w:trHeight w:val="889"/>
          <w:jc w:val="center"/>
        </w:trPr>
        <w:tc>
          <w:tcPr>
            <w:tcW w:w="5519" w:type="dxa"/>
            <w:vAlign w:val="center"/>
          </w:tcPr>
          <w:p w:rsidR="00A32067" w:rsidRDefault="00A32067">
            <w:pPr>
              <w:spacing w:line="360" w:lineRule="auto"/>
              <w:jc w:val="center"/>
              <w:rPr>
                <w:b/>
                <w:bCs/>
              </w:rPr>
            </w:pPr>
            <w:r>
              <w:rPr>
                <w:rFonts w:cs="宋体" w:hint="eastAsia"/>
              </w:rPr>
              <w:t>建设工程监理与相关服务人员职级</w:t>
            </w:r>
          </w:p>
        </w:tc>
        <w:tc>
          <w:tcPr>
            <w:tcW w:w="3179" w:type="dxa"/>
            <w:vAlign w:val="center"/>
          </w:tcPr>
          <w:p w:rsidR="00A32067" w:rsidRDefault="00A32067">
            <w:pPr>
              <w:spacing w:line="360" w:lineRule="auto"/>
              <w:jc w:val="center"/>
              <w:rPr>
                <w:b/>
                <w:bCs/>
              </w:rPr>
            </w:pPr>
            <w:r>
              <w:rPr>
                <w:rFonts w:cs="宋体" w:hint="eastAsia"/>
              </w:rPr>
              <w:t>工日费用标准（元）</w:t>
            </w:r>
          </w:p>
        </w:tc>
      </w:tr>
      <w:tr w:rsidR="00A32067">
        <w:trPr>
          <w:trHeight w:val="889"/>
          <w:jc w:val="center"/>
        </w:trPr>
        <w:tc>
          <w:tcPr>
            <w:tcW w:w="5519" w:type="dxa"/>
            <w:vAlign w:val="center"/>
          </w:tcPr>
          <w:p w:rsidR="00A32067" w:rsidRDefault="00A32067">
            <w:pPr>
              <w:spacing w:line="360" w:lineRule="auto"/>
              <w:jc w:val="left"/>
            </w:pPr>
            <w:r>
              <w:rPr>
                <w:rFonts w:cs="宋体" w:hint="eastAsia"/>
              </w:rPr>
              <w:t>一、高级专家</w:t>
            </w:r>
          </w:p>
        </w:tc>
        <w:tc>
          <w:tcPr>
            <w:tcW w:w="3179" w:type="dxa"/>
            <w:vAlign w:val="center"/>
          </w:tcPr>
          <w:p w:rsidR="00A32067" w:rsidRDefault="00A32067">
            <w:pPr>
              <w:spacing w:line="360" w:lineRule="auto"/>
              <w:jc w:val="center"/>
            </w:pPr>
            <w:r>
              <w:t>1000</w:t>
            </w:r>
            <w:r>
              <w:rPr>
                <w:rFonts w:cs="宋体" w:hint="eastAsia"/>
              </w:rPr>
              <w:t>～</w:t>
            </w:r>
            <w:r>
              <w:t>1200</w:t>
            </w:r>
          </w:p>
        </w:tc>
      </w:tr>
      <w:tr w:rsidR="00A32067">
        <w:trPr>
          <w:trHeight w:val="889"/>
          <w:jc w:val="center"/>
        </w:trPr>
        <w:tc>
          <w:tcPr>
            <w:tcW w:w="5519" w:type="dxa"/>
            <w:vAlign w:val="center"/>
          </w:tcPr>
          <w:p w:rsidR="00A32067" w:rsidRDefault="00A32067">
            <w:pPr>
              <w:spacing w:line="360" w:lineRule="auto"/>
              <w:jc w:val="left"/>
            </w:pPr>
            <w:r>
              <w:rPr>
                <w:rFonts w:cs="宋体" w:hint="eastAsia"/>
              </w:rPr>
              <w:t>二、高级专业技术职称的监理与相关服务人员</w:t>
            </w:r>
          </w:p>
        </w:tc>
        <w:tc>
          <w:tcPr>
            <w:tcW w:w="3179" w:type="dxa"/>
            <w:vAlign w:val="center"/>
          </w:tcPr>
          <w:p w:rsidR="00A32067" w:rsidRDefault="00A32067">
            <w:pPr>
              <w:spacing w:line="360" w:lineRule="auto"/>
              <w:jc w:val="center"/>
            </w:pPr>
            <w:r>
              <w:t>800</w:t>
            </w:r>
            <w:r>
              <w:rPr>
                <w:rFonts w:cs="宋体" w:hint="eastAsia"/>
              </w:rPr>
              <w:t>～</w:t>
            </w:r>
            <w:r>
              <w:t>1000</w:t>
            </w:r>
          </w:p>
        </w:tc>
      </w:tr>
      <w:tr w:rsidR="00A32067">
        <w:trPr>
          <w:trHeight w:val="889"/>
          <w:jc w:val="center"/>
        </w:trPr>
        <w:tc>
          <w:tcPr>
            <w:tcW w:w="5519" w:type="dxa"/>
            <w:vAlign w:val="center"/>
          </w:tcPr>
          <w:p w:rsidR="00A32067" w:rsidRDefault="00A32067">
            <w:pPr>
              <w:spacing w:line="360" w:lineRule="auto"/>
              <w:jc w:val="left"/>
            </w:pPr>
            <w:r>
              <w:rPr>
                <w:rFonts w:cs="宋体" w:hint="eastAsia"/>
              </w:rPr>
              <w:t>三、中级专业技术职称的监理与相关服务人员</w:t>
            </w:r>
          </w:p>
        </w:tc>
        <w:tc>
          <w:tcPr>
            <w:tcW w:w="3179" w:type="dxa"/>
            <w:vAlign w:val="center"/>
          </w:tcPr>
          <w:p w:rsidR="00A32067" w:rsidRDefault="00A32067">
            <w:pPr>
              <w:spacing w:line="360" w:lineRule="auto"/>
              <w:jc w:val="center"/>
            </w:pPr>
            <w:r>
              <w:t>600</w:t>
            </w:r>
            <w:r>
              <w:rPr>
                <w:rFonts w:cs="宋体" w:hint="eastAsia"/>
              </w:rPr>
              <w:t>～</w:t>
            </w:r>
            <w:r>
              <w:t>800</w:t>
            </w:r>
          </w:p>
        </w:tc>
      </w:tr>
      <w:tr w:rsidR="00A32067">
        <w:trPr>
          <w:trHeight w:val="889"/>
          <w:jc w:val="center"/>
        </w:trPr>
        <w:tc>
          <w:tcPr>
            <w:tcW w:w="5519" w:type="dxa"/>
            <w:vAlign w:val="center"/>
          </w:tcPr>
          <w:p w:rsidR="00A32067" w:rsidRDefault="00A32067">
            <w:pPr>
              <w:spacing w:line="360" w:lineRule="auto"/>
              <w:jc w:val="left"/>
            </w:pPr>
            <w:r>
              <w:rPr>
                <w:rFonts w:cs="宋体" w:hint="eastAsia"/>
              </w:rPr>
              <w:t>四、初级及以下专业技术职称监理与相关服务人员</w:t>
            </w:r>
          </w:p>
        </w:tc>
        <w:tc>
          <w:tcPr>
            <w:tcW w:w="3179" w:type="dxa"/>
            <w:vAlign w:val="center"/>
          </w:tcPr>
          <w:p w:rsidR="00A32067" w:rsidRDefault="00A32067">
            <w:pPr>
              <w:spacing w:line="360" w:lineRule="auto"/>
              <w:jc w:val="center"/>
            </w:pPr>
            <w:r>
              <w:t>300</w:t>
            </w:r>
            <w:r>
              <w:rPr>
                <w:rFonts w:cs="宋体" w:hint="eastAsia"/>
              </w:rPr>
              <w:t>～</w:t>
            </w:r>
            <w:r>
              <w:t>600</w:t>
            </w:r>
          </w:p>
        </w:tc>
      </w:tr>
    </w:tbl>
    <w:p w:rsidR="00A32067" w:rsidRDefault="00A32067" w:rsidP="00A3206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注：本表适用于提供短期服务的人工费用标准。</w:t>
      </w: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附件三</w:t>
      </w:r>
    </w:p>
    <w:p w:rsidR="00A32067" w:rsidRDefault="00A32067">
      <w:pPr>
        <w:spacing w:line="360" w:lineRule="auto"/>
        <w:jc w:val="center"/>
        <w:rPr>
          <w:b/>
          <w:bCs/>
          <w:sz w:val="32"/>
          <w:szCs w:val="32"/>
        </w:rPr>
      </w:pPr>
      <w:r>
        <w:rPr>
          <w:rFonts w:cs="宋体" w:hint="eastAsia"/>
          <w:b/>
          <w:bCs/>
          <w:sz w:val="24"/>
          <w:szCs w:val="24"/>
        </w:rPr>
        <w:t>收费基价直线内插法计算公式</w:t>
      </w:r>
      <w:r>
        <w:rPr>
          <w:noProof/>
        </w:rPr>
      </w:r>
      <w:r w:rsidRPr="00394DE1">
        <w:rPr>
          <w:b/>
          <w:bCs/>
          <w:sz w:val="32"/>
          <w:szCs w:val="32"/>
        </w:rPr>
        <w:pict>
          <v:group id="_x0000_s1053" editas="canvas" style="width:462pt;height:251.55pt;mso-position-horizontal-relative:char;mso-position-vertical-relative:line" coordorigin="1701,9008" coordsize="9240">
            <v:shape id="_x0000_s1054" type="#_x0000_t75" style="position:absolute;left:1701;top:9008;width:9240;height:5031203" o:preferrelative="f">
              <o:lock v:ext="edit" text="t"/>
            </v:shape>
            <v:line id="_x0000_s1055" style="position:absolute" from="3695,13265" to="8527,13265">
              <v:stroke endarrow="block"/>
            </v:line>
            <v:line id="_x0000_s1056" style="position:absolute;flip:y" from="3695,9782" to="3695,13265">
              <v:stroke endarrow="block"/>
            </v:line>
            <v:line id="_x0000_s1057" style="position:absolute;flip:y" from="4431,10710" to="6846,12104"/>
            <v:line id="_x0000_s1058" style="position:absolute" from="3695,11330" to="5796,11330">
              <v:stroke dashstyle="dash"/>
            </v:line>
            <v:line id="_x0000_s1059" style="position:absolute" from="5796,11330" to="5796,13265">
              <v:stroke dashstyle="dash"/>
            </v:line>
            <v:rect id="_x0000_s1060" style="position:absolute;left:3189;top:10856;width:525;height:774" filled="f" stroked="f">
              <v:textbox>
                <w:txbxContent>
                  <w:p w:rsidR="00A32067" w:rsidRDefault="00A32067">
                    <w:pPr>
                      <w:rPr>
                        <w:sz w:val="36"/>
                        <w:szCs w:val="36"/>
                      </w:rPr>
                    </w:pPr>
                    <w:r>
                      <w:rPr>
                        <w:sz w:val="36"/>
                        <w:szCs w:val="36"/>
                      </w:rPr>
                      <w:t>y</w:t>
                    </w:r>
                  </w:p>
                </w:txbxContent>
              </v:textbox>
            </v:rect>
            <v:line id="_x0000_s1061" style="position:absolute" from="3696,11717" to="5061,11718">
              <v:stroke dashstyle="dash"/>
            </v:line>
            <v:line id="_x0000_s1062" style="position:absolute" from="5061,11717" to="5062,13265">
              <v:stroke dashstyle="dash"/>
            </v:line>
            <v:rect id="_x0000_s1063" style="position:absolute;left:3066;top:9008;width:525;height:774" filled="f" stroked="f">
              <v:textbox>
                <w:txbxContent>
                  <w:p w:rsidR="00A32067" w:rsidRDefault="00A32067">
                    <w:pPr>
                      <w:rPr>
                        <w:sz w:val="36"/>
                        <w:szCs w:val="36"/>
                      </w:rPr>
                    </w:pPr>
                    <w:r>
                      <w:rPr>
                        <w:sz w:val="36"/>
                        <w:szCs w:val="36"/>
                      </w:rPr>
                      <w:t>Y</w:t>
                    </w:r>
                  </w:p>
                </w:txbxContent>
              </v:textbox>
            </v:rect>
            <v:rect id="_x0000_s1064" style="position:absolute;left:3276;top:9008;width:2625;height:774" filled="f" stroked="f">
              <v:textbox>
                <w:txbxContent>
                  <w:p w:rsidR="00A32067" w:rsidRDefault="00A32067">
                    <w:pPr>
                      <w:rPr>
                        <w:sz w:val="36"/>
                        <w:szCs w:val="36"/>
                      </w:rPr>
                    </w:pPr>
                    <w:r>
                      <w:rPr>
                        <w:rFonts w:cs="宋体" w:hint="eastAsia"/>
                        <w:sz w:val="36"/>
                        <w:szCs w:val="36"/>
                      </w:rPr>
                      <w:t>（收费基价）</w:t>
                    </w:r>
                  </w:p>
                </w:txbxContent>
              </v:textbox>
            </v:rect>
            <v:line id="_x0000_s1065" style="position:absolute" from="3696,10943" to="6426,10944">
              <v:stroke dashstyle="dash"/>
            </v:line>
            <v:line id="_x0000_s1066" style="position:absolute" from="6426,10943" to="6427,13265">
              <v:stroke dashstyle="dash"/>
            </v:line>
            <v:rect id="_x0000_s1067" style="position:absolute;left:3147;top:10412;width:1074;height:774" filled="f" stroked="f">
              <v:textbox>
                <w:txbxContent>
                  <w:p w:rsidR="00A32067" w:rsidRDefault="00A32067">
                    <w:pPr>
                      <w:rPr>
                        <w:sz w:val="36"/>
                        <w:szCs w:val="36"/>
                        <w:vertAlign w:val="subscript"/>
                      </w:rPr>
                    </w:pPr>
                    <w:r>
                      <w:rPr>
                        <w:sz w:val="36"/>
                        <w:szCs w:val="36"/>
                      </w:rPr>
                      <w:t>y</w:t>
                    </w:r>
                    <w:r>
                      <w:rPr>
                        <w:sz w:val="36"/>
                        <w:szCs w:val="36"/>
                        <w:vertAlign w:val="subscript"/>
                      </w:rPr>
                      <w:t>2</w:t>
                    </w:r>
                  </w:p>
                </w:txbxContent>
              </v:textbox>
            </v:rect>
            <v:rect id="_x0000_s1068" style="position:absolute;left:3147;top:11219;width:1074;height:774" filled="f" stroked="f">
              <v:textbox>
                <w:txbxContent>
                  <w:p w:rsidR="00A32067" w:rsidRDefault="00A32067">
                    <w:pPr>
                      <w:rPr>
                        <w:sz w:val="36"/>
                        <w:szCs w:val="36"/>
                        <w:vertAlign w:val="subscript"/>
                      </w:rPr>
                    </w:pPr>
                    <w:r>
                      <w:rPr>
                        <w:sz w:val="36"/>
                        <w:szCs w:val="36"/>
                      </w:rPr>
                      <w:t>y</w:t>
                    </w:r>
                    <w:r>
                      <w:rPr>
                        <w:sz w:val="36"/>
                        <w:szCs w:val="36"/>
                        <w:vertAlign w:val="subscript"/>
                      </w:rPr>
                      <w:t>1</w:t>
                    </w:r>
                  </w:p>
                </w:txbxContent>
              </v:textbox>
            </v:rect>
            <v:rect id="_x0000_s1069" style="position:absolute;left:3303;top:12974;width:603;height:774" filled="f" stroked="f">
              <v:textbox>
                <w:txbxContent>
                  <w:p w:rsidR="00A32067" w:rsidRDefault="00A32067">
                    <w:pPr>
                      <w:rPr>
                        <w:sz w:val="36"/>
                        <w:szCs w:val="36"/>
                        <w:vertAlign w:val="subscript"/>
                      </w:rPr>
                    </w:pPr>
                    <w:r>
                      <w:rPr>
                        <w:sz w:val="36"/>
                        <w:szCs w:val="36"/>
                      </w:rPr>
                      <w:t>O</w:t>
                    </w:r>
                  </w:p>
                </w:txbxContent>
              </v:textbox>
            </v:rect>
            <v:rect id="_x0000_s1070" style="position:absolute;left:8211;top:13156;width:2520;height:774" filled="f" stroked="f">
              <v:textbox>
                <w:txbxContent>
                  <w:p w:rsidR="00A32067" w:rsidRDefault="00A32067">
                    <w:pPr>
                      <w:rPr>
                        <w:sz w:val="36"/>
                        <w:szCs w:val="36"/>
                        <w:vertAlign w:val="subscript"/>
                      </w:rPr>
                    </w:pPr>
                    <w:r>
                      <w:rPr>
                        <w:sz w:val="36"/>
                        <w:szCs w:val="36"/>
                      </w:rPr>
                      <w:t>X</w:t>
                    </w:r>
                    <w:r>
                      <w:rPr>
                        <w:rFonts w:cs="宋体" w:hint="eastAsia"/>
                        <w:sz w:val="36"/>
                        <w:szCs w:val="36"/>
                      </w:rPr>
                      <w:t>（计费额）</w:t>
                    </w:r>
                  </w:p>
                </w:txbxContent>
              </v:textbox>
            </v:rect>
            <v:rect id="_x0000_s1071" style="position:absolute;left:5577;top:13157;width:603;height:774" filled="f" stroked="f">
              <v:textbox>
                <w:txbxContent>
                  <w:p w:rsidR="00A32067" w:rsidRDefault="00A32067">
                    <w:pPr>
                      <w:rPr>
                        <w:sz w:val="36"/>
                        <w:szCs w:val="36"/>
                        <w:vertAlign w:val="subscript"/>
                      </w:rPr>
                    </w:pPr>
                    <w:r>
                      <w:rPr>
                        <w:sz w:val="36"/>
                        <w:szCs w:val="36"/>
                      </w:rPr>
                      <w:t>x</w:t>
                    </w:r>
                  </w:p>
                </w:txbxContent>
              </v:textbox>
            </v:rect>
            <v:rect id="_x0000_s1072" style="position:absolute;left:6216;top:13169;width:603;height:774" filled="f" stroked="f">
              <v:textbox>
                <w:txbxContent>
                  <w:p w:rsidR="00A32067" w:rsidRDefault="00A32067">
                    <w:pPr>
                      <w:rPr>
                        <w:sz w:val="36"/>
                        <w:szCs w:val="36"/>
                        <w:vertAlign w:val="subscript"/>
                      </w:rPr>
                    </w:pPr>
                    <w:r>
                      <w:rPr>
                        <w:sz w:val="36"/>
                        <w:szCs w:val="36"/>
                      </w:rPr>
                      <w:t>x</w:t>
                    </w:r>
                    <w:r>
                      <w:rPr>
                        <w:sz w:val="36"/>
                        <w:szCs w:val="36"/>
                        <w:vertAlign w:val="subscript"/>
                      </w:rPr>
                      <w:t>2</w:t>
                    </w:r>
                  </w:p>
                </w:txbxContent>
              </v:textbox>
            </v:rect>
            <v:rect id="_x0000_s1073" style="position:absolute;left:4818;top:13157;width:603;height:774" filled="f" stroked="f">
              <v:textbox>
                <w:txbxContent>
                  <w:p w:rsidR="00A32067" w:rsidRDefault="00A32067">
                    <w:pPr>
                      <w:rPr>
                        <w:sz w:val="36"/>
                        <w:szCs w:val="36"/>
                        <w:vertAlign w:val="subscript"/>
                      </w:rPr>
                    </w:pPr>
                    <w:r>
                      <w:rPr>
                        <w:sz w:val="36"/>
                        <w:szCs w:val="36"/>
                      </w:rPr>
                      <w:t>x</w:t>
                    </w:r>
                    <w:r>
                      <w:rPr>
                        <w:sz w:val="36"/>
                        <w:szCs w:val="36"/>
                        <w:vertAlign w:val="subscript"/>
                      </w:rPr>
                      <w:t>1</w:t>
                    </w:r>
                  </w:p>
                </w:txbxContent>
              </v:textbox>
            </v:rect>
            <w10:anchorlock/>
          </v:group>
        </w:pict>
      </w:r>
    </w:p>
    <w:p w:rsidR="00A32067" w:rsidRDefault="00A32067">
      <w:pPr>
        <w:jc w:val="center"/>
        <w:rPr>
          <w:sz w:val="30"/>
          <w:szCs w:val="30"/>
        </w:rPr>
      </w:pPr>
      <w:r>
        <w:rPr>
          <w:sz w:val="30"/>
          <w:szCs w:val="30"/>
        </w:rPr>
        <w:t>y=y</w:t>
      </w:r>
      <w:r>
        <w:rPr>
          <w:sz w:val="30"/>
          <w:szCs w:val="30"/>
          <w:vertAlign w:val="subscript"/>
        </w:rPr>
        <w:t>1</w:t>
      </w:r>
      <w:r>
        <w:rPr>
          <w:sz w:val="30"/>
          <w:szCs w:val="30"/>
        </w:rPr>
        <w:t>+</w:t>
      </w:r>
      <w:r w:rsidRPr="00394DE1">
        <w:rPr>
          <w:b/>
          <w:bCs/>
          <w:position w:val="-30"/>
          <w:sz w:val="30"/>
          <w:szCs w:val="30"/>
        </w:rPr>
        <w:pict>
          <v:shape id="_x0000_i1035" type="#_x0000_t75" style="width:52.5pt;height:48pt">
            <v:imagedata r:id="rId93" o:title=""/>
          </v:shape>
        </w:pict>
      </w:r>
      <w:r w:rsidRPr="00394DE1">
        <w:rPr>
          <w:position w:val="-4"/>
          <w:sz w:val="30"/>
          <w:szCs w:val="30"/>
        </w:rPr>
        <w:pict>
          <v:shape id="_x0000_i1036" type="#_x0000_t75" style="width:4.5pt;height:13.5pt">
            <v:imagedata r:id="rId94" o:title=""/>
          </v:shape>
        </w:pict>
      </w:r>
      <w:r>
        <w:rPr>
          <w:sz w:val="30"/>
          <w:szCs w:val="30"/>
        </w:rPr>
        <w:t>(x-x</w:t>
      </w:r>
      <w:r>
        <w:rPr>
          <w:sz w:val="30"/>
          <w:szCs w:val="30"/>
          <w:vertAlign w:val="subscript"/>
        </w:rPr>
        <w:t>1</w:t>
      </w:r>
      <w:r>
        <w:rPr>
          <w:sz w:val="30"/>
          <w:szCs w:val="30"/>
        </w:rPr>
        <w:t>)</w:t>
      </w:r>
    </w:p>
    <w:p w:rsidR="00A32067" w:rsidRDefault="00A32067">
      <w:pPr>
        <w:pStyle w:val="NormalWeb"/>
        <w:shd w:val="clear" w:color="auto" w:fill="FFFFFF"/>
        <w:spacing w:before="0" w:beforeAutospacing="0" w:after="0" w:afterAutospacing="0" w:line="360" w:lineRule="auto"/>
        <w:jc w:val="both"/>
        <w:rPr>
          <w:rFonts w:ascii="Times New Roman" w:hAnsi="Times New Roman" w:cs="Times New Roman"/>
          <w:color w:val="000000"/>
          <w:sz w:val="22"/>
          <w:szCs w:val="22"/>
        </w:rPr>
      </w:pPr>
      <w:r>
        <w:rPr>
          <w:rFonts w:ascii="Times New Roman" w:hAnsi="Times New Roman" w:hint="eastAsia"/>
          <w:color w:val="000000"/>
          <w:sz w:val="22"/>
          <w:szCs w:val="22"/>
        </w:rPr>
        <w:t>注：</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x1</w:t>
      </w:r>
      <w:r>
        <w:rPr>
          <w:rFonts w:ascii="Times New Roman" w:hAnsi="Times New Roman" w:hint="eastAsia"/>
          <w:color w:val="000000"/>
          <w:sz w:val="22"/>
          <w:szCs w:val="22"/>
        </w:rPr>
        <w:t>、</w:t>
      </w:r>
      <w:r>
        <w:rPr>
          <w:rFonts w:ascii="Times New Roman" w:hAnsi="Times New Roman" w:cs="Times New Roman"/>
          <w:color w:val="000000"/>
          <w:sz w:val="22"/>
          <w:szCs w:val="22"/>
        </w:rPr>
        <w:t>x2</w:t>
      </w:r>
      <w:r>
        <w:rPr>
          <w:rFonts w:ascii="Times New Roman" w:hAnsi="Times New Roman" w:hint="eastAsia"/>
          <w:color w:val="000000"/>
          <w:sz w:val="22"/>
          <w:szCs w:val="22"/>
        </w:rPr>
        <w:t>为《建设工程监理与相关服务收费标准》附表二中计费额的区段值；</w:t>
      </w:r>
      <w:r>
        <w:rPr>
          <w:rFonts w:ascii="Times New Roman" w:hAnsi="Times New Roman" w:cs="Times New Roman"/>
          <w:color w:val="000000"/>
          <w:sz w:val="22"/>
          <w:szCs w:val="22"/>
        </w:rPr>
        <w:t>y1</w:t>
      </w:r>
      <w:r>
        <w:rPr>
          <w:rFonts w:ascii="Times New Roman" w:hAnsi="Times New Roman" w:hint="eastAsia"/>
          <w:color w:val="000000"/>
          <w:sz w:val="22"/>
          <w:szCs w:val="22"/>
        </w:rPr>
        <w:t>、</w:t>
      </w:r>
      <w:r>
        <w:rPr>
          <w:rFonts w:ascii="Times New Roman" w:hAnsi="Times New Roman" w:cs="Times New Roman"/>
          <w:color w:val="000000"/>
          <w:sz w:val="22"/>
          <w:szCs w:val="22"/>
        </w:rPr>
        <w:t>y2</w:t>
      </w:r>
      <w:r>
        <w:rPr>
          <w:rFonts w:ascii="Times New Roman" w:hAnsi="Times New Roman" w:hint="eastAsia"/>
          <w:color w:val="000000"/>
          <w:sz w:val="22"/>
          <w:szCs w:val="22"/>
        </w:rPr>
        <w:t>为对应于</w:t>
      </w:r>
      <w:r>
        <w:rPr>
          <w:rFonts w:ascii="Times New Roman" w:hAnsi="Times New Roman" w:cs="Times New Roman"/>
          <w:color w:val="000000"/>
          <w:sz w:val="22"/>
          <w:szCs w:val="22"/>
        </w:rPr>
        <w:t>x1</w:t>
      </w:r>
      <w:r>
        <w:rPr>
          <w:rFonts w:ascii="Times New Roman" w:hAnsi="Times New Roman" w:hint="eastAsia"/>
          <w:color w:val="000000"/>
          <w:sz w:val="22"/>
          <w:szCs w:val="22"/>
        </w:rPr>
        <w:t>、</w:t>
      </w:r>
      <w:r>
        <w:rPr>
          <w:rFonts w:ascii="Times New Roman" w:hAnsi="Times New Roman" w:cs="Times New Roman"/>
          <w:color w:val="000000"/>
          <w:sz w:val="22"/>
          <w:szCs w:val="22"/>
        </w:rPr>
        <w:t>x2</w:t>
      </w:r>
      <w:r>
        <w:rPr>
          <w:rFonts w:ascii="Times New Roman" w:hAnsi="Times New Roman" w:hint="eastAsia"/>
          <w:color w:val="000000"/>
          <w:sz w:val="22"/>
          <w:szCs w:val="22"/>
        </w:rPr>
        <w:t>的收费基价；</w:t>
      </w:r>
      <w:r>
        <w:rPr>
          <w:rFonts w:ascii="Times New Roman" w:hAnsi="Times New Roman" w:cs="Times New Roman"/>
          <w:color w:val="000000"/>
          <w:sz w:val="22"/>
          <w:szCs w:val="22"/>
        </w:rPr>
        <w:t>x</w:t>
      </w:r>
      <w:r>
        <w:rPr>
          <w:rFonts w:ascii="Times New Roman" w:hAnsi="Times New Roman" w:hint="eastAsia"/>
          <w:color w:val="000000"/>
          <w:sz w:val="22"/>
          <w:szCs w:val="22"/>
        </w:rPr>
        <w:t>为某区段间的插入值；</w:t>
      </w:r>
      <w:r>
        <w:rPr>
          <w:rFonts w:ascii="Times New Roman" w:hAnsi="Times New Roman" w:cs="Times New Roman"/>
          <w:color w:val="000000"/>
          <w:sz w:val="22"/>
          <w:szCs w:val="22"/>
        </w:rPr>
        <w:t>y</w:t>
      </w:r>
      <w:r>
        <w:rPr>
          <w:rFonts w:ascii="Times New Roman" w:hAnsi="Times New Roman" w:hint="eastAsia"/>
          <w:color w:val="000000"/>
          <w:sz w:val="22"/>
          <w:szCs w:val="22"/>
        </w:rPr>
        <w:t>为对应于</w:t>
      </w:r>
      <w:r>
        <w:rPr>
          <w:rFonts w:ascii="Times New Roman" w:hAnsi="Times New Roman" w:cs="Times New Roman"/>
          <w:color w:val="000000"/>
          <w:sz w:val="22"/>
          <w:szCs w:val="22"/>
        </w:rPr>
        <w:t>x</w:t>
      </w:r>
      <w:r>
        <w:rPr>
          <w:rFonts w:ascii="Times New Roman" w:hAnsi="Times New Roman" w:hint="eastAsia"/>
          <w:color w:val="000000"/>
          <w:sz w:val="22"/>
          <w:szCs w:val="22"/>
        </w:rPr>
        <w:t>由插入法计算而得的收费基价。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）计费额小于</w:t>
      </w:r>
      <w:r>
        <w:rPr>
          <w:rFonts w:ascii="Times New Roman" w:hAnsi="Times New Roman" w:cs="Times New Roman"/>
          <w:color w:val="000000"/>
          <w:sz w:val="22"/>
          <w:szCs w:val="22"/>
        </w:rPr>
        <w:t>500</w:t>
      </w:r>
      <w:r>
        <w:rPr>
          <w:rFonts w:ascii="Times New Roman" w:hAnsi="Times New Roman" w:hint="eastAsia"/>
          <w:color w:val="000000"/>
          <w:sz w:val="22"/>
          <w:szCs w:val="22"/>
        </w:rPr>
        <w:t>万元的，以计费额乘以</w:t>
      </w:r>
      <w:r>
        <w:rPr>
          <w:rFonts w:ascii="Times New Roman" w:hAnsi="Times New Roman" w:cs="Times New Roman"/>
          <w:color w:val="000000"/>
          <w:sz w:val="22"/>
          <w:szCs w:val="22"/>
        </w:rPr>
        <w:t>3.3%</w:t>
      </w:r>
      <w:r>
        <w:rPr>
          <w:rFonts w:ascii="Times New Roman" w:hAnsi="Times New Roman" w:hint="eastAsia"/>
          <w:color w:val="000000"/>
          <w:sz w:val="22"/>
          <w:szCs w:val="22"/>
        </w:rPr>
        <w:t>的收费率计算收费基价；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）计费额大于</w:t>
      </w:r>
      <w:r>
        <w:rPr>
          <w:rFonts w:ascii="Times New Roman" w:hAnsi="Times New Roman" w:cs="Times New Roman"/>
          <w:color w:val="000000"/>
          <w:sz w:val="22"/>
          <w:szCs w:val="22"/>
        </w:rPr>
        <w:t>1,000,000</w:t>
      </w:r>
      <w:r>
        <w:rPr>
          <w:rFonts w:ascii="Times New Roman" w:hAnsi="Times New Roman" w:hint="eastAsia"/>
          <w:color w:val="000000"/>
          <w:sz w:val="22"/>
          <w:szCs w:val="22"/>
        </w:rPr>
        <w:t>万元的，以计费额乘以</w:t>
      </w:r>
      <w:r>
        <w:rPr>
          <w:rFonts w:ascii="Times New Roman" w:hAnsi="Times New Roman" w:cs="Times New Roman"/>
          <w:color w:val="000000"/>
          <w:sz w:val="22"/>
          <w:szCs w:val="22"/>
        </w:rPr>
        <w:t>1.039%</w:t>
      </w:r>
      <w:r>
        <w:rPr>
          <w:rFonts w:ascii="Times New Roman" w:hAnsi="Times New Roman" w:hint="eastAsia"/>
          <w:color w:val="000000"/>
          <w:sz w:val="22"/>
          <w:szCs w:val="22"/>
        </w:rPr>
        <w:t>的收费率计算收费基价。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【例】若计算得计费额为</w:t>
      </w:r>
      <w:r>
        <w:rPr>
          <w:rFonts w:ascii="Times New Roman" w:hAnsi="Times New Roman" w:cs="Times New Roman"/>
          <w:color w:val="000000"/>
          <w:sz w:val="22"/>
          <w:szCs w:val="22"/>
        </w:rPr>
        <w:t>600</w:t>
      </w:r>
      <w:r>
        <w:rPr>
          <w:rFonts w:ascii="Times New Roman" w:hAnsi="Times New Roman" w:hint="eastAsia"/>
          <w:color w:val="000000"/>
          <w:sz w:val="22"/>
          <w:szCs w:val="22"/>
        </w:rPr>
        <w:t>万，计算其收费基价。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hint="eastAsia"/>
          <w:color w:val="000000"/>
          <w:sz w:val="22"/>
          <w:szCs w:val="22"/>
        </w:rPr>
        <w:t>根据《建设工程监理与相关服务收费标准》附表二：施工监理服务收费基价表，计费额处于区段值</w:t>
      </w:r>
      <w:r>
        <w:rPr>
          <w:rFonts w:ascii="Times New Roman" w:hAnsi="Times New Roman" w:cs="Times New Roman"/>
          <w:color w:val="000000"/>
          <w:sz w:val="22"/>
          <w:szCs w:val="22"/>
        </w:rPr>
        <w:t>500</w:t>
      </w:r>
      <w:r>
        <w:rPr>
          <w:rFonts w:ascii="Times New Roman" w:hAnsi="Times New Roman" w:hint="eastAsia"/>
          <w:color w:val="000000"/>
          <w:sz w:val="22"/>
          <w:szCs w:val="22"/>
        </w:rPr>
        <w:t>万（收费基价为</w:t>
      </w:r>
      <w:r>
        <w:rPr>
          <w:rFonts w:ascii="Times New Roman" w:hAnsi="Times New Roman" w:cs="Times New Roman"/>
          <w:color w:val="000000"/>
          <w:sz w:val="22"/>
          <w:szCs w:val="22"/>
        </w:rPr>
        <w:t>16.5</w:t>
      </w:r>
      <w:r>
        <w:rPr>
          <w:rFonts w:ascii="Times New Roman" w:hAnsi="Times New Roman" w:hint="eastAsia"/>
          <w:color w:val="000000"/>
          <w:sz w:val="22"/>
          <w:szCs w:val="22"/>
        </w:rPr>
        <w:t>万）与</w:t>
      </w:r>
      <w:r>
        <w:rPr>
          <w:rFonts w:ascii="Times New Roman" w:hAnsi="Times New Roman" w:cs="Times New Roman"/>
          <w:color w:val="000000"/>
          <w:sz w:val="22"/>
          <w:szCs w:val="22"/>
        </w:rPr>
        <w:t>1000</w:t>
      </w:r>
      <w:r>
        <w:rPr>
          <w:rFonts w:ascii="Times New Roman" w:hAnsi="Times New Roman" w:hint="eastAsia"/>
          <w:color w:val="000000"/>
          <w:sz w:val="22"/>
          <w:szCs w:val="22"/>
        </w:rPr>
        <w:t>万（收费基价为</w:t>
      </w:r>
      <w:r>
        <w:rPr>
          <w:rFonts w:ascii="Times New Roman" w:hAnsi="Times New Roman" w:cs="Times New Roman"/>
          <w:color w:val="000000"/>
          <w:sz w:val="22"/>
          <w:szCs w:val="22"/>
        </w:rPr>
        <w:t>30.1</w:t>
      </w:r>
      <w:r>
        <w:rPr>
          <w:rFonts w:ascii="Times New Roman" w:hAnsi="Times New Roman" w:hint="eastAsia"/>
          <w:color w:val="000000"/>
          <w:sz w:val="22"/>
          <w:szCs w:val="22"/>
        </w:rPr>
        <w:t>万）之间，则对应于</w:t>
      </w:r>
      <w:r>
        <w:rPr>
          <w:rFonts w:ascii="Times New Roman" w:hAnsi="Times New Roman" w:cs="Times New Roman"/>
          <w:color w:val="000000"/>
          <w:sz w:val="22"/>
          <w:szCs w:val="22"/>
        </w:rPr>
        <w:t>600</w:t>
      </w:r>
      <w:r>
        <w:rPr>
          <w:rFonts w:ascii="Times New Roman" w:hAnsi="Times New Roman" w:hint="eastAsia"/>
          <w:color w:val="000000"/>
          <w:sz w:val="22"/>
          <w:szCs w:val="22"/>
        </w:rPr>
        <w:t>万计费额的收费基价</w:t>
      </w:r>
    </w:p>
    <w:p w:rsidR="00A32067" w:rsidRDefault="00A32067" w:rsidP="005431C7">
      <w:pPr>
        <w:pStyle w:val="NormalWeb"/>
        <w:shd w:val="clear" w:color="auto" w:fill="FFFFFF"/>
        <w:spacing w:before="0" w:beforeAutospacing="0" w:after="0" w:afterAutospacing="0" w:line="360" w:lineRule="auto"/>
        <w:ind w:firstLineChars="200" w:firstLine="3168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y = 16.5+ </w:t>
      </w:r>
      <w:r w:rsidRPr="00394DE1">
        <w:rPr>
          <w:rFonts w:ascii="Times New Roman" w:hAnsi="Times New Roman" w:cs="Times New Roman"/>
          <w:color w:val="000000"/>
          <w:sz w:val="22"/>
          <w:szCs w:val="22"/>
        </w:rPr>
        <w:pict>
          <v:shape id="_x0000_i1037" type="#_x0000_t75" style="width:55.5pt;height:33pt">
            <v:imagedata r:id="rId95" o:title=""/>
          </v:shape>
        </w:pict>
      </w:r>
      <w:r>
        <w:rPr>
          <w:rFonts w:ascii="Times New Roman" w:hAnsi="Times New Roman" w:cs="Times New Roman"/>
          <w:color w:val="000000"/>
          <w:sz w:val="22"/>
          <w:szCs w:val="22"/>
        </w:rPr>
        <w:t xml:space="preserve"> × (600-500) = 19.22</w:t>
      </w:r>
      <w:r>
        <w:rPr>
          <w:rFonts w:ascii="Times New Roman" w:hAnsi="Times New Roman" w:hint="eastAsia"/>
          <w:color w:val="000000"/>
          <w:sz w:val="22"/>
          <w:szCs w:val="22"/>
        </w:rPr>
        <w:t>（万）</w:t>
      </w:r>
    </w:p>
    <w:p w:rsidR="00A32067" w:rsidRDefault="00A32067"/>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rPr>
          <w:color w:val="000000"/>
          <w:sz w:val="28"/>
          <w:szCs w:val="28"/>
        </w:r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sectPr w:rsidR="00A32067">
          <w:headerReference w:type="even" r:id="rId96"/>
          <w:headerReference w:type="default" r:id="rId97"/>
          <w:pgSz w:w="11907" w:h="16840"/>
          <w:pgMar w:top="1134" w:right="1077" w:bottom="1134" w:left="1077" w:header="794" w:footer="567" w:gutter="284"/>
          <w:cols w:space="720"/>
          <w:docGrid w:linePitch="312"/>
        </w:sectPr>
      </w:pPr>
    </w:p>
    <w:p w:rsidR="00A32067" w:rsidRDefault="00A32067">
      <w:pPr>
        <w:pStyle w:val="NormalWeb"/>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hint="eastAsia"/>
          <w:b/>
          <w:bCs/>
          <w:kern w:val="2"/>
        </w:rPr>
        <w:t>附件四</w:t>
      </w:r>
    </w:p>
    <w:p w:rsidR="00A32067" w:rsidRDefault="00A32067">
      <w:pPr>
        <w:jc w:val="center"/>
        <w:rPr>
          <w:b/>
          <w:bCs/>
          <w:sz w:val="24"/>
          <w:szCs w:val="24"/>
        </w:rPr>
      </w:pPr>
      <w:r>
        <w:rPr>
          <w:rFonts w:cs="宋体" w:hint="eastAsia"/>
          <w:b/>
          <w:bCs/>
          <w:sz w:val="24"/>
          <w:szCs w:val="24"/>
        </w:rPr>
        <w:t>建设工程监理与相关服务价格违法违规行为处罚标准和依据</w:t>
      </w:r>
    </w:p>
    <w:p w:rsidR="00A32067" w:rsidRDefault="00A32067">
      <w:pPr>
        <w:jc w:val="center"/>
        <w:rPr>
          <w:b/>
          <w:bCs/>
          <w:sz w:val="24"/>
          <w:szCs w:val="24"/>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2388"/>
        <w:gridCol w:w="3465"/>
        <w:gridCol w:w="2135"/>
      </w:tblGrid>
      <w:tr w:rsidR="00A32067">
        <w:trPr>
          <w:trHeight w:val="548"/>
          <w:jc w:val="center"/>
        </w:trPr>
        <w:tc>
          <w:tcPr>
            <w:tcW w:w="710" w:type="dxa"/>
            <w:vAlign w:val="center"/>
          </w:tcPr>
          <w:p w:rsidR="00A32067" w:rsidRPr="0002085C" w:rsidRDefault="00A32067" w:rsidP="0002085C">
            <w:pPr>
              <w:jc w:val="center"/>
            </w:pPr>
            <w:r w:rsidRPr="0002085C">
              <w:rPr>
                <w:rFonts w:cs="宋体" w:hint="eastAsia"/>
              </w:rPr>
              <w:t>序号</w:t>
            </w:r>
          </w:p>
        </w:tc>
        <w:tc>
          <w:tcPr>
            <w:tcW w:w="2388" w:type="dxa"/>
            <w:vAlign w:val="center"/>
          </w:tcPr>
          <w:p w:rsidR="00A32067" w:rsidRPr="0002085C" w:rsidRDefault="00A32067" w:rsidP="0002085C">
            <w:pPr>
              <w:jc w:val="center"/>
            </w:pPr>
            <w:r w:rsidRPr="0002085C">
              <w:rPr>
                <w:rFonts w:cs="宋体" w:hint="eastAsia"/>
              </w:rPr>
              <w:t>违法违规行为</w:t>
            </w:r>
          </w:p>
        </w:tc>
        <w:tc>
          <w:tcPr>
            <w:tcW w:w="3465" w:type="dxa"/>
            <w:vAlign w:val="center"/>
          </w:tcPr>
          <w:p w:rsidR="00A32067" w:rsidRPr="0002085C" w:rsidRDefault="00A32067" w:rsidP="0002085C">
            <w:pPr>
              <w:jc w:val="center"/>
            </w:pPr>
            <w:r w:rsidRPr="0002085C">
              <w:rPr>
                <w:rFonts w:cs="宋体" w:hint="eastAsia"/>
              </w:rPr>
              <w:t>处罚标准</w:t>
            </w:r>
          </w:p>
        </w:tc>
        <w:tc>
          <w:tcPr>
            <w:tcW w:w="2135" w:type="dxa"/>
            <w:vAlign w:val="center"/>
          </w:tcPr>
          <w:p w:rsidR="00A32067" w:rsidRPr="0002085C" w:rsidRDefault="00A32067" w:rsidP="0002085C">
            <w:pPr>
              <w:jc w:val="center"/>
            </w:pPr>
            <w:r w:rsidRPr="0002085C">
              <w:rPr>
                <w:rFonts w:cs="宋体" w:hint="eastAsia"/>
              </w:rPr>
              <w:t>处罚依据</w:t>
            </w:r>
          </w:p>
        </w:tc>
      </w:tr>
      <w:tr w:rsidR="00A32067">
        <w:trPr>
          <w:trHeight w:val="1882"/>
          <w:jc w:val="center"/>
        </w:trPr>
        <w:tc>
          <w:tcPr>
            <w:tcW w:w="710" w:type="dxa"/>
            <w:vAlign w:val="center"/>
          </w:tcPr>
          <w:p w:rsidR="00A32067" w:rsidRPr="0002085C" w:rsidRDefault="00A32067" w:rsidP="0002085C">
            <w:pPr>
              <w:jc w:val="center"/>
            </w:pPr>
            <w:r w:rsidRPr="0002085C">
              <w:t>1</w:t>
            </w:r>
          </w:p>
        </w:tc>
        <w:tc>
          <w:tcPr>
            <w:tcW w:w="2388" w:type="dxa"/>
            <w:vAlign w:val="center"/>
          </w:tcPr>
          <w:p w:rsidR="00A32067" w:rsidRPr="0002085C" w:rsidRDefault="00A32067">
            <w:r w:rsidRPr="0002085C">
              <w:rPr>
                <w:rFonts w:cs="宋体" w:hint="eastAsia"/>
              </w:rPr>
              <w:t>发包人、监理人不执行政府指导价的</w:t>
            </w:r>
          </w:p>
        </w:tc>
        <w:tc>
          <w:tcPr>
            <w:tcW w:w="3465" w:type="dxa"/>
            <w:vAlign w:val="center"/>
          </w:tcPr>
          <w:p w:rsidR="00A32067" w:rsidRPr="0002085C" w:rsidRDefault="00A32067">
            <w:r w:rsidRPr="0002085C">
              <w:rPr>
                <w:rFonts w:cs="宋体" w:hint="eastAsia"/>
              </w:rPr>
              <w:t>责令改正，没收违法所得，可以并处违法所得</w:t>
            </w:r>
            <w:r w:rsidRPr="0002085C">
              <w:t>5</w:t>
            </w:r>
            <w:r w:rsidRPr="0002085C">
              <w:rPr>
                <w:rFonts w:cs="宋体" w:hint="eastAsia"/>
              </w:rPr>
              <w:t>倍以下的罚款；没有违法所得的，可以处</w:t>
            </w:r>
            <w:r w:rsidRPr="0002085C">
              <w:t>2</w:t>
            </w:r>
            <w:r w:rsidRPr="0002085C">
              <w:rPr>
                <w:rFonts w:cs="宋体" w:hint="eastAsia"/>
              </w:rPr>
              <w:t>万元以上</w:t>
            </w:r>
            <w:r w:rsidRPr="0002085C">
              <w:t>20</w:t>
            </w:r>
            <w:r w:rsidRPr="0002085C">
              <w:rPr>
                <w:rFonts w:cs="宋体" w:hint="eastAsia"/>
              </w:rPr>
              <w:t>万元以下的罚款；情节严重的，责令停业整顿。</w:t>
            </w:r>
          </w:p>
        </w:tc>
        <w:tc>
          <w:tcPr>
            <w:tcW w:w="2135" w:type="dxa"/>
            <w:vAlign w:val="center"/>
          </w:tcPr>
          <w:p w:rsidR="00A32067" w:rsidRPr="0002085C" w:rsidRDefault="00A32067">
            <w:r w:rsidRPr="0002085C">
              <w:rPr>
                <w:rFonts w:cs="宋体" w:hint="eastAsia"/>
              </w:rPr>
              <w:t>《中华人民共和国价格法》第三十九条</w:t>
            </w:r>
          </w:p>
          <w:p w:rsidR="00A32067" w:rsidRPr="0002085C" w:rsidRDefault="00A32067">
            <w:r w:rsidRPr="0002085C">
              <w:rPr>
                <w:rFonts w:cs="宋体" w:hint="eastAsia"/>
              </w:rPr>
              <w:t>《价格违法行为行政处罚规定》第七条</w:t>
            </w:r>
          </w:p>
        </w:tc>
      </w:tr>
      <w:tr w:rsidR="00A32067">
        <w:trPr>
          <w:trHeight w:val="1269"/>
          <w:jc w:val="center"/>
        </w:trPr>
        <w:tc>
          <w:tcPr>
            <w:tcW w:w="710" w:type="dxa"/>
            <w:vAlign w:val="center"/>
          </w:tcPr>
          <w:p w:rsidR="00A32067" w:rsidRPr="0002085C" w:rsidRDefault="00A32067" w:rsidP="0002085C">
            <w:pPr>
              <w:jc w:val="center"/>
            </w:pPr>
            <w:r w:rsidRPr="0002085C">
              <w:t>2</w:t>
            </w:r>
          </w:p>
        </w:tc>
        <w:tc>
          <w:tcPr>
            <w:tcW w:w="2388" w:type="dxa"/>
            <w:vAlign w:val="center"/>
          </w:tcPr>
          <w:p w:rsidR="00A32067" w:rsidRPr="0002085C" w:rsidRDefault="00A32067">
            <w:r w:rsidRPr="0002085C">
              <w:rPr>
                <w:rFonts w:cs="宋体" w:hint="eastAsia"/>
              </w:rPr>
              <w:t>地方各级人民政府或者各级人民政府有关部门不执行政府指导价的</w:t>
            </w:r>
          </w:p>
        </w:tc>
        <w:tc>
          <w:tcPr>
            <w:tcW w:w="3465" w:type="dxa"/>
            <w:vAlign w:val="center"/>
          </w:tcPr>
          <w:p w:rsidR="00A32067" w:rsidRPr="0002085C" w:rsidRDefault="00A32067">
            <w:r w:rsidRPr="0002085C">
              <w:rPr>
                <w:rFonts w:cs="宋体" w:hint="eastAsia"/>
              </w:rPr>
              <w:t>责令改正，并可以通报批评；对直接负责的主管人员和其他直接责任人员，依法给予行政处分。</w:t>
            </w:r>
          </w:p>
        </w:tc>
        <w:tc>
          <w:tcPr>
            <w:tcW w:w="2135" w:type="dxa"/>
            <w:vAlign w:val="center"/>
          </w:tcPr>
          <w:p w:rsidR="00A32067" w:rsidRPr="0002085C" w:rsidRDefault="00A32067">
            <w:r w:rsidRPr="0002085C">
              <w:rPr>
                <w:rFonts w:cs="宋体" w:hint="eastAsia"/>
              </w:rPr>
              <w:t>《中华人民共和国价格法》第四十五条</w:t>
            </w:r>
          </w:p>
        </w:tc>
      </w:tr>
      <w:tr w:rsidR="00A32067">
        <w:trPr>
          <w:trHeight w:val="2067"/>
          <w:jc w:val="center"/>
        </w:trPr>
        <w:tc>
          <w:tcPr>
            <w:tcW w:w="710" w:type="dxa"/>
            <w:vAlign w:val="center"/>
          </w:tcPr>
          <w:p w:rsidR="00A32067" w:rsidRPr="0002085C" w:rsidRDefault="00A32067" w:rsidP="0002085C">
            <w:pPr>
              <w:jc w:val="center"/>
            </w:pPr>
            <w:r w:rsidRPr="0002085C">
              <w:t>3</w:t>
            </w:r>
          </w:p>
        </w:tc>
        <w:tc>
          <w:tcPr>
            <w:tcW w:w="2388" w:type="dxa"/>
            <w:vAlign w:val="center"/>
          </w:tcPr>
          <w:p w:rsidR="00A32067" w:rsidRPr="0002085C" w:rsidRDefault="00A32067">
            <w:r w:rsidRPr="0002085C">
              <w:rPr>
                <w:rFonts w:cs="宋体" w:hint="eastAsia"/>
              </w:rPr>
              <w:t>评标人不能客观、公正履行职责的</w:t>
            </w:r>
          </w:p>
        </w:tc>
        <w:tc>
          <w:tcPr>
            <w:tcW w:w="3465" w:type="dxa"/>
            <w:vAlign w:val="center"/>
          </w:tcPr>
          <w:p w:rsidR="00A32067" w:rsidRPr="0002085C" w:rsidRDefault="00A32067">
            <w:r w:rsidRPr="0002085C">
              <w:rPr>
                <w:rFonts w:cs="宋体" w:hint="eastAsia"/>
              </w:rPr>
              <w:t>由有关行政监督部门给予警告；情节严重的，由组建评标专家库的政府部门或者招标代理机构取消担任评标专家的资格，予以公告，并处以一万元以下的罚款。</w:t>
            </w:r>
          </w:p>
        </w:tc>
        <w:tc>
          <w:tcPr>
            <w:tcW w:w="2135" w:type="dxa"/>
            <w:vAlign w:val="center"/>
          </w:tcPr>
          <w:p w:rsidR="00A32067" w:rsidRPr="0002085C" w:rsidRDefault="00A32067">
            <w:r w:rsidRPr="0002085C">
              <w:rPr>
                <w:rFonts w:cs="宋体" w:hint="eastAsia"/>
              </w:rPr>
              <w:t>《评标专家和评标专家库管理办法》第十五条</w:t>
            </w:r>
          </w:p>
          <w:p w:rsidR="00A32067" w:rsidRPr="0002085C" w:rsidRDefault="00A32067">
            <w:r w:rsidRPr="0002085C">
              <w:rPr>
                <w:rFonts w:cs="宋体" w:hint="eastAsia"/>
              </w:rPr>
              <w:t>《评标委员会和评标方法暂行规定》第五十三条</w:t>
            </w:r>
          </w:p>
        </w:tc>
      </w:tr>
      <w:tr w:rsidR="00A32067">
        <w:trPr>
          <w:trHeight w:val="1459"/>
          <w:jc w:val="center"/>
        </w:trPr>
        <w:tc>
          <w:tcPr>
            <w:tcW w:w="710" w:type="dxa"/>
            <w:vAlign w:val="center"/>
          </w:tcPr>
          <w:p w:rsidR="00A32067" w:rsidRPr="0002085C" w:rsidRDefault="00A32067" w:rsidP="0002085C">
            <w:pPr>
              <w:jc w:val="center"/>
            </w:pPr>
            <w:r w:rsidRPr="0002085C">
              <w:t>4</w:t>
            </w:r>
          </w:p>
        </w:tc>
        <w:tc>
          <w:tcPr>
            <w:tcW w:w="2388" w:type="dxa"/>
            <w:vAlign w:val="center"/>
          </w:tcPr>
          <w:p w:rsidR="00A32067" w:rsidRPr="0002085C" w:rsidRDefault="00A32067">
            <w:r w:rsidRPr="0002085C">
              <w:rPr>
                <w:rFonts w:cs="宋体" w:hint="eastAsia"/>
              </w:rPr>
              <w:t>评标委员会及其成员在评标过程中有违法行为，且影响评标结果的</w:t>
            </w:r>
          </w:p>
        </w:tc>
        <w:tc>
          <w:tcPr>
            <w:tcW w:w="3465" w:type="dxa"/>
            <w:vAlign w:val="center"/>
          </w:tcPr>
          <w:p w:rsidR="00A32067" w:rsidRPr="0002085C" w:rsidRDefault="00A32067">
            <w:r w:rsidRPr="0002085C">
              <w:rPr>
                <w:rFonts w:cs="宋体" w:hint="eastAsia"/>
              </w:rPr>
              <w:t>评标无效，应当依法重新进行评标或者重新进行招标，可以并处三万元以下的罚款。</w:t>
            </w:r>
          </w:p>
        </w:tc>
        <w:tc>
          <w:tcPr>
            <w:tcW w:w="2135" w:type="dxa"/>
            <w:vAlign w:val="center"/>
          </w:tcPr>
          <w:p w:rsidR="00A32067" w:rsidRPr="0002085C" w:rsidRDefault="00A32067">
            <w:r w:rsidRPr="0002085C">
              <w:rPr>
                <w:rFonts w:cs="宋体" w:hint="eastAsia"/>
              </w:rPr>
              <w:t>《工程勘察设计项目招标投标办法》第五十四条</w:t>
            </w:r>
          </w:p>
        </w:tc>
      </w:tr>
    </w:tbl>
    <w:p w:rsidR="00A32067" w:rsidRDefault="00A32067"/>
    <w:p w:rsidR="00A32067" w:rsidRDefault="00A32067">
      <w:pPr>
        <w:spacing w:line="480" w:lineRule="atLeast"/>
        <w:rPr>
          <w:color w:val="000000"/>
          <w:sz w:val="28"/>
          <w:szCs w:val="28"/>
        </w:rPr>
      </w:pPr>
    </w:p>
    <w:p w:rsidR="00A32067" w:rsidRDefault="00A32067">
      <w:pPr>
        <w:spacing w:line="220" w:lineRule="atLeast"/>
        <w:rPr>
          <w:color w:val="000000"/>
          <w:sz w:val="28"/>
          <w:szCs w:val="28"/>
        </w:rPr>
      </w:pPr>
      <w:r>
        <w:rPr>
          <w:color w:val="000000"/>
          <w:sz w:val="28"/>
          <w:szCs w:val="28"/>
        </w:rPr>
        <w:br w:type="page"/>
      </w:r>
    </w:p>
    <w:p w:rsidR="00A32067" w:rsidRDefault="00A32067" w:rsidP="0002085C">
      <w:pPr>
        <w:spacing w:beforeLines="50" w:afterLines="50" w:line="360" w:lineRule="auto"/>
        <w:jc w:val="center"/>
        <w:outlineLvl w:val="2"/>
        <w:rPr>
          <w:b/>
          <w:bCs/>
          <w:sz w:val="44"/>
          <w:szCs w:val="44"/>
        </w:rPr>
      </w:pPr>
      <w:bookmarkStart w:id="77" w:name="_Toc519872306"/>
      <w:r>
        <w:rPr>
          <w:rFonts w:cs="宋体" w:hint="eastAsia"/>
          <w:b/>
          <w:bCs/>
          <w:sz w:val="44"/>
          <w:szCs w:val="44"/>
        </w:rPr>
        <w:t>关于发布《河北省劳动安全卫生监察系统行政事业性收费项目及标准（试行）》的通知</w:t>
      </w:r>
      <w:r>
        <w:rPr>
          <w:b/>
          <w:bCs/>
          <w:sz w:val="44"/>
          <w:szCs w:val="44"/>
        </w:rPr>
        <w:br/>
      </w:r>
      <w:r>
        <w:rPr>
          <w:rFonts w:cs="宋体" w:hint="eastAsia"/>
          <w:sz w:val="22"/>
          <w:szCs w:val="22"/>
        </w:rPr>
        <w:t>冀价涉费【</w:t>
      </w:r>
      <w:r>
        <w:rPr>
          <w:sz w:val="22"/>
          <w:szCs w:val="22"/>
        </w:rPr>
        <w:t>1992</w:t>
      </w:r>
      <w:r>
        <w:rPr>
          <w:rFonts w:cs="宋体" w:hint="eastAsia"/>
          <w:sz w:val="22"/>
          <w:szCs w:val="22"/>
        </w:rPr>
        <w:t>】</w:t>
      </w:r>
      <w:r>
        <w:rPr>
          <w:sz w:val="22"/>
          <w:szCs w:val="22"/>
        </w:rPr>
        <w:t>248</w:t>
      </w:r>
      <w:r>
        <w:rPr>
          <w:rFonts w:cs="宋体" w:hint="eastAsia"/>
          <w:sz w:val="22"/>
          <w:szCs w:val="22"/>
        </w:rPr>
        <w:t>号</w:t>
      </w:r>
      <w:bookmarkEnd w:id="77"/>
    </w:p>
    <w:p w:rsidR="00A32067" w:rsidRDefault="00A32067">
      <w:pPr>
        <w:spacing w:line="360" w:lineRule="auto"/>
        <w:rPr>
          <w:sz w:val="22"/>
          <w:szCs w:val="22"/>
        </w:rPr>
      </w:pPr>
      <w:r>
        <w:rPr>
          <w:rFonts w:cs="宋体" w:hint="eastAsia"/>
          <w:sz w:val="22"/>
          <w:szCs w:val="22"/>
        </w:rPr>
        <w:t>各地、市物价局、财政局、劳动（劳动人事）局、华北石油管理局：</w:t>
      </w:r>
    </w:p>
    <w:p w:rsidR="00A32067" w:rsidRDefault="00A32067" w:rsidP="005431C7">
      <w:pPr>
        <w:spacing w:line="360" w:lineRule="exact"/>
        <w:ind w:firstLineChars="200" w:firstLine="31680"/>
        <w:rPr>
          <w:sz w:val="22"/>
          <w:szCs w:val="22"/>
        </w:rPr>
      </w:pPr>
      <w:r>
        <w:rPr>
          <w:rFonts w:cs="宋体" w:hint="eastAsia"/>
          <w:sz w:val="22"/>
          <w:szCs w:val="22"/>
        </w:rPr>
        <w:t>为了保护劳动者在生产过程中的安全和健康，确保国民经济建设的顺利发展，根据国务院《关于研究劳动安全与综合管理问题的会议纪要》和国家物价局、财政部《关于发布中央管理的劳动部门行政事业性收费项目和标准的通知》精神，本着劳动安全卫生监察和检测检验为经济建设服务、为企业服务的原则，参照兄弟省市有关收费标准，对我省劳动安全卫生监察系统行政事业性收费项目和标准进行了清理和核定，现将清理核定后的《河北省劳动安全卫生监察系统行政事业性收费项目及标准（试行）》印发给你们。就有关问题通知如下，请遵照执行。</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一、各级劳动安全卫生</w:t>
      </w:r>
      <w:r>
        <w:rPr>
          <w:rFonts w:ascii="Times New Roman" w:eastAsia="宋体" w:hAnsi="Times New Roman" w:cs="宋体" w:hint="eastAsia"/>
          <w:kern w:val="2"/>
          <w:sz w:val="22"/>
          <w:szCs w:val="22"/>
        </w:rPr>
        <w:t>监</w:t>
      </w:r>
      <w:r>
        <w:rPr>
          <w:rFonts w:ascii="Times New Roman" w:eastAsia="宋体" w:hAnsi="Times New Roman" w:cs="宋体" w:hint="eastAsia"/>
          <w:spacing w:val="0"/>
          <w:kern w:val="2"/>
          <w:sz w:val="22"/>
          <w:szCs w:val="22"/>
        </w:rPr>
        <w:t>察部门要加快转变职能</w:t>
      </w:r>
      <w:r>
        <w:rPr>
          <w:rFonts w:ascii="Times New Roman" w:eastAsia="宋体" w:hAnsi="Times New Roman" w:cs="宋体" w:hint="eastAsia"/>
          <w:kern w:val="2"/>
          <w:sz w:val="22"/>
          <w:szCs w:val="22"/>
        </w:rPr>
        <w:t>，</w:t>
      </w:r>
      <w:r>
        <w:rPr>
          <w:rFonts w:ascii="Times New Roman" w:eastAsia="宋体" w:hAnsi="Times New Roman" w:cs="宋体" w:hint="eastAsia"/>
          <w:spacing w:val="0"/>
          <w:kern w:val="2"/>
          <w:sz w:val="22"/>
          <w:szCs w:val="22"/>
        </w:rPr>
        <w:t>改进工作</w:t>
      </w:r>
      <w:r>
        <w:rPr>
          <w:rFonts w:ascii="Times New Roman" w:eastAsia="宋体" w:hAnsi="Times New Roman" w:cs="宋体" w:hint="eastAsia"/>
          <w:kern w:val="2"/>
          <w:sz w:val="22"/>
          <w:szCs w:val="22"/>
        </w:rPr>
        <w:t>注</w:t>
      </w:r>
      <w:r>
        <w:rPr>
          <w:rFonts w:ascii="Times New Roman" w:eastAsia="宋体" w:hAnsi="Times New Roman" w:cs="宋体" w:hint="eastAsia"/>
          <w:spacing w:val="0"/>
          <w:kern w:val="2"/>
          <w:sz w:val="22"/>
          <w:szCs w:val="22"/>
        </w:rPr>
        <w:t>重工作实效，注意减轻企业负担，增强企业在安全生产中的责任</w:t>
      </w:r>
      <w:r>
        <w:rPr>
          <w:rFonts w:ascii="Times New Roman" w:eastAsia="宋体" w:hAnsi="Times New Roman" w:cs="宋体" w:hint="eastAsia"/>
          <w:kern w:val="2"/>
          <w:sz w:val="22"/>
          <w:szCs w:val="22"/>
        </w:rPr>
        <w:t>。</w:t>
      </w:r>
      <w:r>
        <w:rPr>
          <w:rFonts w:ascii="Times New Roman" w:eastAsia="宋体" w:hAnsi="Times New Roman" w:cs="宋体" w:hint="eastAsia"/>
          <w:spacing w:val="0"/>
          <w:kern w:val="2"/>
          <w:sz w:val="22"/>
          <w:szCs w:val="22"/>
        </w:rPr>
        <w:t>同时</w:t>
      </w:r>
      <w:r>
        <w:rPr>
          <w:rFonts w:ascii="Times New Roman" w:eastAsia="宋体" w:hAnsi="Times New Roman" w:cs="宋体" w:hint="eastAsia"/>
          <w:b/>
          <w:bCs/>
          <w:kern w:val="2"/>
          <w:sz w:val="22"/>
          <w:szCs w:val="22"/>
        </w:rPr>
        <w:t>，</w:t>
      </w:r>
      <w:r>
        <w:rPr>
          <w:rFonts w:ascii="Times New Roman" w:eastAsia="宋体" w:hAnsi="Times New Roman" w:cs="宋体" w:hint="eastAsia"/>
          <w:spacing w:val="0"/>
          <w:kern w:val="2"/>
          <w:sz w:val="22"/>
          <w:szCs w:val="22"/>
        </w:rPr>
        <w:t>要加强对现有劳动安全卫生检测检验机构的管理</w:t>
      </w:r>
      <w:r>
        <w:rPr>
          <w:rFonts w:ascii="Times New Roman" w:eastAsia="宋体" w:hAnsi="Times New Roman" w:cs="宋体" w:hint="eastAsia"/>
          <w:b/>
          <w:bCs/>
          <w:kern w:val="2"/>
          <w:sz w:val="22"/>
          <w:szCs w:val="22"/>
        </w:rPr>
        <w:t>。</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二、为便于工作</w:t>
      </w:r>
      <w:r>
        <w:rPr>
          <w:rFonts w:ascii="Times New Roman" w:eastAsia="宋体" w:hAnsi="Times New Roman" w:cs="Times New Roman"/>
          <w:b/>
          <w:bCs/>
          <w:kern w:val="2"/>
          <w:sz w:val="22"/>
          <w:szCs w:val="22"/>
        </w:rPr>
        <w:t>^</w:t>
      </w:r>
      <w:r>
        <w:rPr>
          <w:rFonts w:ascii="Times New Roman" w:eastAsia="宋体" w:hAnsi="Times New Roman" w:cs="宋体" w:hint="eastAsia"/>
          <w:spacing w:val="0"/>
          <w:kern w:val="2"/>
          <w:sz w:val="22"/>
          <w:szCs w:val="22"/>
        </w:rPr>
        <w:t>避免重复检验、重复收费，我省劳动安全</w:t>
      </w:r>
      <w:r>
        <w:rPr>
          <w:rFonts w:ascii="Times New Roman" w:eastAsia="宋体" w:hAnsi="Times New Roman" w:cs="宋体" w:hint="eastAsia"/>
          <w:kern w:val="2"/>
          <w:sz w:val="22"/>
          <w:szCs w:val="22"/>
        </w:rPr>
        <w:t>卫</w:t>
      </w:r>
      <w:r>
        <w:rPr>
          <w:rFonts w:ascii="Times New Roman" w:eastAsia="宋体" w:hAnsi="Times New Roman" w:cs="宋体" w:hint="eastAsia"/>
          <w:spacing w:val="0"/>
          <w:kern w:val="2"/>
          <w:sz w:val="22"/>
          <w:szCs w:val="22"/>
        </w:rPr>
        <w:t>生检测检验实行分工负责制</w:t>
      </w:r>
      <w:r>
        <w:rPr>
          <w:rFonts w:ascii="Times New Roman" w:eastAsia="宋体" w:hAnsi="Times New Roman" w:cs="宋体" w:hint="eastAsia"/>
          <w:b/>
          <w:bCs/>
          <w:kern w:val="2"/>
          <w:sz w:val="22"/>
          <w:szCs w:val="22"/>
        </w:rPr>
        <w:t>。</w:t>
      </w:r>
      <w:r>
        <w:rPr>
          <w:rFonts w:ascii="Times New Roman" w:eastAsia="宋体" w:hAnsi="Times New Roman" w:cs="宋体" w:hint="eastAsia"/>
          <w:spacing w:val="0"/>
          <w:kern w:val="2"/>
          <w:sz w:val="22"/>
          <w:szCs w:val="22"/>
        </w:rPr>
        <w:t>省劳动安全卫生检测检验中心站负责全省范围内的电梯、索道的检验，各地、市劳动安圣卫生检测检验站负责当地起重机械、厂内机动车辆以及尘毒等有害物质的常规检</w:t>
      </w:r>
      <w:r>
        <w:rPr>
          <w:rFonts w:ascii="Times New Roman" w:eastAsia="宋体" w:hAnsi="Times New Roman" w:cs="宋体" w:hint="eastAsia"/>
          <w:kern w:val="2"/>
          <w:sz w:val="22"/>
          <w:szCs w:val="22"/>
        </w:rPr>
        <w:t>测</w:t>
      </w:r>
      <w:r>
        <w:rPr>
          <w:rFonts w:ascii="Times New Roman" w:eastAsia="宋体" w:hAnsi="Times New Roman" w:cs="宋体" w:hint="eastAsia"/>
          <w:spacing w:val="0"/>
          <w:kern w:val="2"/>
          <w:sz w:val="22"/>
          <w:szCs w:val="22"/>
        </w:rPr>
        <w:t>检验</w:t>
      </w:r>
      <w:r>
        <w:rPr>
          <w:rFonts w:ascii="Times New Roman" w:eastAsia="宋体" w:hAnsi="Times New Roman" w:cs="宋体" w:hint="eastAsia"/>
          <w:kern w:val="2"/>
          <w:sz w:val="22"/>
          <w:szCs w:val="22"/>
        </w:rPr>
        <w:t>。</w:t>
      </w:r>
      <w:r>
        <w:rPr>
          <w:rFonts w:ascii="Times New Roman" w:eastAsia="宋体" w:hAnsi="Times New Roman" w:cs="宋体" w:hint="eastAsia"/>
          <w:spacing w:val="0"/>
          <w:kern w:val="2"/>
          <w:sz w:val="22"/>
          <w:szCs w:val="22"/>
        </w:rPr>
        <w:t>省中心</w:t>
      </w:r>
      <w:r>
        <w:rPr>
          <w:rFonts w:ascii="Times New Roman" w:eastAsia="宋体" w:hAnsi="Times New Roman" w:cs="宋体" w:hint="eastAsia"/>
          <w:kern w:val="2"/>
          <w:sz w:val="22"/>
          <w:szCs w:val="22"/>
        </w:rPr>
        <w:t>站</w:t>
      </w:r>
      <w:r>
        <w:rPr>
          <w:rFonts w:ascii="Times New Roman" w:eastAsia="宋体" w:hAnsi="Times New Roman" w:cs="宋体" w:hint="eastAsia"/>
          <w:spacing w:val="0"/>
          <w:kern w:val="2"/>
          <w:sz w:val="22"/>
          <w:szCs w:val="22"/>
        </w:rPr>
        <w:t>对地、市级站检验的项目按一定比例进行抽检。劳动防护用品和安全防护装置、器材的产品质量监督检验由省劳动防护用品质量监督检验站负责</w:t>
      </w:r>
      <w:r>
        <w:rPr>
          <w:rFonts w:ascii="Times New Roman" w:eastAsia="宋体" w:hAnsi="Times New Roman" w:cs="宋体" w:hint="eastAsia"/>
          <w:kern w:val="2"/>
          <w:sz w:val="22"/>
          <w:szCs w:val="22"/>
        </w:rPr>
        <w:t>。</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三、各级劳动安全卫生检测检验单位</w:t>
      </w:r>
      <w:r>
        <w:rPr>
          <w:rFonts w:ascii="Times New Roman" w:eastAsia="宋体" w:hAnsi="Times New Roman" w:cs="宋体" w:hint="eastAsia"/>
          <w:kern w:val="2"/>
          <w:sz w:val="22"/>
          <w:szCs w:val="22"/>
        </w:rPr>
        <w:t>，</w:t>
      </w:r>
      <w:r>
        <w:rPr>
          <w:rFonts w:ascii="Times New Roman" w:eastAsia="宋体" w:hAnsi="Times New Roman" w:cs="宋体" w:hint="eastAsia"/>
          <w:spacing w:val="0"/>
          <w:kern w:val="2"/>
          <w:sz w:val="22"/>
          <w:szCs w:val="22"/>
        </w:rPr>
        <w:t>要按照分工范围开展检验工作</w:t>
      </w:r>
      <w:r>
        <w:rPr>
          <w:rFonts w:ascii="Times New Roman" w:eastAsia="宋体" w:hAnsi="Times New Roman" w:cs="宋体" w:hint="eastAsia"/>
          <w:b/>
          <w:bCs/>
          <w:kern w:val="2"/>
          <w:sz w:val="22"/>
          <w:szCs w:val="22"/>
        </w:rPr>
        <w:t>，</w:t>
      </w:r>
      <w:r>
        <w:rPr>
          <w:rFonts w:ascii="Times New Roman" w:eastAsia="宋体" w:hAnsi="Times New Roman" w:cs="宋体" w:hint="eastAsia"/>
          <w:spacing w:val="0"/>
          <w:kern w:val="2"/>
          <w:sz w:val="22"/>
          <w:szCs w:val="22"/>
        </w:rPr>
        <w:t>凭物</w:t>
      </w:r>
      <w:r>
        <w:rPr>
          <w:rFonts w:ascii="Times New Roman" w:eastAsia="宋体" w:hAnsi="Times New Roman" w:cs="宋体" w:hint="eastAsia"/>
          <w:kern w:val="2"/>
          <w:sz w:val="22"/>
          <w:szCs w:val="22"/>
        </w:rPr>
        <w:t>价部门颁发的《收费许可证》收费</w:t>
      </w:r>
      <w:r>
        <w:rPr>
          <w:rFonts w:ascii="Times New Roman" w:eastAsia="宋体" w:hAnsi="Times New Roman" w:cs="宋体" w:hint="eastAsia"/>
          <w:spacing w:val="0"/>
          <w:kern w:val="2"/>
          <w:sz w:val="22"/>
          <w:szCs w:val="22"/>
        </w:rPr>
        <w:t>，使用财政部门制定的非经</w:t>
      </w:r>
      <w:r>
        <w:rPr>
          <w:rFonts w:ascii="Times New Roman" w:eastAsia="宋体" w:hAnsi="Times New Roman" w:cs="宋体" w:hint="eastAsia"/>
          <w:kern w:val="2"/>
          <w:sz w:val="22"/>
          <w:szCs w:val="22"/>
        </w:rPr>
        <w:t>营性统一收费票据。严禁随意增加、分解收费项目和提高收费收费标准。省、地、市站要坚决杜绝重复检验和重复收费。所收取的费用属预算外资金，应严格执行省政府冀政（</w:t>
      </w:r>
      <w:r>
        <w:rPr>
          <w:rFonts w:ascii="Times New Roman" w:eastAsia="宋体" w:hAnsi="Times New Roman" w:cs="Times New Roman"/>
          <w:kern w:val="2"/>
          <w:sz w:val="22"/>
          <w:szCs w:val="22"/>
        </w:rPr>
        <w:t>1986</w:t>
      </w:r>
      <w:r>
        <w:rPr>
          <w:rFonts w:ascii="Times New Roman" w:eastAsia="宋体" w:hAnsi="Times New Roman" w:cs="宋体" w:hint="eastAsia"/>
          <w:kern w:val="2"/>
          <w:sz w:val="22"/>
          <w:szCs w:val="22"/>
        </w:rPr>
        <w:t>）</w:t>
      </w:r>
      <w:r>
        <w:rPr>
          <w:rFonts w:ascii="Times New Roman" w:eastAsia="宋体" w:hAnsi="Times New Roman" w:cs="Times New Roman"/>
          <w:kern w:val="2"/>
          <w:sz w:val="22"/>
          <w:szCs w:val="22"/>
        </w:rPr>
        <w:t>57</w:t>
      </w:r>
      <w:r>
        <w:rPr>
          <w:rFonts w:ascii="Times New Roman" w:eastAsia="宋体" w:hAnsi="Times New Roman" w:cs="宋体" w:hint="eastAsia"/>
          <w:kern w:val="2"/>
          <w:sz w:val="22"/>
          <w:szCs w:val="22"/>
        </w:rPr>
        <w:t>号文件的有关规定，纳入同级财政部门专户储存，专项用于检测经费开支的补助。</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四、各级物价部门，要根据本通知规定的分工范围、收费标准及省劳动厅颁发的《检测检验资格证书》，核发《收费许可证</w:t>
      </w:r>
      <w:r>
        <w:rPr>
          <w:rFonts w:ascii="Times New Roman" w:eastAsia="宋体" w:hAnsi="Times New Roman" w:cs="宋体" w:hint="eastAsia"/>
          <w:kern w:val="2"/>
          <w:sz w:val="22"/>
          <w:szCs w:val="22"/>
        </w:rPr>
        <w:t>》。</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五、各级物价、财政和劳动行政部门要加强对收费标准执行情况的监督检查</w:t>
      </w:r>
      <w:r>
        <w:rPr>
          <w:rFonts w:ascii="Times New Roman" w:eastAsia="宋体" w:hAnsi="Times New Roman" w:cs="宋体" w:hint="eastAsia"/>
          <w:b/>
          <w:bCs/>
          <w:kern w:val="2"/>
          <w:sz w:val="22"/>
          <w:szCs w:val="22"/>
        </w:rPr>
        <w:t>。</w:t>
      </w:r>
      <w:r>
        <w:rPr>
          <w:rFonts w:ascii="Times New Roman" w:eastAsia="宋体" w:hAnsi="Times New Roman" w:cs="宋体" w:hint="eastAsia"/>
          <w:spacing w:val="0"/>
          <w:kern w:val="2"/>
          <w:sz w:val="22"/>
          <w:szCs w:val="22"/>
        </w:rPr>
        <w:t>对擅自增加收费项目、提高收费标准的要严肃处理。</w:t>
      </w:r>
    </w:p>
    <w:p w:rsidR="00A32067" w:rsidRDefault="00A32067">
      <w:pPr>
        <w:pStyle w:val="1"/>
        <w:shd w:val="clear" w:color="auto" w:fill="auto"/>
        <w:spacing w:line="360" w:lineRule="exact"/>
        <w:ind w:left="300" w:right="100" w:firstLine="340"/>
        <w:jc w:val="both"/>
        <w:rPr>
          <w:rFonts w:ascii="Times New Roman" w:eastAsia="宋体" w:hAnsi="Times New Roman" w:cs="Times New Roman"/>
          <w:spacing w:val="0"/>
          <w:kern w:val="2"/>
          <w:sz w:val="22"/>
          <w:szCs w:val="22"/>
        </w:rPr>
      </w:pPr>
      <w:r>
        <w:rPr>
          <w:rFonts w:ascii="Times New Roman" w:eastAsia="宋体" w:hAnsi="Times New Roman" w:cs="宋体" w:hint="eastAsia"/>
          <w:spacing w:val="0"/>
          <w:kern w:val="2"/>
          <w:sz w:val="22"/>
          <w:szCs w:val="22"/>
        </w:rPr>
        <w:t>六、自本通知发布之日起，过去省、地、市制定发布的有关</w:t>
      </w:r>
      <w:r>
        <w:rPr>
          <w:rFonts w:ascii="Times New Roman" w:eastAsia="宋体" w:hAnsi="Times New Roman" w:cs="Times New Roman"/>
          <w:spacing w:val="0"/>
          <w:kern w:val="2"/>
          <w:sz w:val="22"/>
          <w:szCs w:val="22"/>
        </w:rPr>
        <w:t xml:space="preserve"> “</w:t>
      </w:r>
      <w:r>
        <w:rPr>
          <w:rFonts w:ascii="Times New Roman" w:eastAsia="宋体" w:hAnsi="Times New Roman" w:cs="宋体" w:hint="eastAsia"/>
          <w:spacing w:val="0"/>
          <w:kern w:val="2"/>
          <w:sz w:val="22"/>
          <w:szCs w:val="22"/>
        </w:rPr>
        <w:t>收费管理办法</w:t>
      </w:r>
      <w:r>
        <w:rPr>
          <w:rFonts w:ascii="Times New Roman" w:eastAsia="宋体" w:hAnsi="Times New Roman" w:cs="Times New Roman"/>
          <w:spacing w:val="0"/>
          <w:kern w:val="2"/>
          <w:sz w:val="22"/>
          <w:szCs w:val="22"/>
        </w:rPr>
        <w:t>”</w:t>
      </w:r>
      <w:r>
        <w:rPr>
          <w:rFonts w:ascii="Times New Roman" w:eastAsia="宋体" w:hAnsi="Times New Roman" w:cs="宋体" w:hint="eastAsia"/>
          <w:spacing w:val="0"/>
          <w:kern w:val="2"/>
          <w:sz w:val="22"/>
          <w:szCs w:val="22"/>
        </w:rPr>
        <w:t>、</w:t>
      </w:r>
      <w:r>
        <w:rPr>
          <w:rFonts w:ascii="Times New Roman" w:eastAsia="宋体" w:hAnsi="Times New Roman" w:cs="Times New Roman"/>
          <w:spacing w:val="0"/>
          <w:kern w:val="2"/>
          <w:sz w:val="22"/>
          <w:szCs w:val="22"/>
        </w:rPr>
        <w:t>“</w:t>
      </w:r>
      <w:r>
        <w:rPr>
          <w:rFonts w:ascii="Times New Roman" w:eastAsia="宋体" w:hAnsi="Times New Roman" w:cs="宋体" w:hint="eastAsia"/>
          <w:spacing w:val="0"/>
          <w:kern w:val="2"/>
          <w:sz w:val="22"/>
          <w:szCs w:val="22"/>
        </w:rPr>
        <w:t>收费标准</w:t>
      </w:r>
      <w:r>
        <w:rPr>
          <w:rFonts w:ascii="Times New Roman" w:eastAsia="宋体" w:hAnsi="Times New Roman" w:cs="Times New Roman"/>
          <w:spacing w:val="0"/>
          <w:kern w:val="2"/>
          <w:sz w:val="22"/>
          <w:szCs w:val="22"/>
        </w:rPr>
        <w:t>”</w:t>
      </w:r>
      <w:r>
        <w:rPr>
          <w:rFonts w:ascii="Times New Roman" w:eastAsia="宋体" w:hAnsi="Times New Roman" w:cs="宋体" w:hint="eastAsia"/>
          <w:spacing w:val="0"/>
          <w:kern w:val="2"/>
          <w:sz w:val="22"/>
          <w:szCs w:val="22"/>
        </w:rPr>
        <w:t>同时废止。</w:t>
      </w:r>
    </w:p>
    <w:p w:rsidR="00A32067" w:rsidRDefault="00A32067" w:rsidP="005431C7">
      <w:pPr>
        <w:spacing w:line="360" w:lineRule="exact"/>
        <w:ind w:firstLineChars="200" w:firstLine="31680"/>
        <w:rPr>
          <w:sz w:val="22"/>
          <w:szCs w:val="22"/>
        </w:rPr>
      </w:pPr>
    </w:p>
    <w:p w:rsidR="00A32067" w:rsidRDefault="00A32067" w:rsidP="005431C7">
      <w:pPr>
        <w:spacing w:line="360" w:lineRule="auto"/>
        <w:ind w:firstLineChars="200" w:firstLine="31680"/>
        <w:rPr>
          <w:sz w:val="22"/>
          <w:szCs w:val="22"/>
        </w:rPr>
      </w:pPr>
      <w:r>
        <w:rPr>
          <w:rFonts w:cs="宋体" w:hint="eastAsia"/>
          <w:sz w:val="22"/>
          <w:szCs w:val="22"/>
        </w:rPr>
        <w:t>附件：一、河北省劳动安全卫生检测检验机构监督检验、监测收费实施办法</w:t>
      </w:r>
    </w:p>
    <w:p w:rsidR="00A32067" w:rsidRDefault="00A32067" w:rsidP="005431C7">
      <w:pPr>
        <w:pStyle w:val="ListParagraph"/>
        <w:spacing w:line="360" w:lineRule="auto"/>
        <w:ind w:left="420" w:firstLineChars="300" w:firstLine="31680"/>
        <w:rPr>
          <w:sz w:val="22"/>
          <w:szCs w:val="22"/>
        </w:rPr>
      </w:pPr>
      <w:r>
        <w:rPr>
          <w:rFonts w:cs="宋体" w:hint="eastAsia"/>
          <w:sz w:val="22"/>
          <w:szCs w:val="22"/>
        </w:rPr>
        <w:t>二、河北省劳动安全卫生监察系统行政事业性收费项目及标准（试行）</w:t>
      </w:r>
    </w:p>
    <w:p w:rsidR="00A32067" w:rsidRDefault="00A32067"/>
    <w:p w:rsidR="00A32067" w:rsidRDefault="00A32067">
      <w:pPr>
        <w:spacing w:line="360" w:lineRule="auto"/>
        <w:ind w:right="420"/>
        <w:jc w:val="center"/>
      </w:pPr>
      <w:r>
        <w:rPr>
          <w:rFonts w:cs="宋体" w:hint="eastAsia"/>
        </w:rPr>
        <w:t>河北省物价局</w:t>
      </w:r>
    </w:p>
    <w:p w:rsidR="00A32067" w:rsidRDefault="00A32067" w:rsidP="005431C7">
      <w:pPr>
        <w:spacing w:line="360" w:lineRule="auto"/>
        <w:ind w:right="420" w:firstLineChars="3550" w:firstLine="31680"/>
      </w:pPr>
      <w:r>
        <w:rPr>
          <w:rFonts w:cs="宋体" w:hint="eastAsia"/>
        </w:rPr>
        <w:t>河北省财政厅</w:t>
      </w:r>
    </w:p>
    <w:p w:rsidR="00A32067" w:rsidRDefault="00A32067">
      <w:pPr>
        <w:spacing w:line="360" w:lineRule="auto"/>
        <w:ind w:right="420"/>
        <w:jc w:val="center"/>
      </w:pPr>
      <w:r>
        <w:rPr>
          <w:rFonts w:cs="宋体" w:hint="eastAsia"/>
        </w:rPr>
        <w:t>河北省劳动厅</w:t>
      </w:r>
    </w:p>
    <w:p w:rsidR="00A32067" w:rsidRDefault="00A32067">
      <w:pPr>
        <w:spacing w:line="360" w:lineRule="auto"/>
        <w:jc w:val="right"/>
      </w:pPr>
      <w:r>
        <w:rPr>
          <w:rFonts w:cs="宋体" w:hint="eastAsia"/>
        </w:rPr>
        <w:t>一九九二年十二月十五日</w:t>
      </w: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bookmarkStart w:id="78" w:name="bookmark0"/>
      <w:r>
        <w:rPr>
          <w:rFonts w:ascii="Times New Roman" w:eastAsia="宋体" w:hAnsi="Times New Roman" w:cs="宋体" w:hint="eastAsia"/>
          <w:b/>
          <w:bCs/>
          <w:sz w:val="24"/>
          <w:szCs w:val="24"/>
          <w:lang w:val="zh-TW"/>
        </w:rPr>
        <w:t>附件</w:t>
      </w:r>
      <w:r>
        <w:rPr>
          <w:rFonts w:ascii="Times New Roman" w:eastAsia="宋体" w:hAnsi="Times New Roman" w:cs="Times New Roman"/>
          <w:b/>
          <w:bCs/>
          <w:sz w:val="24"/>
          <w:szCs w:val="24"/>
          <w:lang w:val="zh-TW"/>
        </w:rPr>
        <w:t>1</w:t>
      </w:r>
    </w:p>
    <w:p w:rsidR="00A32067" w:rsidRDefault="00A32067" w:rsidP="0002085C">
      <w:pPr>
        <w:pStyle w:val="1"/>
        <w:shd w:val="clear" w:color="auto" w:fill="auto"/>
        <w:spacing w:beforeLines="50" w:afterLines="100" w:line="360" w:lineRule="auto"/>
        <w:jc w:val="center"/>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河北省劳动安全卫生检测检验机构监督检验、监测收费实施办法</w:t>
      </w:r>
      <w:bookmarkEnd w:id="78"/>
    </w:p>
    <w:p w:rsidR="00A32067" w:rsidRDefault="00A32067" w:rsidP="005431C7">
      <w:pPr>
        <w:pStyle w:val="22"/>
        <w:shd w:val="clear" w:color="auto" w:fill="auto"/>
        <w:spacing w:line="360" w:lineRule="auto"/>
        <w:ind w:left="220" w:right="20" w:firstLineChars="200" w:firstLine="31680"/>
        <w:rPr>
          <w:sz w:val="22"/>
          <w:szCs w:val="22"/>
        </w:rPr>
      </w:pPr>
      <w:r>
        <w:rPr>
          <w:rFonts w:cs="宋体" w:hint="eastAsia"/>
          <w:b/>
          <w:bCs/>
          <w:color w:val="000000"/>
          <w:sz w:val="22"/>
          <w:szCs w:val="22"/>
          <w:lang w:val="zh-TW"/>
        </w:rPr>
        <w:t>第一条</w:t>
      </w:r>
      <w:r>
        <w:rPr>
          <w:rFonts w:cs="宋体" w:hint="eastAsia"/>
          <w:color w:val="000000"/>
          <w:sz w:val="22"/>
          <w:szCs w:val="22"/>
          <w:lang w:val="zh-TW"/>
        </w:rPr>
        <w:t>根据国家物价局、财政部【</w:t>
      </w:r>
      <w:r>
        <w:rPr>
          <w:color w:val="000000"/>
          <w:sz w:val="22"/>
          <w:szCs w:val="22"/>
          <w:lang w:val="zh-TW"/>
        </w:rPr>
        <w:t>1992</w:t>
      </w:r>
      <w:r>
        <w:rPr>
          <w:rFonts w:cs="宋体" w:hint="eastAsia"/>
          <w:color w:val="000000"/>
          <w:sz w:val="22"/>
          <w:szCs w:val="22"/>
          <w:lang w:val="zh-TW"/>
        </w:rPr>
        <w:t>】价费字</w:t>
      </w:r>
      <w:r>
        <w:rPr>
          <w:color w:val="000000"/>
          <w:sz w:val="22"/>
          <w:szCs w:val="22"/>
          <w:lang w:val="zh-TW"/>
        </w:rPr>
        <w:t>268</w:t>
      </w:r>
      <w:r>
        <w:rPr>
          <w:rFonts w:cs="宋体" w:hint="eastAsia"/>
          <w:color w:val="000000"/>
          <w:sz w:val="22"/>
          <w:szCs w:val="22"/>
          <w:lang w:val="zh-TW"/>
        </w:rPr>
        <w:t>号《关于发布中央管理的劳动部门行政事业性收费项目和标准的通知》精神，结合我省实际情况，特制定本实施方案</w:t>
      </w:r>
      <w:r>
        <w:rPr>
          <w:rStyle w:val="Arial"/>
          <w:rFonts w:ascii="Times New Roman" w:eastAsia="宋体" w:hAnsi="Times New Roman" w:cs="宋体" w:hint="eastAsia"/>
          <w:lang w:eastAsia="zh-CN"/>
        </w:rPr>
        <w:t>。</w:t>
      </w:r>
    </w:p>
    <w:p w:rsidR="00A32067" w:rsidRDefault="00A32067" w:rsidP="005431C7">
      <w:pPr>
        <w:pStyle w:val="22"/>
        <w:shd w:val="clear" w:color="auto" w:fill="auto"/>
        <w:spacing w:line="360" w:lineRule="auto"/>
        <w:ind w:left="220" w:right="20" w:firstLineChars="200" w:firstLine="31680"/>
        <w:rPr>
          <w:sz w:val="22"/>
          <w:szCs w:val="22"/>
        </w:rPr>
      </w:pPr>
      <w:r>
        <w:rPr>
          <w:rFonts w:cs="宋体" w:hint="eastAsia"/>
          <w:b/>
          <w:bCs/>
          <w:color w:val="000000"/>
          <w:sz w:val="22"/>
          <w:szCs w:val="22"/>
          <w:lang w:val="zh-TW"/>
        </w:rPr>
        <w:t>第二条</w:t>
      </w:r>
      <w:r>
        <w:rPr>
          <w:rFonts w:cs="宋体" w:hint="eastAsia"/>
          <w:color w:val="000000"/>
          <w:sz w:val="22"/>
          <w:szCs w:val="22"/>
          <w:lang w:val="zh-TW"/>
        </w:rPr>
        <w:t>本方案适用于河北省劳动防护用品质量监督检验站和省内各级劳动安全卫生检测检验机构</w:t>
      </w:r>
      <w:r>
        <w:rPr>
          <w:rStyle w:val="11pt"/>
          <w:rFonts w:ascii="Times New Roman" w:eastAsia="宋体" w:hAnsi="Times New Roman" w:cs="Times New Roman"/>
          <w:lang w:val="zh-TW"/>
        </w:rPr>
        <w:t>.</w:t>
      </w:r>
    </w:p>
    <w:p w:rsidR="00A32067" w:rsidRDefault="00A32067" w:rsidP="005431C7">
      <w:pPr>
        <w:pStyle w:val="22"/>
        <w:shd w:val="clear" w:color="auto" w:fill="auto"/>
        <w:spacing w:line="360" w:lineRule="auto"/>
        <w:ind w:left="220" w:right="20" w:firstLineChars="200" w:firstLine="31680"/>
        <w:rPr>
          <w:sz w:val="22"/>
          <w:szCs w:val="22"/>
        </w:rPr>
      </w:pPr>
      <w:r>
        <w:rPr>
          <w:rFonts w:cs="宋体" w:hint="eastAsia"/>
          <w:b/>
          <w:bCs/>
          <w:color w:val="000000"/>
          <w:sz w:val="22"/>
          <w:szCs w:val="22"/>
          <w:lang w:val="zh-TW"/>
        </w:rPr>
        <w:t>第三条</w:t>
      </w:r>
      <w:r>
        <w:rPr>
          <w:rFonts w:cs="宋体" w:hint="eastAsia"/>
          <w:color w:val="000000"/>
          <w:sz w:val="22"/>
          <w:szCs w:val="22"/>
          <w:lang w:val="zh-TW"/>
        </w:rPr>
        <w:t>根据国家规定</w:t>
      </w:r>
      <w:r>
        <w:rPr>
          <w:rFonts w:cs="宋体" w:hint="eastAsia"/>
          <w:color w:val="000000"/>
          <w:sz w:val="22"/>
          <w:szCs w:val="22"/>
        </w:rPr>
        <w:t>，</w:t>
      </w:r>
      <w:r>
        <w:rPr>
          <w:rFonts w:cs="宋体" w:hint="eastAsia"/>
          <w:color w:val="000000"/>
          <w:sz w:val="22"/>
          <w:szCs w:val="22"/>
          <w:lang w:val="zh-TW"/>
        </w:rPr>
        <w:t>河北省劳动防护用品质量监督检验站</w:t>
      </w:r>
      <w:r>
        <w:rPr>
          <w:rStyle w:val="11pt"/>
          <w:rFonts w:ascii="Times New Roman" w:eastAsia="宋体" w:hAnsi="Times New Roman" w:cs="Times New Roman"/>
          <w:lang w:val="zh-TW"/>
        </w:rPr>
        <w:t>{</w:t>
      </w:r>
      <w:r>
        <w:rPr>
          <w:rFonts w:cs="宋体" w:hint="eastAsia"/>
          <w:color w:val="000000"/>
          <w:sz w:val="22"/>
          <w:szCs w:val="22"/>
          <w:lang w:val="zh-TW"/>
        </w:rPr>
        <w:t>以下筒称省护品质检站）是法定的劳动防护用品、安全防护装置的检验机构，负责全省劳动防护用品及安全防护装置（以下统称劳动防护用品）的监督检验工作；各级劳动安全卫生检测检验机构是法定的劳动安全卫生检测检验的执法机构</w:t>
      </w:r>
      <w:r>
        <w:rPr>
          <w:rFonts w:cs="宋体" w:hint="eastAsia"/>
          <w:color w:val="000000"/>
          <w:sz w:val="22"/>
          <w:szCs w:val="22"/>
        </w:rPr>
        <w:t>，</w:t>
      </w:r>
      <w:r>
        <w:rPr>
          <w:rFonts w:cs="宋体" w:hint="eastAsia"/>
          <w:color w:val="000000"/>
          <w:sz w:val="22"/>
          <w:szCs w:val="22"/>
          <w:lang w:val="zh-TW"/>
        </w:rPr>
        <w:t>按分工范围分别负责电梯、索道检验、起重机械、厂内机动车辆、电气设备的安全技术检验、劳动安全卫生工程、职业危害程度分级检测检验、物理因素和空气理化测定、以及生产性建设项目和技术改造项目劳动安全卫生评价等工作，并按照《河北省劳动安全卫生监察系统行政事业性收费项目及标准（试行）》（以下筒称</w:t>
      </w:r>
      <w:r>
        <w:rPr>
          <w:rStyle w:val="11pt"/>
          <w:rFonts w:ascii="Times New Roman" w:eastAsia="宋体" w:hAnsi="Times New Roman" w:cs="Times New Roman"/>
          <w:lang w:val="zh-TW"/>
        </w:rPr>
        <w:t>“</w:t>
      </w:r>
      <w:r>
        <w:rPr>
          <w:rFonts w:cs="宋体" w:hint="eastAsia"/>
          <w:color w:val="000000"/>
          <w:sz w:val="22"/>
          <w:szCs w:val="22"/>
          <w:lang w:val="zh-TW"/>
        </w:rPr>
        <w:t>收费标准</w:t>
      </w:r>
      <w:r>
        <w:rPr>
          <w:rStyle w:val="11pt"/>
          <w:rFonts w:ascii="Times New Roman" w:eastAsia="宋体" w:hAnsi="Times New Roman" w:cs="Times New Roman"/>
          <w:lang w:val="zh-TW"/>
        </w:rPr>
        <w:t>”</w:t>
      </w:r>
      <w:r>
        <w:rPr>
          <w:rFonts w:cs="宋体" w:hint="eastAsia"/>
          <w:color w:val="000000"/>
          <w:sz w:val="22"/>
          <w:szCs w:val="22"/>
        </w:rPr>
        <w:t>）</w:t>
      </w:r>
      <w:r>
        <w:rPr>
          <w:rFonts w:cs="宋体" w:hint="eastAsia"/>
          <w:color w:val="000000"/>
          <w:sz w:val="22"/>
          <w:szCs w:val="22"/>
          <w:lang w:val="zh-TW"/>
        </w:rPr>
        <w:t>收费</w:t>
      </w:r>
      <w:r>
        <w:rPr>
          <w:rStyle w:val="11pt"/>
          <w:rFonts w:ascii="Times New Roman" w:eastAsia="宋体" w:hAnsi="Times New Roman" w:cs="宋体" w:hint="eastAsia"/>
        </w:rPr>
        <w:t>。</w:t>
      </w:r>
    </w:p>
    <w:p w:rsidR="00A32067" w:rsidRDefault="00A32067" w:rsidP="005431C7">
      <w:pPr>
        <w:pStyle w:val="1"/>
        <w:shd w:val="clear" w:color="auto" w:fill="auto"/>
        <w:spacing w:line="360" w:lineRule="auto"/>
        <w:ind w:right="20" w:firstLineChars="200" w:firstLine="31680"/>
        <w:jc w:val="left"/>
        <w:rPr>
          <w:rFonts w:ascii="Times New Roman" w:eastAsia="宋体" w:hAnsi="Times New Roman" w:cs="Times New Roman"/>
          <w:sz w:val="22"/>
          <w:szCs w:val="22"/>
        </w:rPr>
      </w:pPr>
      <w:r>
        <w:rPr>
          <w:rFonts w:ascii="Times New Roman" w:eastAsia="宋体" w:hAnsi="Times New Roman" w:cs="宋体" w:hint="eastAsia"/>
          <w:color w:val="000000"/>
          <w:spacing w:val="0"/>
          <w:sz w:val="22"/>
          <w:szCs w:val="22"/>
          <w:lang w:val="zh-TW"/>
        </w:rPr>
        <w:t>第四条省辖范围内各机关、企事业单位和个体经营者，必须</w:t>
      </w:r>
      <w:r>
        <w:rPr>
          <w:rFonts w:ascii="Times New Roman" w:eastAsia="宋体" w:hAnsi="Times New Roman" w:cs="宋体" w:hint="eastAsia"/>
          <w:color w:val="000000"/>
          <w:sz w:val="22"/>
          <w:szCs w:val="22"/>
        </w:rPr>
        <w:t>接受</w:t>
      </w:r>
      <w:r>
        <w:rPr>
          <w:rFonts w:ascii="Times New Roman" w:eastAsia="宋体" w:hAnsi="Times New Roman" w:cs="宋体" w:hint="eastAsia"/>
          <w:color w:val="000000"/>
          <w:spacing w:val="0"/>
          <w:sz w:val="22"/>
          <w:szCs w:val="22"/>
          <w:lang w:val="zh-TW"/>
        </w:rPr>
        <w:t>劳动安全卫生检测检验部门的监督检验、监测，按照规定的收费标准缴纳监督检验、监測费</w:t>
      </w:r>
      <w:r>
        <w:rPr>
          <w:rStyle w:val="11pt"/>
          <w:rFonts w:ascii="Times New Roman" w:eastAsia="宋体" w:hAnsi="Times New Roman" w:cs="宋体" w:hint="eastAsia"/>
        </w:rPr>
        <w:t>。</w:t>
      </w:r>
    </w:p>
    <w:p w:rsidR="00A32067" w:rsidRDefault="00A32067" w:rsidP="005431C7">
      <w:pPr>
        <w:pStyle w:val="1"/>
        <w:shd w:val="clear" w:color="auto" w:fill="auto"/>
        <w:spacing w:line="360" w:lineRule="auto"/>
        <w:ind w:firstLineChars="200" w:firstLine="31680"/>
        <w:jc w:val="left"/>
        <w:rPr>
          <w:rFonts w:ascii="Times New Roman" w:eastAsia="宋体" w:hAnsi="Times New Roman" w:cs="Times New Roman"/>
          <w:sz w:val="22"/>
          <w:szCs w:val="22"/>
        </w:rPr>
      </w:pPr>
      <w:r>
        <w:rPr>
          <w:rFonts w:ascii="Times New Roman" w:eastAsia="宋体" w:hAnsi="Times New Roman" w:cs="宋体" w:hint="eastAsia"/>
          <w:color w:val="000000"/>
          <w:spacing w:val="0"/>
          <w:sz w:val="22"/>
          <w:szCs w:val="22"/>
          <w:lang w:val="zh-TW"/>
        </w:rPr>
        <w:t>第五条实施下列检验项目不收费：</w:t>
      </w:r>
    </w:p>
    <w:p w:rsidR="00A32067" w:rsidRDefault="00A32067" w:rsidP="005431C7">
      <w:pPr>
        <w:pStyle w:val="22"/>
        <w:shd w:val="clear" w:color="auto" w:fill="auto"/>
        <w:spacing w:line="360" w:lineRule="auto"/>
        <w:ind w:firstLineChars="200" w:firstLine="31680"/>
        <w:jc w:val="left"/>
        <w:rPr>
          <w:color w:val="000000"/>
          <w:sz w:val="22"/>
          <w:szCs w:val="22"/>
          <w:lang w:val="zh-TW"/>
        </w:rPr>
      </w:pPr>
      <w:r>
        <w:rPr>
          <w:color w:val="000000"/>
          <w:sz w:val="22"/>
          <w:szCs w:val="22"/>
          <w:lang w:val="zh-TW"/>
        </w:rPr>
        <w:t>1.</w:t>
      </w:r>
      <w:r>
        <w:rPr>
          <w:rFonts w:cs="宋体" w:hint="eastAsia"/>
          <w:color w:val="000000"/>
          <w:sz w:val="22"/>
          <w:szCs w:val="22"/>
          <w:lang w:val="zh-TW"/>
        </w:rPr>
        <w:t>上级下达的临时性调査任务和科研项目</w:t>
      </w:r>
      <w:r>
        <w:rPr>
          <w:rFonts w:cs="宋体" w:hint="eastAsia"/>
          <w:sz w:val="22"/>
          <w:szCs w:val="22"/>
        </w:rPr>
        <w:t>。</w:t>
      </w:r>
    </w:p>
    <w:p w:rsidR="00A32067" w:rsidRDefault="00A32067" w:rsidP="005431C7">
      <w:pPr>
        <w:pStyle w:val="22"/>
        <w:shd w:val="clear" w:color="auto" w:fill="auto"/>
        <w:spacing w:line="360" w:lineRule="auto"/>
        <w:ind w:firstLineChars="200" w:firstLine="31680"/>
        <w:jc w:val="left"/>
        <w:rPr>
          <w:color w:val="000000"/>
          <w:sz w:val="22"/>
          <w:szCs w:val="22"/>
          <w:lang w:val="zh-TW"/>
        </w:rPr>
      </w:pPr>
      <w:r>
        <w:rPr>
          <w:color w:val="000000"/>
          <w:sz w:val="22"/>
          <w:szCs w:val="22"/>
          <w:lang w:val="zh-TW"/>
        </w:rPr>
        <w:t>2.</w:t>
      </w:r>
      <w:r>
        <w:rPr>
          <w:rFonts w:cs="宋体" w:hint="eastAsia"/>
          <w:color w:val="000000"/>
          <w:sz w:val="22"/>
          <w:szCs w:val="22"/>
          <w:lang w:val="zh-TW"/>
        </w:rPr>
        <w:t>为下级单位作技术性指导和解决疑难问題</w:t>
      </w:r>
      <w:r>
        <w:rPr>
          <w:rFonts w:cs="宋体" w:hint="eastAsia"/>
          <w:sz w:val="22"/>
          <w:szCs w:val="22"/>
          <w:lang w:val="zh-TW"/>
        </w:rPr>
        <w:t>。</w:t>
      </w:r>
    </w:p>
    <w:p w:rsidR="00A32067" w:rsidRDefault="00A32067" w:rsidP="005431C7">
      <w:pPr>
        <w:pStyle w:val="22"/>
        <w:shd w:val="clear" w:color="auto" w:fill="auto"/>
        <w:spacing w:line="360" w:lineRule="auto"/>
        <w:ind w:firstLineChars="200" w:firstLine="31680"/>
        <w:jc w:val="left"/>
        <w:rPr>
          <w:color w:val="000000"/>
          <w:sz w:val="22"/>
          <w:szCs w:val="22"/>
          <w:lang w:val="zh-TW"/>
        </w:rPr>
      </w:pPr>
      <w:r>
        <w:rPr>
          <w:color w:val="000000"/>
          <w:sz w:val="22"/>
          <w:szCs w:val="22"/>
          <w:lang w:val="zh-TW"/>
        </w:rPr>
        <w:t>3.</w:t>
      </w:r>
      <w:r>
        <w:rPr>
          <w:rFonts w:cs="宋体" w:hint="eastAsia"/>
          <w:color w:val="000000"/>
          <w:sz w:val="22"/>
          <w:szCs w:val="22"/>
          <w:lang w:val="zh-TW"/>
        </w:rPr>
        <w:t>计划科研项目中要求下级单位送检的样品</w:t>
      </w:r>
      <w:r>
        <w:rPr>
          <w:rFonts w:cs="宋体" w:hint="eastAsia"/>
          <w:sz w:val="22"/>
          <w:szCs w:val="22"/>
          <w:lang w:val="zh-TW"/>
        </w:rPr>
        <w:t>。</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宋体" w:hint="eastAsia"/>
          <w:color w:val="000000"/>
          <w:spacing w:val="0"/>
          <w:sz w:val="22"/>
          <w:szCs w:val="22"/>
          <w:lang w:val="zh-TW"/>
        </w:rPr>
        <w:t>第六条实施下列项目按收费标准收费</w:t>
      </w:r>
      <w:r>
        <w:rPr>
          <w:rFonts w:ascii="Times New Roman" w:eastAsia="宋体" w:hAnsi="Times New Roman" w:cs="宋体" w:hint="eastAsia"/>
          <w:color w:val="000000"/>
          <w:sz w:val="22"/>
          <w:szCs w:val="22"/>
          <w:lang w:val="zh-TW"/>
        </w:rPr>
        <w:t>：</w:t>
      </w:r>
    </w:p>
    <w:p w:rsidR="00A32067" w:rsidRDefault="00A32067" w:rsidP="005431C7">
      <w:pPr>
        <w:pStyle w:val="22"/>
        <w:shd w:val="clear" w:color="auto" w:fill="auto"/>
        <w:spacing w:line="360" w:lineRule="auto"/>
        <w:ind w:left="140" w:firstLineChars="200" w:firstLine="31680"/>
        <w:rPr>
          <w:color w:val="000000"/>
          <w:sz w:val="22"/>
          <w:szCs w:val="22"/>
          <w:lang w:val="zh-TW"/>
        </w:rPr>
      </w:pPr>
      <w:r>
        <w:rPr>
          <w:sz w:val="22"/>
          <w:szCs w:val="22"/>
        </w:rPr>
        <w:t>1.</w:t>
      </w:r>
      <w:r>
        <w:rPr>
          <w:rFonts w:cs="宋体" w:hint="eastAsia"/>
          <w:color w:val="000000"/>
          <w:sz w:val="22"/>
          <w:szCs w:val="22"/>
          <w:lang w:val="zh-TW"/>
        </w:rPr>
        <w:t>根据国家和省有关劳动防护用品及劳动安全卫生检测、检验的规定，对各机关、企事业单位及个体经营者进行的检验、监测、鉴定、验收和培训发证等项目。</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color w:val="000000"/>
          <w:sz w:val="22"/>
          <w:szCs w:val="22"/>
          <w:lang w:val="zh-TW"/>
        </w:rPr>
        <w:t>2.</w:t>
      </w:r>
      <w:r>
        <w:rPr>
          <w:rFonts w:ascii="Times New Roman" w:eastAsia="宋体" w:hAnsi="Times New Roman" w:cs="宋体" w:hint="eastAsia"/>
          <w:color w:val="000000"/>
          <w:spacing w:val="0"/>
          <w:sz w:val="22"/>
          <w:szCs w:val="22"/>
          <w:lang w:val="zh-TW"/>
        </w:rPr>
        <w:t>企业生产性建设项目和技术改造项目安全卫生</w:t>
      </w:r>
      <w:r>
        <w:rPr>
          <w:rFonts w:ascii="Times New Roman" w:eastAsia="宋体" w:hAnsi="Times New Roman" w:cs="宋体" w:hint="eastAsia"/>
          <w:color w:val="000000"/>
          <w:sz w:val="22"/>
          <w:szCs w:val="22"/>
          <w:lang w:val="zh-TW"/>
        </w:rPr>
        <w:t>评</w:t>
      </w:r>
      <w:r>
        <w:rPr>
          <w:rFonts w:ascii="Times New Roman" w:eastAsia="宋体" w:hAnsi="Times New Roman" w:cs="宋体" w:hint="eastAsia"/>
          <w:color w:val="000000"/>
          <w:spacing w:val="0"/>
          <w:sz w:val="22"/>
          <w:szCs w:val="22"/>
          <w:lang w:val="zh-TW"/>
        </w:rPr>
        <w:t>价</w:t>
      </w:r>
      <w:r>
        <w:rPr>
          <w:rFonts w:ascii="Times New Roman" w:eastAsia="宋体" w:hAnsi="Times New Roman" w:cs="宋体" w:hint="eastAsia"/>
          <w:sz w:val="22"/>
          <w:szCs w:val="22"/>
        </w:rPr>
        <w:t>。</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color w:val="000000"/>
          <w:sz w:val="22"/>
          <w:szCs w:val="22"/>
          <w:lang w:val="zh-TW"/>
        </w:rPr>
        <w:t>3.</w:t>
      </w:r>
      <w:r>
        <w:rPr>
          <w:rFonts w:ascii="Times New Roman" w:eastAsia="宋体" w:hAnsi="Times New Roman" w:cs="宋体" w:hint="eastAsia"/>
          <w:color w:val="000000"/>
          <w:spacing w:val="0"/>
          <w:sz w:val="22"/>
          <w:szCs w:val="22"/>
          <w:lang w:val="zh-TW"/>
        </w:rPr>
        <w:t>产品安</w:t>
      </w:r>
      <w:r>
        <w:rPr>
          <w:rFonts w:ascii="Times New Roman" w:eastAsia="宋体" w:hAnsi="Times New Roman" w:cs="宋体" w:hint="eastAsia"/>
          <w:color w:val="000000"/>
          <w:sz w:val="22"/>
          <w:szCs w:val="22"/>
          <w:lang w:val="zh-TW"/>
        </w:rPr>
        <w:t>全</w:t>
      </w:r>
      <w:r>
        <w:rPr>
          <w:rFonts w:ascii="Times New Roman" w:eastAsia="宋体" w:hAnsi="Times New Roman" w:cs="宋体" w:hint="eastAsia"/>
          <w:color w:val="000000"/>
          <w:spacing w:val="0"/>
          <w:sz w:val="22"/>
          <w:szCs w:val="22"/>
          <w:lang w:val="zh-TW"/>
        </w:rPr>
        <w:t>防护性能质量鉴定</w:t>
      </w:r>
      <w:r>
        <w:rPr>
          <w:rFonts w:ascii="Times New Roman" w:eastAsia="宋体" w:hAnsi="Times New Roman" w:cs="宋体" w:hint="eastAsia"/>
          <w:sz w:val="22"/>
          <w:szCs w:val="22"/>
          <w:lang w:val="zh-TW"/>
        </w:rPr>
        <w:t>。</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color w:val="000000"/>
          <w:sz w:val="22"/>
          <w:szCs w:val="22"/>
          <w:lang w:val="zh-TW"/>
        </w:rPr>
        <w:t>4.</w:t>
      </w:r>
      <w:r>
        <w:rPr>
          <w:rFonts w:ascii="Times New Roman" w:eastAsia="宋体" w:hAnsi="Times New Roman" w:cs="宋体" w:hint="eastAsia"/>
          <w:color w:val="000000"/>
          <w:spacing w:val="0"/>
          <w:sz w:val="22"/>
          <w:szCs w:val="22"/>
          <w:lang w:val="zh-TW"/>
        </w:rPr>
        <w:t>向社会提供的各</w:t>
      </w:r>
      <w:r>
        <w:rPr>
          <w:rFonts w:ascii="Times New Roman" w:eastAsia="宋体" w:hAnsi="Times New Roman" w:cs="宋体" w:hint="eastAsia"/>
          <w:color w:val="000000"/>
          <w:sz w:val="22"/>
          <w:szCs w:val="22"/>
          <w:lang w:val="zh-TW"/>
        </w:rPr>
        <w:t>项</w:t>
      </w:r>
      <w:r>
        <w:rPr>
          <w:rFonts w:ascii="Times New Roman" w:eastAsia="宋体" w:hAnsi="Times New Roman" w:cs="宋体" w:hint="eastAsia"/>
          <w:color w:val="000000"/>
          <w:spacing w:val="0"/>
          <w:sz w:val="22"/>
          <w:szCs w:val="22"/>
          <w:lang w:val="zh-TW"/>
        </w:rPr>
        <w:t>技术资料和技术成果推广转让</w:t>
      </w:r>
      <w:r>
        <w:rPr>
          <w:rFonts w:ascii="Times New Roman" w:eastAsia="宋体" w:hAnsi="Times New Roman" w:cs="宋体" w:hint="eastAsia"/>
          <w:sz w:val="22"/>
          <w:szCs w:val="22"/>
        </w:rPr>
        <w:t>。</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color w:val="000000"/>
          <w:sz w:val="22"/>
          <w:szCs w:val="22"/>
          <w:lang w:val="zh-TW"/>
        </w:rPr>
        <w:t>5.</w:t>
      </w:r>
      <w:r>
        <w:rPr>
          <w:rFonts w:ascii="Times New Roman" w:eastAsia="宋体" w:hAnsi="Times New Roman" w:cs="宋体" w:hint="eastAsia"/>
          <w:color w:val="000000"/>
          <w:spacing w:val="0"/>
          <w:sz w:val="22"/>
          <w:szCs w:val="22"/>
          <w:lang w:val="zh-TW"/>
        </w:rPr>
        <w:t>原材</w:t>
      </w:r>
      <w:r>
        <w:rPr>
          <w:rFonts w:ascii="Times New Roman" w:eastAsia="宋体" w:hAnsi="Times New Roman" w:cs="宋体" w:hint="eastAsia"/>
          <w:color w:val="000000"/>
          <w:sz w:val="22"/>
          <w:szCs w:val="22"/>
          <w:lang w:val="zh-TW"/>
        </w:rPr>
        <w:t>料</w:t>
      </w:r>
      <w:r>
        <w:rPr>
          <w:rFonts w:ascii="Times New Roman" w:eastAsia="宋体" w:hAnsi="Times New Roman" w:cs="宋体" w:hint="eastAsia"/>
          <w:color w:val="000000"/>
          <w:spacing w:val="0"/>
          <w:sz w:val="22"/>
          <w:szCs w:val="22"/>
          <w:lang w:val="zh-TW"/>
        </w:rPr>
        <w:t>及新工艺流程的安全卫生检查、评价，仪器设备的测试、检</w:t>
      </w:r>
      <w:r>
        <w:rPr>
          <w:rFonts w:ascii="Times New Roman" w:eastAsia="宋体" w:hAnsi="Times New Roman" w:cs="宋体" w:hint="eastAsia"/>
          <w:color w:val="000000"/>
          <w:sz w:val="22"/>
          <w:szCs w:val="22"/>
          <w:lang w:val="zh-TW"/>
        </w:rPr>
        <w:t>修、维护</w:t>
      </w:r>
      <w:r>
        <w:rPr>
          <w:rFonts w:ascii="Times New Roman" w:eastAsia="宋体" w:hAnsi="Times New Roman" w:cs="宋体" w:hint="eastAsia"/>
          <w:color w:val="000000"/>
          <w:spacing w:val="0"/>
          <w:sz w:val="22"/>
          <w:szCs w:val="22"/>
          <w:lang w:val="zh-TW"/>
        </w:rPr>
        <w:t>安装和鉴定。</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sz w:val="22"/>
          <w:szCs w:val="22"/>
          <w:lang w:val="zh-TW"/>
        </w:rPr>
        <w:t>6.</w:t>
      </w:r>
      <w:r>
        <w:rPr>
          <w:rFonts w:ascii="Times New Roman" w:eastAsia="宋体" w:hAnsi="Times New Roman" w:cs="宋体" w:hint="eastAsia"/>
          <w:color w:val="000000"/>
          <w:spacing w:val="0"/>
          <w:sz w:val="22"/>
          <w:szCs w:val="22"/>
          <w:lang w:val="zh-TW"/>
        </w:rPr>
        <w:t>委托检验和仲裁检验。</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Times New Roman"/>
          <w:sz w:val="22"/>
          <w:szCs w:val="22"/>
          <w:lang w:val="zh-TW"/>
        </w:rPr>
        <w:t>7.</w:t>
      </w:r>
      <w:r>
        <w:rPr>
          <w:rFonts w:ascii="Times New Roman" w:eastAsia="宋体" w:hAnsi="Times New Roman" w:cs="宋体" w:hint="eastAsia"/>
          <w:sz w:val="22"/>
          <w:szCs w:val="22"/>
        </w:rPr>
        <w:t>新产品审核</w:t>
      </w:r>
      <w:r>
        <w:rPr>
          <w:rFonts w:ascii="Times New Roman" w:eastAsia="宋体" w:hAnsi="Times New Roman" w:cs="宋体" w:hint="eastAsia"/>
          <w:color w:val="000000"/>
          <w:spacing w:val="0"/>
          <w:sz w:val="22"/>
          <w:szCs w:val="22"/>
          <w:lang w:val="zh-TW"/>
        </w:rPr>
        <w:t>、复核及安全卫生检验</w:t>
      </w:r>
      <w:r>
        <w:rPr>
          <w:rFonts w:ascii="Times New Roman" w:eastAsia="宋体" w:hAnsi="Times New Roman" w:cs="宋体" w:hint="eastAsia"/>
          <w:sz w:val="22"/>
          <w:szCs w:val="22"/>
          <w:lang w:val="zh-TW"/>
        </w:rPr>
        <w:t>。</w:t>
      </w:r>
    </w:p>
    <w:p w:rsidR="00A32067" w:rsidRDefault="00A32067" w:rsidP="005431C7">
      <w:pPr>
        <w:pStyle w:val="1"/>
        <w:shd w:val="clear" w:color="auto" w:fill="auto"/>
        <w:spacing w:line="360" w:lineRule="auto"/>
        <w:ind w:left="140" w:right="340"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宋体" w:hint="eastAsia"/>
          <w:color w:val="000000"/>
          <w:spacing w:val="0"/>
          <w:sz w:val="22"/>
          <w:szCs w:val="22"/>
          <w:lang w:val="zh-TW"/>
        </w:rPr>
        <w:t>第七条省护品质检站和各级安全卫生检</w:t>
      </w:r>
      <w:r>
        <w:rPr>
          <w:rFonts w:ascii="Times New Roman" w:eastAsia="宋体" w:hAnsi="Times New Roman" w:cs="宋体" w:hint="eastAsia"/>
          <w:color w:val="000000"/>
          <w:sz w:val="22"/>
          <w:szCs w:val="22"/>
          <w:lang w:val="zh-TW"/>
        </w:rPr>
        <w:t>测检验机构</w:t>
      </w:r>
      <w:r>
        <w:rPr>
          <w:rFonts w:ascii="Times New Roman" w:eastAsia="宋体" w:hAnsi="Times New Roman" w:cs="宋体" w:hint="eastAsia"/>
          <w:color w:val="000000"/>
          <w:spacing w:val="0"/>
          <w:sz w:val="22"/>
          <w:szCs w:val="22"/>
          <w:lang w:val="zh-TW"/>
        </w:rPr>
        <w:t>开展检测、检验工作，要本着检验和服务相结合的原则</w:t>
      </w:r>
      <w:r>
        <w:rPr>
          <w:rFonts w:ascii="Times New Roman" w:eastAsia="宋体" w:hAnsi="Times New Roman" w:cs="Times New Roman"/>
          <w:color w:val="000000"/>
          <w:spacing w:val="0"/>
          <w:sz w:val="22"/>
          <w:szCs w:val="22"/>
          <w:lang w:val="zh-TW"/>
        </w:rPr>
        <w:t>,</w:t>
      </w:r>
      <w:r>
        <w:rPr>
          <w:rFonts w:ascii="Times New Roman" w:eastAsia="宋体" w:hAnsi="Times New Roman" w:cs="宋体" w:hint="eastAsia"/>
          <w:color w:val="000000"/>
          <w:spacing w:val="0"/>
          <w:sz w:val="22"/>
          <w:szCs w:val="22"/>
          <w:lang w:val="zh-TW"/>
        </w:rPr>
        <w:t>下列情况收费原则是</w:t>
      </w:r>
      <w:r>
        <w:rPr>
          <w:rFonts w:ascii="Times New Roman" w:eastAsia="宋体" w:hAnsi="Times New Roman" w:cs="宋体" w:hint="eastAsia"/>
          <w:sz w:val="22"/>
          <w:szCs w:val="22"/>
          <w:lang w:val="zh-TW"/>
        </w:rPr>
        <w:t>：</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sz w:val="22"/>
          <w:szCs w:val="22"/>
          <w:lang w:val="zh-TW"/>
        </w:rPr>
      </w:pPr>
      <w:r>
        <w:rPr>
          <w:rFonts w:ascii="Times New Roman" w:eastAsia="宋体" w:hAnsi="Times New Roman" w:cs="Times New Roman"/>
          <w:sz w:val="22"/>
          <w:szCs w:val="22"/>
          <w:lang w:val="zh-TW"/>
        </w:rPr>
        <w:t>1.</w:t>
      </w:r>
      <w:r>
        <w:rPr>
          <w:rFonts w:ascii="Times New Roman" w:eastAsia="宋体" w:hAnsi="Times New Roman" w:cs="宋体" w:hint="eastAsia"/>
          <w:sz w:val="22"/>
          <w:szCs w:val="22"/>
          <w:lang w:val="zh-TW"/>
        </w:rPr>
        <w:t>对定期按规定实施的防护用品检验及安全卫生检測、检验项目，按收费标准收费。实施不定期的监测和抽查检验，测定结果满足安全卫生要求者不收费，不满足者按标准收费。</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sz w:val="22"/>
          <w:szCs w:val="22"/>
          <w:lang w:val="zh-TW"/>
        </w:rPr>
      </w:pPr>
      <w:r>
        <w:rPr>
          <w:rFonts w:ascii="Times New Roman" w:eastAsia="宋体" w:hAnsi="Times New Roman" w:cs="Times New Roman"/>
          <w:sz w:val="22"/>
          <w:szCs w:val="22"/>
          <w:lang w:val="zh-TW"/>
        </w:rPr>
        <w:t>2.</w:t>
      </w:r>
      <w:r>
        <w:rPr>
          <w:rFonts w:ascii="Times New Roman" w:eastAsia="宋体" w:hAnsi="Times New Roman" w:cs="宋体" w:hint="eastAsia"/>
          <w:sz w:val="22"/>
          <w:szCs w:val="22"/>
          <w:lang w:val="zh-TW"/>
        </w:rPr>
        <w:t>委托检测、检验按规定标准收费。</w:t>
      </w:r>
    </w:p>
    <w:p w:rsidR="00A32067" w:rsidRDefault="00A32067" w:rsidP="005431C7">
      <w:pPr>
        <w:pStyle w:val="1"/>
        <w:shd w:val="clear" w:color="auto" w:fill="auto"/>
        <w:spacing w:line="360" w:lineRule="auto"/>
        <w:ind w:left="140" w:firstLineChars="200" w:firstLine="31680"/>
        <w:jc w:val="both"/>
        <w:rPr>
          <w:rFonts w:ascii="Times New Roman" w:eastAsia="宋体" w:hAnsi="Times New Roman" w:cs="Times New Roman"/>
          <w:color w:val="000000"/>
          <w:sz w:val="22"/>
          <w:szCs w:val="22"/>
          <w:lang w:val="zh-TW"/>
        </w:rPr>
      </w:pPr>
      <w:r>
        <w:rPr>
          <w:rFonts w:ascii="Times New Roman" w:eastAsia="宋体" w:hAnsi="Times New Roman" w:cs="宋体" w:hint="eastAsia"/>
          <w:color w:val="000000"/>
          <w:spacing w:val="0"/>
          <w:sz w:val="22"/>
          <w:szCs w:val="22"/>
          <w:lang w:val="zh-TW"/>
        </w:rPr>
        <w:t>第八条省护品质检站及各级劳动安全卫生检测检验机构要按规</w:t>
      </w:r>
      <w:r>
        <w:rPr>
          <w:rFonts w:ascii="Times New Roman" w:eastAsia="宋体" w:hAnsi="Times New Roman" w:cs="宋体" w:hint="eastAsia"/>
          <w:color w:val="000000"/>
          <w:sz w:val="22"/>
          <w:szCs w:val="22"/>
          <w:lang w:val="zh-TW"/>
        </w:rPr>
        <w:t>定</w:t>
      </w:r>
      <w:r>
        <w:rPr>
          <w:rFonts w:ascii="Times New Roman" w:eastAsia="宋体" w:hAnsi="Times New Roman" w:cs="宋体" w:hint="eastAsia"/>
          <w:color w:val="000000"/>
          <w:spacing w:val="0"/>
          <w:sz w:val="22"/>
          <w:szCs w:val="22"/>
          <w:lang w:val="zh-TW"/>
        </w:rPr>
        <w:t>的</w:t>
      </w:r>
      <w:r>
        <w:rPr>
          <w:rFonts w:ascii="Times New Roman" w:eastAsia="宋体" w:hAnsi="Times New Roman" w:cs="宋体" w:hint="eastAsia"/>
          <w:color w:val="000000"/>
          <w:sz w:val="22"/>
          <w:szCs w:val="22"/>
          <w:lang w:val="zh-TW"/>
        </w:rPr>
        <w:t>频</w:t>
      </w:r>
      <w:r>
        <w:rPr>
          <w:rFonts w:ascii="Times New Roman" w:eastAsia="宋体" w:hAnsi="Times New Roman" w:cs="宋体" w:hint="eastAsia"/>
          <w:color w:val="000000"/>
          <w:spacing w:val="0"/>
          <w:sz w:val="22"/>
          <w:szCs w:val="22"/>
          <w:lang w:val="zh-TW"/>
        </w:rPr>
        <w:t>次进行检验、监测</w:t>
      </w:r>
      <w:r>
        <w:rPr>
          <w:rFonts w:ascii="Times New Roman" w:eastAsia="宋体" w:hAnsi="Times New Roman" w:cs="宋体" w:hint="eastAsia"/>
          <w:sz w:val="22"/>
          <w:szCs w:val="22"/>
        </w:rPr>
        <w:t>。</w:t>
      </w:r>
      <w:r>
        <w:rPr>
          <w:rFonts w:ascii="Times New Roman" w:eastAsia="宋体" w:hAnsi="Times New Roman" w:cs="宋体" w:hint="eastAsia"/>
          <w:color w:val="000000"/>
          <w:spacing w:val="0"/>
          <w:sz w:val="22"/>
          <w:szCs w:val="22"/>
          <w:lang w:val="zh-TW"/>
        </w:rPr>
        <w:t>根据国家有关规定，各项劳动安全丑生顼目检验、监测频次如下</w:t>
      </w:r>
      <w:r>
        <w:rPr>
          <w:rFonts w:ascii="Times New Roman" w:eastAsia="宋体" w:hAnsi="Times New Roman" w:cs="宋体" w:hint="eastAsia"/>
          <w:sz w:val="22"/>
          <w:szCs w:val="22"/>
          <w:lang w:val="zh-TW"/>
        </w:rPr>
        <w:t>：</w:t>
      </w:r>
    </w:p>
    <w:p w:rsidR="00A32067" w:rsidRDefault="00A32067" w:rsidP="005431C7">
      <w:pPr>
        <w:spacing w:line="360" w:lineRule="auto"/>
        <w:ind w:firstLineChars="200" w:firstLine="31680"/>
        <w:jc w:val="left"/>
        <w:rPr>
          <w:color w:val="000000"/>
          <w:kern w:val="0"/>
          <w:sz w:val="22"/>
          <w:szCs w:val="22"/>
          <w:lang w:val="zh-TW"/>
        </w:rPr>
      </w:pPr>
      <w:r>
        <w:rPr>
          <w:color w:val="000000"/>
          <w:kern w:val="0"/>
          <w:sz w:val="22"/>
          <w:szCs w:val="22"/>
          <w:lang w:val="zh-TW"/>
        </w:rPr>
        <w:t>1.</w:t>
      </w:r>
      <w:r>
        <w:rPr>
          <w:rFonts w:cs="宋体" w:hint="eastAsia"/>
          <w:color w:val="000000"/>
          <w:kern w:val="0"/>
          <w:sz w:val="22"/>
          <w:szCs w:val="22"/>
          <w:lang w:val="zh-TW"/>
        </w:rPr>
        <w:t>起重机械每两年进行一次检验</w:t>
      </w:r>
      <w:r>
        <w:rPr>
          <w:color w:val="000000"/>
          <w:kern w:val="0"/>
          <w:sz w:val="22"/>
          <w:szCs w:val="22"/>
          <w:lang w:val="zh-TW"/>
        </w:rPr>
        <w:t>.</w:t>
      </w:r>
    </w:p>
    <w:p w:rsidR="00A32067" w:rsidRDefault="00A32067" w:rsidP="005431C7">
      <w:pPr>
        <w:spacing w:line="360" w:lineRule="auto"/>
        <w:ind w:firstLineChars="200" w:firstLine="31680"/>
        <w:jc w:val="left"/>
        <w:rPr>
          <w:color w:val="000000"/>
          <w:kern w:val="0"/>
          <w:sz w:val="22"/>
          <w:szCs w:val="22"/>
          <w:lang w:val="zh-TW"/>
        </w:rPr>
      </w:pPr>
      <w:r>
        <w:rPr>
          <w:color w:val="000000"/>
          <w:kern w:val="0"/>
          <w:sz w:val="22"/>
          <w:szCs w:val="22"/>
          <w:lang w:val="zh-TW"/>
        </w:rPr>
        <w:t>2.</w:t>
      </w:r>
      <w:r>
        <w:rPr>
          <w:rFonts w:cs="宋体" w:hint="eastAsia"/>
          <w:color w:val="000000"/>
          <w:kern w:val="0"/>
          <w:sz w:val="22"/>
          <w:szCs w:val="22"/>
          <w:lang w:val="zh-TW"/>
        </w:rPr>
        <w:t>电梯、索道及流动式起重机每年进行一次检验。</w:t>
      </w:r>
    </w:p>
    <w:p w:rsidR="00A32067" w:rsidRDefault="00A32067" w:rsidP="005431C7">
      <w:pPr>
        <w:spacing w:line="360" w:lineRule="auto"/>
        <w:ind w:firstLineChars="200" w:firstLine="31680"/>
        <w:jc w:val="left"/>
        <w:rPr>
          <w:color w:val="000000"/>
          <w:kern w:val="0"/>
          <w:sz w:val="22"/>
          <w:szCs w:val="22"/>
          <w:lang w:val="zh-TW"/>
        </w:rPr>
      </w:pPr>
      <w:r>
        <w:rPr>
          <w:color w:val="000000"/>
          <w:kern w:val="0"/>
          <w:sz w:val="22"/>
          <w:szCs w:val="22"/>
          <w:lang w:val="zh-TW"/>
        </w:rPr>
        <w:t>3.</w:t>
      </w:r>
      <w:r>
        <w:rPr>
          <w:rFonts w:cs="宋体" w:hint="eastAsia"/>
          <w:color w:val="000000"/>
          <w:kern w:val="0"/>
          <w:sz w:val="22"/>
          <w:szCs w:val="22"/>
          <w:lang w:val="zh-TW"/>
        </w:rPr>
        <w:t>厂内机动车辆、电气设备安全技术、劳动安全卫生工程、矿山安全卫生工程、职业危害程度分级、物理因素和空气理化测定，每年进行一次检验、监测</w:t>
      </w:r>
      <w:r>
        <w:rPr>
          <w:color w:val="000000"/>
          <w:kern w:val="0"/>
          <w:sz w:val="22"/>
          <w:szCs w:val="22"/>
          <w:lang w:val="zh-TW"/>
        </w:rPr>
        <w:t>.</w:t>
      </w:r>
    </w:p>
    <w:p w:rsidR="00A32067" w:rsidRDefault="00A32067" w:rsidP="005431C7">
      <w:pPr>
        <w:spacing w:line="360" w:lineRule="auto"/>
        <w:ind w:firstLineChars="200" w:firstLine="31680"/>
        <w:jc w:val="left"/>
        <w:rPr>
          <w:color w:val="000000"/>
          <w:kern w:val="0"/>
          <w:sz w:val="22"/>
          <w:szCs w:val="22"/>
          <w:lang w:val="zh-TW"/>
        </w:rPr>
      </w:pPr>
      <w:r>
        <w:rPr>
          <w:color w:val="000000"/>
          <w:kern w:val="0"/>
          <w:sz w:val="22"/>
          <w:szCs w:val="22"/>
          <w:lang w:val="zh-TW"/>
        </w:rPr>
        <w:t>4.</w:t>
      </w:r>
      <w:r>
        <w:rPr>
          <w:rFonts w:cs="宋体" w:hint="eastAsia"/>
          <w:color w:val="000000"/>
          <w:kern w:val="0"/>
          <w:sz w:val="22"/>
          <w:szCs w:val="22"/>
          <w:lang w:val="zh-TW"/>
        </w:rPr>
        <w:t>各种劳动防护用品、安全防护装置、器材的检验频次按产品标准中规定的批量进行，产品标准中无明确规定的每半年进行一次监督检验</w:t>
      </w:r>
      <w:r>
        <w:rPr>
          <w:color w:val="000000"/>
          <w:kern w:val="0"/>
          <w:sz w:val="22"/>
          <w:szCs w:val="22"/>
          <w:lang w:val="zh-TW"/>
        </w:rPr>
        <w:t>.</w:t>
      </w:r>
    </w:p>
    <w:p w:rsidR="00A32067" w:rsidRDefault="00A32067" w:rsidP="005431C7">
      <w:pPr>
        <w:spacing w:line="360" w:lineRule="auto"/>
        <w:ind w:firstLineChars="200" w:firstLine="31680"/>
        <w:jc w:val="left"/>
        <w:rPr>
          <w:color w:val="000000"/>
          <w:kern w:val="0"/>
          <w:sz w:val="22"/>
          <w:szCs w:val="22"/>
          <w:lang w:val="zh-TW"/>
        </w:rPr>
      </w:pPr>
      <w:r>
        <w:rPr>
          <w:rFonts w:cs="宋体" w:hint="eastAsia"/>
          <w:color w:val="000000"/>
          <w:kern w:val="0"/>
          <w:sz w:val="22"/>
          <w:szCs w:val="22"/>
          <w:lang w:val="zh-TW"/>
        </w:rPr>
        <w:t>笫九条因检验单位原因造成检验失败时不再收费</w:t>
      </w:r>
      <w:r>
        <w:rPr>
          <w:color w:val="000000"/>
          <w:kern w:val="0"/>
          <w:sz w:val="22"/>
          <w:szCs w:val="22"/>
          <w:lang w:val="zh-TW"/>
        </w:rPr>
        <w:t>.</w:t>
      </w:r>
      <w:r>
        <w:rPr>
          <w:rFonts w:cs="宋体" w:hint="eastAsia"/>
          <w:color w:val="000000"/>
          <w:kern w:val="0"/>
          <w:sz w:val="22"/>
          <w:szCs w:val="22"/>
          <w:lang w:val="zh-TW"/>
        </w:rPr>
        <w:t>因样品不合格、更换样品或委托检验单位要求重新检验时，另按标准重新计价收费。因被检单位原因造成检验延误，按被检项目收费标准的</w:t>
      </w:r>
      <w:r>
        <w:rPr>
          <w:color w:val="000000"/>
          <w:kern w:val="0"/>
          <w:sz w:val="22"/>
          <w:szCs w:val="22"/>
          <w:lang w:val="zh-TW"/>
        </w:rPr>
        <w:t xml:space="preserve"> 10</w:t>
      </w:r>
      <w:r>
        <w:rPr>
          <w:rFonts w:ascii="微软雅黑" w:eastAsia="微软雅黑" w:hAnsi="微软雅黑" w:cs="微软雅黑" w:hint="eastAsia"/>
          <w:color w:val="000000"/>
          <w:kern w:val="0"/>
          <w:sz w:val="22"/>
          <w:szCs w:val="22"/>
          <w:lang w:val="zh-TW"/>
        </w:rPr>
        <w:t>〜</w:t>
      </w:r>
      <w:r>
        <w:rPr>
          <w:color w:val="000000"/>
          <w:kern w:val="0"/>
          <w:sz w:val="22"/>
          <w:szCs w:val="22"/>
          <w:lang w:val="zh-TW"/>
        </w:rPr>
        <w:t>20%</w:t>
      </w:r>
      <w:r>
        <w:rPr>
          <w:rFonts w:cs="宋体" w:hint="eastAsia"/>
          <w:color w:val="000000"/>
          <w:kern w:val="0"/>
          <w:sz w:val="22"/>
          <w:szCs w:val="22"/>
          <w:lang w:val="zh-TW"/>
        </w:rPr>
        <w:t>增收误工费。</w:t>
      </w:r>
    </w:p>
    <w:p w:rsidR="00A32067" w:rsidRDefault="00A32067" w:rsidP="005431C7">
      <w:pPr>
        <w:spacing w:line="360" w:lineRule="auto"/>
        <w:ind w:firstLineChars="200" w:firstLine="31680"/>
        <w:jc w:val="left"/>
        <w:rPr>
          <w:color w:val="000000"/>
          <w:kern w:val="0"/>
          <w:sz w:val="22"/>
          <w:szCs w:val="22"/>
          <w:lang w:val="zh-TW"/>
        </w:rPr>
      </w:pPr>
      <w:r>
        <w:rPr>
          <w:rFonts w:cs="宋体" w:hint="eastAsia"/>
          <w:color w:val="000000"/>
          <w:kern w:val="0"/>
          <w:sz w:val="22"/>
          <w:szCs w:val="22"/>
          <w:lang w:val="zh-TW"/>
        </w:rPr>
        <w:t>笫十条凡单位（含个体）要求现场采样、检测及进行安全卫生评价者，所需差旅费由邀请单位支付。</w:t>
      </w:r>
    </w:p>
    <w:p w:rsidR="00A32067" w:rsidRDefault="00A32067" w:rsidP="005431C7">
      <w:pPr>
        <w:spacing w:line="360" w:lineRule="auto"/>
        <w:ind w:firstLineChars="200" w:firstLine="31680"/>
        <w:jc w:val="left"/>
        <w:rPr>
          <w:color w:val="000000"/>
          <w:kern w:val="0"/>
          <w:sz w:val="22"/>
          <w:szCs w:val="22"/>
          <w:lang w:val="zh-TW"/>
        </w:rPr>
      </w:pPr>
      <w:r>
        <w:rPr>
          <w:rFonts w:cs="宋体" w:hint="eastAsia"/>
          <w:color w:val="000000"/>
          <w:kern w:val="0"/>
          <w:sz w:val="22"/>
          <w:szCs w:val="22"/>
          <w:lang w:val="zh-TW"/>
        </w:rPr>
        <w:t>第十一条省护品质检站及各级劳动安全卫生检测、检验机构在实施监督检验、检测工作之后，要及时地、实事求是地出具检验结果报告。各被检单位，必须按照</w:t>
      </w:r>
      <w:r>
        <w:rPr>
          <w:color w:val="000000"/>
          <w:kern w:val="0"/>
          <w:sz w:val="22"/>
          <w:szCs w:val="22"/>
          <w:lang w:val="zh-TW"/>
        </w:rPr>
        <w:t>“</w:t>
      </w:r>
      <w:r>
        <w:rPr>
          <w:rFonts w:cs="宋体" w:hint="eastAsia"/>
          <w:color w:val="000000"/>
          <w:kern w:val="0"/>
          <w:sz w:val="22"/>
          <w:szCs w:val="22"/>
          <w:lang w:val="zh-TW"/>
        </w:rPr>
        <w:t>收费标准</w:t>
      </w:r>
      <w:r>
        <w:rPr>
          <w:color w:val="000000"/>
          <w:kern w:val="0"/>
          <w:sz w:val="22"/>
          <w:szCs w:val="22"/>
          <w:lang w:val="zh-TW"/>
        </w:rPr>
        <w:t>”</w:t>
      </w:r>
      <w:r>
        <w:rPr>
          <w:rFonts w:cs="宋体" w:hint="eastAsia"/>
          <w:color w:val="000000"/>
          <w:kern w:val="0"/>
          <w:sz w:val="22"/>
          <w:szCs w:val="22"/>
          <w:lang w:val="zh-TW"/>
        </w:rPr>
        <w:t>缴纳监督检验、检测、鉴定费，不得以任何借口拒付和拖欠，如超过二个月者，从滞纳之日起，按日加收</w:t>
      </w:r>
      <w:r>
        <w:rPr>
          <w:color w:val="000000"/>
          <w:kern w:val="0"/>
          <w:sz w:val="22"/>
          <w:szCs w:val="22"/>
          <w:lang w:val="zh-TW"/>
        </w:rPr>
        <w:t>1%</w:t>
      </w:r>
      <w:r>
        <w:rPr>
          <w:rFonts w:cs="宋体" w:hint="eastAsia"/>
          <w:color w:val="000000"/>
          <w:kern w:val="0"/>
          <w:sz w:val="22"/>
          <w:szCs w:val="22"/>
          <w:lang w:val="zh-TW"/>
        </w:rPr>
        <w:t>的滞纳金</w:t>
      </w:r>
      <w:r>
        <w:rPr>
          <w:color w:val="000000"/>
          <w:kern w:val="0"/>
          <w:sz w:val="22"/>
          <w:szCs w:val="22"/>
          <w:lang w:val="zh-TW"/>
        </w:rPr>
        <w:t>.</w:t>
      </w:r>
    </w:p>
    <w:p w:rsidR="00A32067" w:rsidRDefault="00A32067" w:rsidP="005431C7">
      <w:pPr>
        <w:spacing w:line="360" w:lineRule="auto"/>
        <w:ind w:firstLineChars="200" w:firstLine="31680"/>
        <w:jc w:val="left"/>
        <w:rPr>
          <w:color w:val="000000"/>
          <w:kern w:val="0"/>
          <w:sz w:val="22"/>
          <w:szCs w:val="22"/>
          <w:lang w:val="zh-TW"/>
        </w:rPr>
      </w:pPr>
      <w:r>
        <w:rPr>
          <w:rFonts w:cs="宋体" w:hint="eastAsia"/>
          <w:color w:val="000000"/>
          <w:kern w:val="0"/>
          <w:sz w:val="22"/>
          <w:szCs w:val="22"/>
          <w:lang w:val="zh-TW"/>
        </w:rPr>
        <w:t>第十二条省护品质检站及各级劳动安全卫生检测、检验机构开展监督检验、监测工作的收入</w:t>
      </w:r>
      <w:r>
        <w:rPr>
          <w:color w:val="000000"/>
          <w:kern w:val="0"/>
          <w:sz w:val="22"/>
          <w:szCs w:val="22"/>
          <w:lang w:val="zh-TW"/>
        </w:rPr>
        <w:t>,</w:t>
      </w:r>
      <w:r>
        <w:rPr>
          <w:rFonts w:cs="宋体" w:hint="eastAsia"/>
          <w:color w:val="000000"/>
          <w:kern w:val="0"/>
          <w:sz w:val="22"/>
          <w:szCs w:val="22"/>
          <w:lang w:val="zh-TW"/>
        </w:rPr>
        <w:t>应全部留给检测、检验机构。用于补偿开展检验、监测的器材消耗、设备更新和改善职工工作生活条件，劳动防护用品及劳动安全卫生检验、监测收费属事业性收费，年终收支结余应建立事业发展基金、职工福利和奖励基金，其中，事业</w:t>
      </w:r>
      <w:r>
        <w:rPr>
          <w:rFonts w:cs="宋体" w:hint="eastAsia"/>
          <w:color w:val="000000"/>
          <w:sz w:val="22"/>
          <w:szCs w:val="22"/>
          <w:lang w:val="zh-TW"/>
        </w:rPr>
        <w:t>发展基金的比例原则上不低于</w:t>
      </w:r>
      <w:r>
        <w:rPr>
          <w:color w:val="000000"/>
          <w:sz w:val="22"/>
          <w:szCs w:val="22"/>
          <w:lang w:val="zh-TW"/>
        </w:rPr>
        <w:t>50%</w:t>
      </w:r>
      <w:r>
        <w:rPr>
          <w:rFonts w:cs="宋体" w:hint="eastAsia"/>
          <w:color w:val="000000"/>
          <w:sz w:val="22"/>
          <w:szCs w:val="22"/>
        </w:rPr>
        <w:t>，</w:t>
      </w:r>
      <w:r>
        <w:rPr>
          <w:rFonts w:cs="宋体" w:hint="eastAsia"/>
          <w:color w:val="000000"/>
          <w:sz w:val="22"/>
          <w:szCs w:val="22"/>
          <w:lang w:val="zh-TW"/>
        </w:rPr>
        <w:t>具体分配比例由各级劳动行政部门会同财政部门研究决定，各级财政和劳刼行政部门不得由此减少其正常经费的拨款。</w:t>
      </w:r>
    </w:p>
    <w:p w:rsidR="00A32067" w:rsidRDefault="00A32067" w:rsidP="005431C7">
      <w:pPr>
        <w:pStyle w:val="23"/>
        <w:shd w:val="clear" w:color="auto" w:fill="auto"/>
        <w:spacing w:after="0" w:line="360" w:lineRule="auto"/>
        <w:ind w:left="62" w:right="261" w:firstLineChars="200" w:firstLine="31680"/>
        <w:jc w:val="both"/>
        <w:rPr>
          <w:rFonts w:ascii="Times New Roman" w:eastAsia="宋体" w:hAnsi="Times New Roman" w:cs="Times New Roman"/>
          <w:sz w:val="22"/>
          <w:szCs w:val="22"/>
        </w:rPr>
      </w:pPr>
      <w:r>
        <w:rPr>
          <w:rFonts w:ascii="Times New Roman" w:eastAsia="宋体" w:hAnsi="Times New Roman" w:cs="宋体" w:hint="eastAsia"/>
          <w:sz w:val="22"/>
          <w:szCs w:val="22"/>
        </w:rPr>
        <w:t>第十三条省护品质检站和各级劳动安全卫生检测检验机构应严格执行本办法和收费标准</w:t>
      </w:r>
      <w:r>
        <w:rPr>
          <w:rFonts w:ascii="Times New Roman" w:eastAsia="宋体" w:hAnsi="Times New Roman" w:cs="宋体" w:hint="eastAsia"/>
          <w:sz w:val="22"/>
          <w:szCs w:val="22"/>
          <w:lang w:val="en-US"/>
        </w:rPr>
        <w:t>，</w:t>
      </w:r>
      <w:r>
        <w:rPr>
          <w:rFonts w:ascii="Times New Roman" w:eastAsia="宋体" w:hAnsi="Times New Roman" w:cs="宋体" w:hint="eastAsia"/>
          <w:sz w:val="22"/>
          <w:szCs w:val="22"/>
        </w:rPr>
        <w:t>做好业务收费的财务管理，健全收支专用帐目，接受财政部门监督，及时报送收支决算。</w:t>
      </w:r>
    </w:p>
    <w:p w:rsidR="00A32067" w:rsidRDefault="00A32067" w:rsidP="005431C7">
      <w:pPr>
        <w:pStyle w:val="23"/>
        <w:shd w:val="clear" w:color="auto" w:fill="auto"/>
        <w:spacing w:after="0" w:line="360" w:lineRule="auto"/>
        <w:ind w:left="62" w:right="261" w:firstLineChars="200" w:firstLine="31680"/>
        <w:jc w:val="both"/>
        <w:rPr>
          <w:rFonts w:ascii="Times New Roman" w:eastAsia="宋体" w:hAnsi="Times New Roman" w:cs="Times New Roman"/>
          <w:sz w:val="22"/>
          <w:szCs w:val="22"/>
        </w:rPr>
      </w:pPr>
      <w:r>
        <w:rPr>
          <w:rFonts w:ascii="Times New Roman" w:eastAsia="宋体" w:hAnsi="Times New Roman" w:cs="宋体" w:hint="eastAsia"/>
          <w:sz w:val="22"/>
          <w:szCs w:val="22"/>
        </w:rPr>
        <w:t>第十四条劳动行政、物价和财政部门要加强对劳动防护用品和劳动安全卫生检测检验机构检测收费工作的监督检查。省护品质检站和各级劳动安全卫生检测检验机构要到同级物价部门办理《收费许可证》，凭证收费，使用财政部门统一印制的非经营性收费票据。所收费用按预算外资金管理</w:t>
      </w:r>
      <w:r>
        <w:rPr>
          <w:rFonts w:ascii="Times New Roman" w:eastAsia="宋体" w:hAnsi="Times New Roman" w:cs="宋体" w:hint="eastAsia"/>
          <w:sz w:val="22"/>
          <w:szCs w:val="22"/>
          <w:lang w:val="en-US"/>
        </w:rPr>
        <w:t>，</w:t>
      </w:r>
      <w:r>
        <w:rPr>
          <w:rFonts w:ascii="Times New Roman" w:eastAsia="宋体" w:hAnsi="Times New Roman" w:cs="宋体" w:hint="eastAsia"/>
          <w:sz w:val="22"/>
          <w:szCs w:val="22"/>
        </w:rPr>
        <w:t>违者，按《中华人民共和国物价管理条例》和《河北省违反预算外资金管理规定处罚暂行办法》严肃处理。</w:t>
      </w:r>
    </w:p>
    <w:p w:rsidR="00A32067" w:rsidRDefault="00A32067" w:rsidP="005431C7">
      <w:pPr>
        <w:spacing w:line="360" w:lineRule="auto"/>
        <w:ind w:firstLineChars="200" w:firstLine="31680"/>
        <w:jc w:val="left"/>
        <w:rPr>
          <w:color w:val="000000"/>
          <w:kern w:val="0"/>
          <w:sz w:val="22"/>
          <w:szCs w:val="22"/>
          <w:lang w:val="zh-TW"/>
        </w:rPr>
      </w:pPr>
      <w:r>
        <w:rPr>
          <w:rFonts w:cs="宋体" w:hint="eastAsia"/>
          <w:color w:val="000000"/>
          <w:sz w:val="22"/>
          <w:szCs w:val="22"/>
          <w:lang w:val="zh-TW"/>
        </w:rPr>
        <w:t>第十五条本办法和《河北省劳动安全卫生监察系统行政事业性收费标准（试行</w:t>
      </w:r>
      <w:r>
        <w:rPr>
          <w:rFonts w:cs="宋体" w:hint="eastAsia"/>
          <w:color w:val="000000"/>
          <w:sz w:val="22"/>
          <w:szCs w:val="22"/>
        </w:rPr>
        <w:t>）</w:t>
      </w:r>
      <w:r>
        <w:rPr>
          <w:rFonts w:cs="宋体" w:hint="eastAsia"/>
          <w:color w:val="000000"/>
          <w:sz w:val="22"/>
          <w:szCs w:val="22"/>
          <w:lang w:val="zh-TW"/>
        </w:rPr>
        <w:t>》由省物价局、省财政厅、省劳动厅负责解。</w:t>
      </w: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sz w:val="22"/>
          <w:szCs w:val="22"/>
          <w:lang w:val="zh-TW"/>
        </w:rPr>
      </w:pP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sz w:val="22"/>
          <w:szCs w:val="22"/>
          <w:lang w:val="zh-TW"/>
        </w:rPr>
      </w:pPr>
    </w:p>
    <w:p w:rsidR="00A32067" w:rsidRDefault="00A32067" w:rsidP="005431C7">
      <w:pPr>
        <w:pStyle w:val="1"/>
        <w:shd w:val="clear" w:color="auto" w:fill="auto"/>
        <w:spacing w:line="360" w:lineRule="auto"/>
        <w:ind w:firstLineChars="200" w:firstLine="31680"/>
        <w:jc w:val="both"/>
        <w:rPr>
          <w:rFonts w:ascii="Times New Roman" w:eastAsia="宋体" w:hAnsi="Times New Roman" w:cs="Times New Roman"/>
          <w:sz w:val="22"/>
          <w:szCs w:val="22"/>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sectPr w:rsidR="00A32067">
          <w:headerReference w:type="even" r:id="rId98"/>
          <w:headerReference w:type="default" r:id="rId99"/>
          <w:pgSz w:w="11907" w:h="16840"/>
          <w:pgMar w:top="1134" w:right="1077" w:bottom="1134" w:left="1077" w:header="794" w:footer="567" w:gutter="284"/>
          <w:cols w:space="720"/>
          <w:docGrid w:linePitch="312"/>
        </w:sect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附件</w:t>
      </w:r>
      <w:r>
        <w:rPr>
          <w:rFonts w:ascii="Times New Roman" w:eastAsia="宋体" w:hAnsi="Times New Roman" w:cs="Times New Roman"/>
          <w:b/>
          <w:bCs/>
          <w:sz w:val="24"/>
          <w:szCs w:val="24"/>
          <w:lang w:val="zh-TW"/>
        </w:rPr>
        <w:t>2</w:t>
      </w:r>
    </w:p>
    <w:p w:rsidR="00A32067" w:rsidRDefault="00A32067" w:rsidP="005431C7">
      <w:pPr>
        <w:spacing w:line="360" w:lineRule="auto"/>
        <w:ind w:firstLineChars="200" w:firstLine="31680"/>
        <w:jc w:val="center"/>
        <w:rPr>
          <w:b/>
          <w:bCs/>
          <w:color w:val="000000"/>
          <w:sz w:val="24"/>
          <w:szCs w:val="24"/>
          <w:lang w:val="zh-TW"/>
        </w:rPr>
      </w:pPr>
      <w:r>
        <w:rPr>
          <w:rFonts w:cs="宋体" w:hint="eastAsia"/>
          <w:b/>
          <w:bCs/>
          <w:color w:val="000000"/>
          <w:sz w:val="24"/>
          <w:szCs w:val="24"/>
          <w:lang w:val="zh-TW"/>
        </w:rPr>
        <w:t>河北省劳动安全卫生监察系统行政事业性</w:t>
      </w:r>
      <w:r>
        <w:rPr>
          <w:b/>
          <w:bCs/>
          <w:color w:val="000000"/>
          <w:sz w:val="24"/>
          <w:szCs w:val="24"/>
          <w:lang w:val="zh-TW"/>
        </w:rPr>
        <w:br/>
      </w:r>
      <w:r>
        <w:rPr>
          <w:rFonts w:cs="宋体" w:hint="eastAsia"/>
          <w:b/>
          <w:bCs/>
          <w:color w:val="000000"/>
          <w:sz w:val="24"/>
          <w:szCs w:val="24"/>
          <w:lang w:val="zh-TW"/>
        </w:rPr>
        <w:t>收费项目及标准（试行）</w:t>
      </w: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宋体" w:eastAsia="宋体" w:hAnsi="宋体" w:cs="宋体" w:hint="eastAsia"/>
          <w:b/>
          <w:bCs/>
          <w:sz w:val="24"/>
          <w:szCs w:val="24"/>
          <w:lang w:val="zh-TW"/>
        </w:rPr>
        <w:t>Ⅰ</w:t>
      </w:r>
      <w:r>
        <w:rPr>
          <w:rFonts w:ascii="Times New Roman" w:eastAsia="宋体" w:hAnsi="Times New Roman" w:cs="宋体" w:hint="eastAsia"/>
          <w:b/>
          <w:bCs/>
          <w:sz w:val="24"/>
          <w:szCs w:val="24"/>
          <w:lang w:val="zh-TW"/>
        </w:rPr>
        <w:t>、劳动安全卫生检测检验收费标准</w:t>
      </w: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一、起重设备检验</w:t>
      </w: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（一）门、桥类等起重机检验</w:t>
      </w:r>
    </w:p>
    <w:tbl>
      <w:tblPr>
        <w:tblW w:w="9456" w:type="dxa"/>
        <w:tblInd w:w="2" w:type="dxa"/>
        <w:tblLayout w:type="fixed"/>
        <w:tblLook w:val="00A0"/>
      </w:tblPr>
      <w:tblGrid>
        <w:gridCol w:w="2016"/>
        <w:gridCol w:w="1062"/>
        <w:gridCol w:w="1062"/>
        <w:gridCol w:w="1062"/>
        <w:gridCol w:w="1062"/>
        <w:gridCol w:w="1062"/>
        <w:gridCol w:w="1062"/>
        <w:gridCol w:w="1068"/>
      </w:tblGrid>
      <w:tr w:rsidR="00A32067">
        <w:trPr>
          <w:trHeight w:hRule="exact" w:val="680"/>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ind w:right="960"/>
              <w:jc w:val="center"/>
            </w:pPr>
            <w:r>
              <w:rPr>
                <w:noProof/>
              </w:rPr>
              <w:pict>
                <v:shapetype id="_x0000_t202" coordsize="21600,21600" o:spt="202" path="m,l,21600r21600,l21600,xe">
                  <v:stroke joinstyle="miter"/>
                  <v:path gradientshapeok="t" o:connecttype="rect"/>
                </v:shapetype>
                <v:shape id="_x0000_s1074" type="#_x0000_t202" style="position:absolute;left:0;text-align:left;margin-left:14pt;margin-top:11.95pt;width:92.9pt;height:71.85pt;z-index:251656192" filled="f" stroked="f">
                  <v:textbox>
                    <w:txbxContent>
                      <w:p w:rsidR="00A32067" w:rsidRDefault="00A32067">
                        <w:pPr>
                          <w:spacing w:line="240" w:lineRule="atLeast"/>
                        </w:pPr>
                        <w:r>
                          <w:rPr>
                            <w:rFonts w:cs="宋体" w:hint="eastAsia"/>
                          </w:rPr>
                          <w:t>收</w:t>
                        </w:r>
                      </w:p>
                      <w:p w:rsidR="00A32067" w:rsidRDefault="00A32067" w:rsidP="005431C7">
                        <w:pPr>
                          <w:spacing w:line="240" w:lineRule="atLeast"/>
                          <w:ind w:firstLineChars="100" w:firstLine="31680"/>
                        </w:pPr>
                        <w:r>
                          <w:rPr>
                            <w:rFonts w:cs="宋体" w:hint="eastAsia"/>
                          </w:rPr>
                          <w:t>费</w:t>
                        </w:r>
                      </w:p>
                      <w:p w:rsidR="00A32067" w:rsidRDefault="00A32067" w:rsidP="005431C7">
                        <w:pPr>
                          <w:spacing w:line="240" w:lineRule="atLeast"/>
                          <w:ind w:firstLineChars="200" w:firstLine="31680"/>
                        </w:pPr>
                        <w:r>
                          <w:rPr>
                            <w:rFonts w:cs="宋体" w:hint="eastAsia"/>
                          </w:rPr>
                          <w:t>标</w:t>
                        </w:r>
                      </w:p>
                      <w:p w:rsidR="00A32067" w:rsidRDefault="00A32067" w:rsidP="005431C7">
                        <w:pPr>
                          <w:spacing w:line="240" w:lineRule="atLeast"/>
                          <w:ind w:firstLineChars="200" w:firstLine="31680"/>
                        </w:pPr>
                        <w:r>
                          <w:rPr>
                            <w:rFonts w:cs="宋体" w:hint="eastAsia"/>
                          </w:rPr>
                          <w:t>准</w:t>
                        </w:r>
                      </w:p>
                    </w:txbxContent>
                  </v:textbox>
                  <w10:anchorlock/>
                </v:shape>
              </w:pict>
            </w:r>
            <w:r>
              <w:rPr>
                <w:noProof/>
              </w:rPr>
              <w:pict>
                <v:shapetype id="_x0000_t32" coordsize="21600,21600" o:spt="32" o:oned="t" path="m,l21600,21600e" filled="f">
                  <v:path arrowok="t" fillok="f" o:connecttype="none"/>
                  <o:lock v:ext="edit" shapetype="t"/>
                </v:shapetype>
                <v:shape id="_x0000_s1075" type="#_x0000_t32" style="position:absolute;left:0;text-align:left;margin-left:24pt;margin-top:2.15pt;width:74.75pt;height:98.5pt;z-index:251654144">
                  <w10:anchorlock/>
                </v:shape>
              </w:pict>
            </w:r>
            <w:r>
              <w:rPr>
                <w:noProof/>
              </w:rPr>
              <w:pict>
                <v:shape id="_x0000_s1076" type="#_x0000_t202" style="position:absolute;left:0;text-align:left;margin-left:64.45pt;margin-top:7.2pt;width:18.6pt;height:61.8pt;z-index:251655168" stroked="f">
                  <v:textbox>
                    <w:txbxContent>
                      <w:p w:rsidR="00A32067" w:rsidRDefault="00A32067">
                        <w:r>
                          <w:rPr>
                            <w:rFonts w:cs="宋体" w:hint="eastAsia"/>
                          </w:rPr>
                          <w:t>项目</w:t>
                        </w:r>
                      </w:p>
                    </w:txbxContent>
                  </v:textbox>
                  <w10:anchorlock/>
                </v:shape>
              </w:pict>
            </w:r>
          </w:p>
          <w:p w:rsidR="00A32067" w:rsidRDefault="00A32067">
            <w:pPr>
              <w:ind w:right="960"/>
              <w:jc w:val="center"/>
            </w:pPr>
            <w:r>
              <w:rPr>
                <w:noProof/>
              </w:rPr>
              <w:pict>
                <v:shape id="_x0000_s1077" type="#_x0000_t32" style="position:absolute;left:0;text-align:left;margin-left:-4pt;margin-top:25.2pt;width:102pt;height:64.9pt;z-index:251653120">
                  <w10:anchorlock/>
                </v:shape>
              </w:pict>
            </w:r>
            <w:r>
              <w:rPr>
                <w:noProof/>
              </w:rPr>
              <w:pict>
                <v:shape id="_x0000_s1078" type="#_x0000_t202" style="position:absolute;left:0;text-align:left;margin-left:-1.25pt;margin-top:50.95pt;width:54.3pt;height:44.25pt;z-index:251657216" filled="f" stroked="f">
                  <v:textbox>
                    <w:txbxContent>
                      <w:p w:rsidR="00A32067" w:rsidRDefault="00A32067">
                        <w:pPr>
                          <w:spacing w:line="20" w:lineRule="atLeast"/>
                        </w:pPr>
                        <w:r>
                          <w:rPr>
                            <w:rFonts w:cs="宋体" w:hint="eastAsia"/>
                          </w:rPr>
                          <w:t>起重量</w:t>
                        </w:r>
                      </w:p>
                      <w:p w:rsidR="00A32067" w:rsidRDefault="00A32067">
                        <w:pPr>
                          <w:spacing w:line="20" w:lineRule="atLeast"/>
                        </w:pPr>
                        <w:r>
                          <w:rPr>
                            <w:rFonts w:cs="宋体" w:hint="eastAsia"/>
                          </w:rPr>
                          <w:t>（</w:t>
                        </w:r>
                        <w:r>
                          <w:t>t</w:t>
                        </w:r>
                        <w:r>
                          <w:rPr>
                            <w:rFonts w:cs="宋体" w:hint="eastAsia"/>
                          </w:rPr>
                          <w:t>）</w:t>
                        </w:r>
                      </w:p>
                    </w:txbxContent>
                  </v:textbox>
                  <w10:anchorlock/>
                </v:shape>
              </w:pict>
            </w:r>
          </w:p>
        </w:tc>
        <w:tc>
          <w:tcPr>
            <w:tcW w:w="5310" w:type="dxa"/>
            <w:gridSpan w:val="5"/>
            <w:tcBorders>
              <w:top w:val="single" w:sz="4" w:space="0" w:color="auto"/>
              <w:left w:val="nil"/>
              <w:bottom w:val="single" w:sz="4" w:space="0" w:color="auto"/>
              <w:right w:val="single" w:sz="4" w:space="0" w:color="auto"/>
            </w:tcBorders>
            <w:vAlign w:val="center"/>
          </w:tcPr>
          <w:p w:rsidR="00A32067" w:rsidRDefault="00A32067">
            <w:pPr>
              <w:jc w:val="center"/>
            </w:pPr>
          </w:p>
        </w:tc>
        <w:tc>
          <w:tcPr>
            <w:tcW w:w="2130" w:type="dxa"/>
            <w:gridSpan w:val="2"/>
            <w:tcBorders>
              <w:top w:val="single" w:sz="4" w:space="0" w:color="auto"/>
              <w:left w:val="nil"/>
              <w:bottom w:val="single" w:sz="4" w:space="0" w:color="auto"/>
              <w:right w:val="single" w:sz="4" w:space="0" w:color="auto"/>
            </w:tcBorders>
            <w:vAlign w:val="center"/>
          </w:tcPr>
          <w:p w:rsidR="00A32067" w:rsidRDefault="00A32067">
            <w:pPr>
              <w:jc w:val="center"/>
            </w:pPr>
            <w:r>
              <w:rPr>
                <w:rFonts w:cs="宋体" w:hint="eastAsia"/>
              </w:rPr>
              <w:t>轻小型</w:t>
            </w:r>
          </w:p>
        </w:tc>
      </w:tr>
      <w:tr w:rsidR="00A32067">
        <w:trPr>
          <w:trHeight w:val="276"/>
        </w:trPr>
        <w:tc>
          <w:tcPr>
            <w:tcW w:w="2016"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门式、门座式、桥式（元</w:t>
            </w:r>
            <w:r>
              <w:t>/</w:t>
            </w:r>
            <w:r>
              <w:rPr>
                <w:rFonts w:cs="宋体" w:hint="eastAsia"/>
              </w:rPr>
              <w:t>台）</w:t>
            </w: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移动式（元</w:t>
            </w:r>
            <w:r>
              <w:t>/</w:t>
            </w:r>
            <w:r>
              <w:rPr>
                <w:rFonts w:cs="宋体" w:hint="eastAsia"/>
              </w:rPr>
              <w:t>台）</w:t>
            </w: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撬杆式（元</w:t>
            </w:r>
            <w:r>
              <w:t>/</w:t>
            </w:r>
            <w:r>
              <w:rPr>
                <w:rFonts w:cs="宋体" w:hint="eastAsia"/>
              </w:rPr>
              <w:t>台）</w:t>
            </w: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绳索（元</w:t>
            </w:r>
            <w:r>
              <w:t>/</w:t>
            </w:r>
            <w:r>
              <w:rPr>
                <w:rFonts w:cs="宋体" w:hint="eastAsia"/>
              </w:rPr>
              <w:t>台）</w:t>
            </w: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固定回转式（元</w:t>
            </w:r>
            <w:r>
              <w:t>/</w:t>
            </w:r>
            <w:r>
              <w:rPr>
                <w:rFonts w:cs="宋体" w:hint="eastAsia"/>
              </w:rPr>
              <w:t>台）</w:t>
            </w:r>
          </w:p>
        </w:tc>
        <w:tc>
          <w:tcPr>
            <w:tcW w:w="1062"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电动葫芦（元</w:t>
            </w:r>
            <w:r>
              <w:t>/</w:t>
            </w:r>
            <w:r>
              <w:rPr>
                <w:rFonts w:cs="宋体" w:hint="eastAsia"/>
              </w:rPr>
              <w:t>台）</w:t>
            </w:r>
          </w:p>
        </w:tc>
        <w:tc>
          <w:tcPr>
            <w:tcW w:w="1068"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手动葫芦（元</w:t>
            </w:r>
            <w:r>
              <w:t>/</w:t>
            </w:r>
            <w:r>
              <w:rPr>
                <w:rFonts w:cs="宋体" w:hint="eastAsia"/>
              </w:rPr>
              <w:t>台）</w:t>
            </w:r>
          </w:p>
        </w:tc>
      </w:tr>
      <w:tr w:rsidR="00A32067">
        <w:trPr>
          <w:trHeight w:hRule="exact" w:val="1088"/>
        </w:trPr>
        <w:tc>
          <w:tcPr>
            <w:tcW w:w="2016"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2"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1068" w:type="dxa"/>
            <w:vMerge/>
            <w:tcBorders>
              <w:top w:val="nil"/>
              <w:left w:val="single" w:sz="4" w:space="0" w:color="auto"/>
              <w:bottom w:val="single" w:sz="4" w:space="0" w:color="auto"/>
              <w:right w:val="single" w:sz="4" w:space="0" w:color="auto"/>
            </w:tcBorders>
            <w:vAlign w:val="center"/>
          </w:tcPr>
          <w:p w:rsidR="00A32067" w:rsidRDefault="00A32067">
            <w:pPr>
              <w:jc w:val="center"/>
            </w:pP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&lt;5</w:t>
            </w:r>
          </w:p>
        </w:tc>
        <w:tc>
          <w:tcPr>
            <w:tcW w:w="1062" w:type="dxa"/>
            <w:tcBorders>
              <w:top w:val="nil"/>
              <w:left w:val="nil"/>
              <w:bottom w:val="single" w:sz="4" w:space="0" w:color="auto"/>
              <w:right w:val="single" w:sz="4" w:space="0" w:color="auto"/>
            </w:tcBorders>
            <w:vAlign w:val="center"/>
          </w:tcPr>
          <w:p w:rsidR="00A32067" w:rsidRDefault="00A32067">
            <w:pPr>
              <w:jc w:val="center"/>
            </w:pPr>
            <w:r>
              <w:t>250</w:t>
            </w:r>
          </w:p>
        </w:tc>
        <w:tc>
          <w:tcPr>
            <w:tcW w:w="1062" w:type="dxa"/>
            <w:tcBorders>
              <w:top w:val="nil"/>
              <w:left w:val="nil"/>
              <w:bottom w:val="single" w:sz="4" w:space="0" w:color="auto"/>
              <w:right w:val="single" w:sz="4" w:space="0" w:color="auto"/>
            </w:tcBorders>
            <w:vAlign w:val="center"/>
          </w:tcPr>
          <w:p w:rsidR="00A32067" w:rsidRDefault="00A32067">
            <w:pPr>
              <w:jc w:val="center"/>
            </w:pPr>
            <w:r>
              <w:t>200</w:t>
            </w:r>
          </w:p>
        </w:tc>
        <w:tc>
          <w:tcPr>
            <w:tcW w:w="1062" w:type="dxa"/>
            <w:tcBorders>
              <w:top w:val="nil"/>
              <w:left w:val="nil"/>
              <w:bottom w:val="single" w:sz="4" w:space="0" w:color="auto"/>
              <w:right w:val="single" w:sz="4" w:space="0" w:color="auto"/>
            </w:tcBorders>
            <w:vAlign w:val="center"/>
          </w:tcPr>
          <w:p w:rsidR="00A32067" w:rsidRDefault="00A32067">
            <w:pPr>
              <w:jc w:val="center"/>
            </w:pPr>
            <w:r>
              <w:t>150</w:t>
            </w:r>
          </w:p>
        </w:tc>
        <w:tc>
          <w:tcPr>
            <w:tcW w:w="1062" w:type="dxa"/>
            <w:tcBorders>
              <w:top w:val="nil"/>
              <w:left w:val="nil"/>
              <w:bottom w:val="single" w:sz="4" w:space="0" w:color="auto"/>
              <w:right w:val="single" w:sz="4" w:space="0" w:color="auto"/>
            </w:tcBorders>
            <w:vAlign w:val="center"/>
          </w:tcPr>
          <w:p w:rsidR="00A32067" w:rsidRDefault="00A32067">
            <w:pPr>
              <w:jc w:val="center"/>
            </w:pPr>
            <w:r>
              <w:t>310</w:t>
            </w:r>
          </w:p>
        </w:tc>
        <w:tc>
          <w:tcPr>
            <w:tcW w:w="1062" w:type="dxa"/>
            <w:tcBorders>
              <w:top w:val="nil"/>
              <w:left w:val="nil"/>
              <w:bottom w:val="single" w:sz="4" w:space="0" w:color="auto"/>
              <w:right w:val="single" w:sz="4" w:space="0" w:color="auto"/>
            </w:tcBorders>
            <w:vAlign w:val="center"/>
          </w:tcPr>
          <w:p w:rsidR="00A32067" w:rsidRDefault="00A32067">
            <w:pPr>
              <w:jc w:val="center"/>
            </w:pPr>
            <w:r>
              <w:t>100</w:t>
            </w:r>
          </w:p>
        </w:tc>
        <w:tc>
          <w:tcPr>
            <w:tcW w:w="1062" w:type="dxa"/>
            <w:tcBorders>
              <w:top w:val="nil"/>
              <w:left w:val="nil"/>
              <w:bottom w:val="single" w:sz="4" w:space="0" w:color="auto"/>
              <w:right w:val="single" w:sz="4" w:space="0" w:color="auto"/>
            </w:tcBorders>
            <w:vAlign w:val="center"/>
          </w:tcPr>
          <w:p w:rsidR="00A32067" w:rsidRDefault="00A32067">
            <w:pPr>
              <w:jc w:val="center"/>
            </w:pPr>
            <w:r>
              <w:t>100</w:t>
            </w:r>
          </w:p>
        </w:tc>
        <w:tc>
          <w:tcPr>
            <w:tcW w:w="1068" w:type="dxa"/>
            <w:tcBorders>
              <w:top w:val="nil"/>
              <w:left w:val="nil"/>
              <w:bottom w:val="single" w:sz="4" w:space="0" w:color="auto"/>
              <w:right w:val="single" w:sz="4" w:space="0" w:color="auto"/>
            </w:tcBorders>
            <w:vAlign w:val="center"/>
          </w:tcPr>
          <w:p w:rsidR="00A32067" w:rsidRDefault="00A32067">
            <w:pPr>
              <w:jc w:val="center"/>
            </w:pPr>
            <w:r>
              <w:t>20</w:t>
            </w: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5-10</w:t>
            </w:r>
          </w:p>
        </w:tc>
        <w:tc>
          <w:tcPr>
            <w:tcW w:w="1062" w:type="dxa"/>
            <w:tcBorders>
              <w:top w:val="nil"/>
              <w:left w:val="nil"/>
              <w:bottom w:val="single" w:sz="4" w:space="0" w:color="auto"/>
              <w:right w:val="single" w:sz="4" w:space="0" w:color="auto"/>
            </w:tcBorders>
            <w:vAlign w:val="center"/>
          </w:tcPr>
          <w:p w:rsidR="00A32067" w:rsidRDefault="00A32067">
            <w:pPr>
              <w:jc w:val="center"/>
            </w:pPr>
            <w:r>
              <w:t>300</w:t>
            </w:r>
          </w:p>
        </w:tc>
        <w:tc>
          <w:tcPr>
            <w:tcW w:w="1062" w:type="dxa"/>
            <w:tcBorders>
              <w:top w:val="nil"/>
              <w:left w:val="nil"/>
              <w:bottom w:val="single" w:sz="4" w:space="0" w:color="auto"/>
              <w:right w:val="single" w:sz="4" w:space="0" w:color="auto"/>
            </w:tcBorders>
            <w:vAlign w:val="center"/>
          </w:tcPr>
          <w:p w:rsidR="00A32067" w:rsidRDefault="00A32067">
            <w:pPr>
              <w:jc w:val="center"/>
            </w:pPr>
            <w:r>
              <w:t>250</w:t>
            </w:r>
          </w:p>
        </w:tc>
        <w:tc>
          <w:tcPr>
            <w:tcW w:w="1062" w:type="dxa"/>
            <w:tcBorders>
              <w:top w:val="nil"/>
              <w:left w:val="nil"/>
              <w:bottom w:val="single" w:sz="4" w:space="0" w:color="auto"/>
              <w:right w:val="single" w:sz="4" w:space="0" w:color="auto"/>
            </w:tcBorders>
            <w:vAlign w:val="center"/>
          </w:tcPr>
          <w:p w:rsidR="00A32067" w:rsidRDefault="00A32067">
            <w:pPr>
              <w:jc w:val="center"/>
            </w:pPr>
            <w:r>
              <w:t>200</w:t>
            </w:r>
          </w:p>
        </w:tc>
        <w:tc>
          <w:tcPr>
            <w:tcW w:w="1062" w:type="dxa"/>
            <w:tcBorders>
              <w:top w:val="nil"/>
              <w:left w:val="nil"/>
              <w:bottom w:val="single" w:sz="4" w:space="0" w:color="auto"/>
              <w:right w:val="single" w:sz="4" w:space="0" w:color="auto"/>
            </w:tcBorders>
            <w:vAlign w:val="center"/>
          </w:tcPr>
          <w:p w:rsidR="00A32067" w:rsidRDefault="00A32067">
            <w:pPr>
              <w:jc w:val="center"/>
            </w:pPr>
            <w:r>
              <w:t>350</w:t>
            </w:r>
          </w:p>
        </w:tc>
        <w:tc>
          <w:tcPr>
            <w:tcW w:w="1062" w:type="dxa"/>
            <w:tcBorders>
              <w:top w:val="nil"/>
              <w:left w:val="nil"/>
              <w:bottom w:val="single" w:sz="4" w:space="0" w:color="auto"/>
              <w:right w:val="single" w:sz="4" w:space="0" w:color="auto"/>
            </w:tcBorders>
            <w:vAlign w:val="center"/>
          </w:tcPr>
          <w:p w:rsidR="00A32067" w:rsidRDefault="00A32067">
            <w:pPr>
              <w:jc w:val="center"/>
            </w:pPr>
            <w:r>
              <w:t>120</w:t>
            </w:r>
          </w:p>
        </w:tc>
        <w:tc>
          <w:tcPr>
            <w:tcW w:w="1062" w:type="dxa"/>
            <w:tcBorders>
              <w:top w:val="nil"/>
              <w:left w:val="nil"/>
              <w:bottom w:val="single" w:sz="4" w:space="0" w:color="auto"/>
              <w:right w:val="single" w:sz="4" w:space="0" w:color="auto"/>
            </w:tcBorders>
            <w:vAlign w:val="center"/>
          </w:tcPr>
          <w:p w:rsidR="00A32067" w:rsidRDefault="00A32067">
            <w:pPr>
              <w:jc w:val="center"/>
            </w:pPr>
            <w:r>
              <w:t>150</w:t>
            </w:r>
          </w:p>
        </w:tc>
        <w:tc>
          <w:tcPr>
            <w:tcW w:w="1068" w:type="dxa"/>
            <w:tcBorders>
              <w:top w:val="nil"/>
              <w:left w:val="nil"/>
              <w:bottom w:val="single" w:sz="4" w:space="0" w:color="auto"/>
              <w:right w:val="single" w:sz="4" w:space="0" w:color="auto"/>
            </w:tcBorders>
            <w:vAlign w:val="center"/>
          </w:tcPr>
          <w:p w:rsidR="00A32067" w:rsidRDefault="00A32067">
            <w:pPr>
              <w:jc w:val="center"/>
            </w:pPr>
            <w:r>
              <w:t>30</w:t>
            </w: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11-15</w:t>
            </w:r>
          </w:p>
        </w:tc>
        <w:tc>
          <w:tcPr>
            <w:tcW w:w="1062" w:type="dxa"/>
            <w:tcBorders>
              <w:top w:val="nil"/>
              <w:left w:val="nil"/>
              <w:bottom w:val="single" w:sz="4" w:space="0" w:color="auto"/>
              <w:right w:val="single" w:sz="4" w:space="0" w:color="auto"/>
            </w:tcBorders>
            <w:vAlign w:val="center"/>
          </w:tcPr>
          <w:p w:rsidR="00A32067" w:rsidRDefault="00A32067">
            <w:pPr>
              <w:jc w:val="center"/>
            </w:pPr>
            <w:r>
              <w:t>350</w:t>
            </w:r>
          </w:p>
        </w:tc>
        <w:tc>
          <w:tcPr>
            <w:tcW w:w="1062" w:type="dxa"/>
            <w:tcBorders>
              <w:top w:val="nil"/>
              <w:left w:val="nil"/>
              <w:bottom w:val="single" w:sz="4" w:space="0" w:color="auto"/>
              <w:right w:val="single" w:sz="4" w:space="0" w:color="auto"/>
            </w:tcBorders>
            <w:vAlign w:val="center"/>
          </w:tcPr>
          <w:p w:rsidR="00A32067" w:rsidRDefault="00A32067">
            <w:pPr>
              <w:jc w:val="center"/>
            </w:pPr>
            <w:r>
              <w:t>300</w:t>
            </w:r>
          </w:p>
        </w:tc>
        <w:tc>
          <w:tcPr>
            <w:tcW w:w="1062" w:type="dxa"/>
            <w:tcBorders>
              <w:top w:val="nil"/>
              <w:left w:val="nil"/>
              <w:bottom w:val="single" w:sz="4" w:space="0" w:color="auto"/>
              <w:right w:val="single" w:sz="4" w:space="0" w:color="auto"/>
            </w:tcBorders>
            <w:vAlign w:val="center"/>
          </w:tcPr>
          <w:p w:rsidR="00A32067" w:rsidRDefault="00A32067">
            <w:pPr>
              <w:jc w:val="center"/>
            </w:pPr>
            <w:r>
              <w:t>250</w:t>
            </w:r>
          </w:p>
        </w:tc>
        <w:tc>
          <w:tcPr>
            <w:tcW w:w="1062" w:type="dxa"/>
            <w:tcBorders>
              <w:top w:val="nil"/>
              <w:left w:val="nil"/>
              <w:bottom w:val="single" w:sz="4" w:space="0" w:color="auto"/>
              <w:right w:val="single" w:sz="4" w:space="0" w:color="auto"/>
            </w:tcBorders>
            <w:vAlign w:val="center"/>
          </w:tcPr>
          <w:p w:rsidR="00A32067" w:rsidRDefault="00A32067">
            <w:pPr>
              <w:jc w:val="center"/>
            </w:pPr>
            <w:r>
              <w:t>400</w:t>
            </w:r>
          </w:p>
        </w:tc>
        <w:tc>
          <w:tcPr>
            <w:tcW w:w="1062" w:type="dxa"/>
            <w:tcBorders>
              <w:top w:val="nil"/>
              <w:left w:val="nil"/>
              <w:bottom w:val="single" w:sz="4" w:space="0" w:color="auto"/>
              <w:right w:val="single" w:sz="4" w:space="0" w:color="auto"/>
            </w:tcBorders>
            <w:vAlign w:val="center"/>
          </w:tcPr>
          <w:p w:rsidR="00A32067" w:rsidRDefault="00A32067">
            <w:pPr>
              <w:jc w:val="center"/>
            </w:pPr>
            <w:r>
              <w:t>140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8" w:type="dxa"/>
            <w:tcBorders>
              <w:top w:val="nil"/>
              <w:left w:val="nil"/>
              <w:bottom w:val="single" w:sz="4" w:space="0" w:color="auto"/>
              <w:right w:val="single" w:sz="4" w:space="0" w:color="auto"/>
            </w:tcBorders>
            <w:vAlign w:val="center"/>
          </w:tcPr>
          <w:p w:rsidR="00A32067" w:rsidRDefault="00A32067">
            <w:pPr>
              <w:jc w:val="center"/>
            </w:pP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16-30</w:t>
            </w:r>
          </w:p>
        </w:tc>
        <w:tc>
          <w:tcPr>
            <w:tcW w:w="1062" w:type="dxa"/>
            <w:tcBorders>
              <w:top w:val="nil"/>
              <w:left w:val="nil"/>
              <w:bottom w:val="single" w:sz="4" w:space="0" w:color="auto"/>
              <w:right w:val="single" w:sz="4" w:space="0" w:color="auto"/>
            </w:tcBorders>
            <w:vAlign w:val="center"/>
          </w:tcPr>
          <w:p w:rsidR="00A32067" w:rsidRDefault="00A32067">
            <w:pPr>
              <w:jc w:val="center"/>
            </w:pPr>
            <w:r>
              <w:t>400</w:t>
            </w:r>
          </w:p>
        </w:tc>
        <w:tc>
          <w:tcPr>
            <w:tcW w:w="1062" w:type="dxa"/>
            <w:tcBorders>
              <w:top w:val="nil"/>
              <w:left w:val="nil"/>
              <w:bottom w:val="single" w:sz="4" w:space="0" w:color="auto"/>
              <w:right w:val="single" w:sz="4" w:space="0" w:color="auto"/>
            </w:tcBorders>
            <w:vAlign w:val="center"/>
          </w:tcPr>
          <w:p w:rsidR="00A32067" w:rsidRDefault="00A32067">
            <w:pPr>
              <w:jc w:val="center"/>
            </w:pPr>
            <w:r>
              <w:t>350</w:t>
            </w:r>
          </w:p>
        </w:tc>
        <w:tc>
          <w:tcPr>
            <w:tcW w:w="1062" w:type="dxa"/>
            <w:tcBorders>
              <w:top w:val="nil"/>
              <w:left w:val="nil"/>
              <w:bottom w:val="single" w:sz="4" w:space="0" w:color="auto"/>
              <w:right w:val="single" w:sz="4" w:space="0" w:color="auto"/>
            </w:tcBorders>
            <w:vAlign w:val="center"/>
          </w:tcPr>
          <w:p w:rsidR="00A32067" w:rsidRDefault="00A32067">
            <w:pPr>
              <w:jc w:val="center"/>
            </w:pPr>
            <w:r>
              <w:t>300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2" w:type="dxa"/>
            <w:tcBorders>
              <w:top w:val="nil"/>
              <w:left w:val="nil"/>
              <w:bottom w:val="single" w:sz="4" w:space="0" w:color="auto"/>
              <w:right w:val="single" w:sz="4" w:space="0" w:color="auto"/>
            </w:tcBorders>
            <w:vAlign w:val="center"/>
          </w:tcPr>
          <w:p w:rsidR="00A32067" w:rsidRDefault="00A32067">
            <w:pPr>
              <w:jc w:val="center"/>
            </w:pPr>
            <w:r>
              <w:t>160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8" w:type="dxa"/>
            <w:tcBorders>
              <w:top w:val="nil"/>
              <w:left w:val="nil"/>
              <w:bottom w:val="single" w:sz="4" w:space="0" w:color="auto"/>
              <w:right w:val="single" w:sz="4" w:space="0" w:color="auto"/>
            </w:tcBorders>
            <w:vAlign w:val="center"/>
          </w:tcPr>
          <w:p w:rsidR="00A32067" w:rsidRDefault="00A32067">
            <w:pPr>
              <w:jc w:val="center"/>
            </w:pP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31-40</w:t>
            </w:r>
          </w:p>
        </w:tc>
        <w:tc>
          <w:tcPr>
            <w:tcW w:w="1062" w:type="dxa"/>
            <w:tcBorders>
              <w:top w:val="nil"/>
              <w:left w:val="nil"/>
              <w:bottom w:val="single" w:sz="4" w:space="0" w:color="auto"/>
              <w:right w:val="single" w:sz="4" w:space="0" w:color="auto"/>
            </w:tcBorders>
            <w:vAlign w:val="center"/>
          </w:tcPr>
          <w:p w:rsidR="00A32067" w:rsidRDefault="00A32067">
            <w:pPr>
              <w:jc w:val="center"/>
            </w:pPr>
            <w:r>
              <w:t>450</w:t>
            </w:r>
          </w:p>
        </w:tc>
        <w:tc>
          <w:tcPr>
            <w:tcW w:w="1062" w:type="dxa"/>
            <w:tcBorders>
              <w:top w:val="nil"/>
              <w:left w:val="nil"/>
              <w:bottom w:val="single" w:sz="4" w:space="0" w:color="auto"/>
              <w:right w:val="single" w:sz="4" w:space="0" w:color="auto"/>
            </w:tcBorders>
            <w:vAlign w:val="center"/>
          </w:tcPr>
          <w:p w:rsidR="00A32067" w:rsidRDefault="00A32067">
            <w:pPr>
              <w:jc w:val="center"/>
            </w:pPr>
            <w:r>
              <w:t>400</w:t>
            </w:r>
          </w:p>
        </w:tc>
        <w:tc>
          <w:tcPr>
            <w:tcW w:w="1062" w:type="dxa"/>
            <w:tcBorders>
              <w:top w:val="nil"/>
              <w:left w:val="nil"/>
              <w:bottom w:val="single" w:sz="4" w:space="0" w:color="auto"/>
              <w:right w:val="single" w:sz="4" w:space="0" w:color="auto"/>
            </w:tcBorders>
            <w:vAlign w:val="center"/>
          </w:tcPr>
          <w:p w:rsidR="00A32067" w:rsidRDefault="00A32067">
            <w:pPr>
              <w:jc w:val="center"/>
            </w:pPr>
            <w:r>
              <w:t>350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2" w:type="dxa"/>
            <w:tcBorders>
              <w:top w:val="nil"/>
              <w:left w:val="nil"/>
              <w:bottom w:val="single" w:sz="4" w:space="0" w:color="auto"/>
              <w:right w:val="single" w:sz="4" w:space="0" w:color="auto"/>
            </w:tcBorders>
            <w:vAlign w:val="center"/>
          </w:tcPr>
          <w:p w:rsidR="00A32067" w:rsidRDefault="00A32067">
            <w:pPr>
              <w:jc w:val="center"/>
            </w:pPr>
            <w:r>
              <w:t>200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8" w:type="dxa"/>
            <w:tcBorders>
              <w:top w:val="nil"/>
              <w:left w:val="nil"/>
              <w:bottom w:val="single" w:sz="4" w:space="0" w:color="auto"/>
              <w:right w:val="single" w:sz="4" w:space="0" w:color="auto"/>
            </w:tcBorders>
            <w:vAlign w:val="center"/>
          </w:tcPr>
          <w:p w:rsidR="00A32067" w:rsidRDefault="00A32067">
            <w:pPr>
              <w:jc w:val="center"/>
            </w:pP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41-80</w:t>
            </w:r>
          </w:p>
        </w:tc>
        <w:tc>
          <w:tcPr>
            <w:tcW w:w="1062" w:type="dxa"/>
            <w:tcBorders>
              <w:top w:val="nil"/>
              <w:left w:val="nil"/>
              <w:bottom w:val="single" w:sz="4" w:space="0" w:color="auto"/>
              <w:right w:val="single" w:sz="4" w:space="0" w:color="auto"/>
            </w:tcBorders>
            <w:vAlign w:val="center"/>
          </w:tcPr>
          <w:p w:rsidR="00A32067" w:rsidRDefault="00A32067">
            <w:pPr>
              <w:jc w:val="center"/>
            </w:pPr>
            <w:r>
              <w:t>500</w:t>
            </w:r>
          </w:p>
        </w:tc>
        <w:tc>
          <w:tcPr>
            <w:tcW w:w="1062" w:type="dxa"/>
            <w:tcBorders>
              <w:top w:val="nil"/>
              <w:left w:val="nil"/>
              <w:bottom w:val="single" w:sz="4" w:space="0" w:color="auto"/>
              <w:right w:val="single" w:sz="4" w:space="0" w:color="auto"/>
            </w:tcBorders>
            <w:vAlign w:val="center"/>
          </w:tcPr>
          <w:p w:rsidR="00A32067" w:rsidRDefault="00A32067">
            <w:pPr>
              <w:jc w:val="center"/>
            </w:pPr>
            <w:r>
              <w:t>450</w:t>
            </w:r>
          </w:p>
        </w:tc>
        <w:tc>
          <w:tcPr>
            <w:tcW w:w="1062" w:type="dxa"/>
            <w:tcBorders>
              <w:top w:val="nil"/>
              <w:left w:val="nil"/>
              <w:bottom w:val="single" w:sz="4" w:space="0" w:color="auto"/>
              <w:right w:val="single" w:sz="4" w:space="0" w:color="auto"/>
            </w:tcBorders>
            <w:vAlign w:val="center"/>
          </w:tcPr>
          <w:p w:rsidR="00A32067" w:rsidRDefault="00A32067">
            <w:pPr>
              <w:jc w:val="center"/>
            </w:pPr>
            <w:r>
              <w:t>400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2" w:type="dxa"/>
            <w:tcBorders>
              <w:top w:val="nil"/>
              <w:left w:val="nil"/>
              <w:bottom w:val="single" w:sz="4" w:space="0" w:color="auto"/>
              <w:right w:val="single" w:sz="4" w:space="0" w:color="auto"/>
            </w:tcBorders>
            <w:vAlign w:val="center"/>
          </w:tcPr>
          <w:p w:rsidR="00A32067" w:rsidRDefault="00A32067">
            <w:pPr>
              <w:jc w:val="center"/>
            </w:pPr>
            <w:r>
              <w:t>250</w:t>
            </w:r>
          </w:p>
        </w:tc>
        <w:tc>
          <w:tcPr>
            <w:tcW w:w="1062" w:type="dxa"/>
            <w:tcBorders>
              <w:top w:val="nil"/>
              <w:left w:val="nil"/>
              <w:bottom w:val="single" w:sz="4" w:space="0" w:color="auto"/>
              <w:right w:val="single" w:sz="4" w:space="0" w:color="auto"/>
            </w:tcBorders>
            <w:vAlign w:val="center"/>
          </w:tcPr>
          <w:p w:rsidR="00A32067" w:rsidRDefault="00A32067">
            <w:pPr>
              <w:jc w:val="center"/>
            </w:pPr>
          </w:p>
        </w:tc>
        <w:tc>
          <w:tcPr>
            <w:tcW w:w="1068" w:type="dxa"/>
            <w:tcBorders>
              <w:top w:val="nil"/>
              <w:left w:val="nil"/>
              <w:bottom w:val="single" w:sz="4" w:space="0" w:color="auto"/>
              <w:right w:val="single" w:sz="4" w:space="0" w:color="auto"/>
            </w:tcBorders>
            <w:vAlign w:val="center"/>
          </w:tcPr>
          <w:p w:rsidR="00A32067" w:rsidRDefault="00A32067">
            <w:pPr>
              <w:jc w:val="center"/>
            </w:pPr>
          </w:p>
        </w:tc>
      </w:tr>
      <w:tr w:rsidR="00A32067">
        <w:trPr>
          <w:trHeight w:hRule="exact" w:val="680"/>
        </w:trPr>
        <w:tc>
          <w:tcPr>
            <w:tcW w:w="2016" w:type="dxa"/>
            <w:tcBorders>
              <w:top w:val="nil"/>
              <w:left w:val="single" w:sz="4" w:space="0" w:color="auto"/>
              <w:bottom w:val="single" w:sz="4" w:space="0" w:color="auto"/>
              <w:right w:val="single" w:sz="4" w:space="0" w:color="auto"/>
            </w:tcBorders>
            <w:vAlign w:val="center"/>
          </w:tcPr>
          <w:p w:rsidR="00A32067" w:rsidRDefault="00A32067">
            <w:pPr>
              <w:jc w:val="center"/>
            </w:pPr>
            <w:r>
              <w:t>&gt;80</w:t>
            </w:r>
          </w:p>
        </w:tc>
        <w:tc>
          <w:tcPr>
            <w:tcW w:w="1062" w:type="dxa"/>
            <w:tcBorders>
              <w:top w:val="nil"/>
              <w:left w:val="nil"/>
              <w:bottom w:val="nil"/>
              <w:right w:val="single" w:sz="4" w:space="0" w:color="auto"/>
            </w:tcBorders>
            <w:vAlign w:val="center"/>
          </w:tcPr>
          <w:p w:rsidR="00A32067" w:rsidRDefault="00A32067">
            <w:pPr>
              <w:jc w:val="center"/>
            </w:pPr>
            <w:r>
              <w:t>550</w:t>
            </w:r>
          </w:p>
        </w:tc>
        <w:tc>
          <w:tcPr>
            <w:tcW w:w="1062" w:type="dxa"/>
            <w:tcBorders>
              <w:top w:val="nil"/>
              <w:left w:val="nil"/>
              <w:bottom w:val="nil"/>
              <w:right w:val="single" w:sz="4" w:space="0" w:color="auto"/>
            </w:tcBorders>
            <w:vAlign w:val="center"/>
          </w:tcPr>
          <w:p w:rsidR="00A32067" w:rsidRDefault="00A32067">
            <w:pPr>
              <w:jc w:val="center"/>
            </w:pPr>
            <w:r>
              <w:t>500</w:t>
            </w:r>
          </w:p>
        </w:tc>
        <w:tc>
          <w:tcPr>
            <w:tcW w:w="1062" w:type="dxa"/>
            <w:tcBorders>
              <w:top w:val="nil"/>
              <w:left w:val="nil"/>
              <w:bottom w:val="nil"/>
              <w:right w:val="single" w:sz="4" w:space="0" w:color="auto"/>
            </w:tcBorders>
            <w:vAlign w:val="center"/>
          </w:tcPr>
          <w:p w:rsidR="00A32067" w:rsidRDefault="00A32067">
            <w:pPr>
              <w:jc w:val="center"/>
            </w:pPr>
            <w:r>
              <w:t>450</w:t>
            </w:r>
          </w:p>
        </w:tc>
        <w:tc>
          <w:tcPr>
            <w:tcW w:w="1062" w:type="dxa"/>
            <w:tcBorders>
              <w:top w:val="nil"/>
              <w:left w:val="nil"/>
              <w:bottom w:val="nil"/>
              <w:right w:val="single" w:sz="4" w:space="0" w:color="auto"/>
            </w:tcBorders>
            <w:vAlign w:val="center"/>
          </w:tcPr>
          <w:p w:rsidR="00A32067" w:rsidRDefault="00A32067">
            <w:pPr>
              <w:jc w:val="center"/>
            </w:pPr>
          </w:p>
        </w:tc>
        <w:tc>
          <w:tcPr>
            <w:tcW w:w="1062" w:type="dxa"/>
            <w:tcBorders>
              <w:top w:val="nil"/>
              <w:left w:val="nil"/>
              <w:bottom w:val="nil"/>
              <w:right w:val="single" w:sz="4" w:space="0" w:color="auto"/>
            </w:tcBorders>
            <w:vAlign w:val="center"/>
          </w:tcPr>
          <w:p w:rsidR="00A32067" w:rsidRDefault="00A32067">
            <w:pPr>
              <w:jc w:val="center"/>
            </w:pPr>
            <w:r>
              <w:t>300</w:t>
            </w:r>
          </w:p>
        </w:tc>
        <w:tc>
          <w:tcPr>
            <w:tcW w:w="1062" w:type="dxa"/>
            <w:tcBorders>
              <w:top w:val="nil"/>
              <w:left w:val="nil"/>
              <w:bottom w:val="nil"/>
              <w:right w:val="single" w:sz="4" w:space="0" w:color="auto"/>
            </w:tcBorders>
            <w:vAlign w:val="center"/>
          </w:tcPr>
          <w:p w:rsidR="00A32067" w:rsidRDefault="00A32067">
            <w:pPr>
              <w:jc w:val="center"/>
            </w:pPr>
          </w:p>
        </w:tc>
        <w:tc>
          <w:tcPr>
            <w:tcW w:w="1068" w:type="dxa"/>
            <w:tcBorders>
              <w:top w:val="nil"/>
              <w:left w:val="nil"/>
              <w:bottom w:val="nil"/>
              <w:right w:val="single" w:sz="4" w:space="0" w:color="auto"/>
            </w:tcBorders>
            <w:vAlign w:val="center"/>
          </w:tcPr>
          <w:p w:rsidR="00A32067" w:rsidRDefault="00A32067">
            <w:pPr>
              <w:jc w:val="center"/>
            </w:pPr>
          </w:p>
        </w:tc>
      </w:tr>
      <w:tr w:rsidR="00A32067">
        <w:trPr>
          <w:trHeight w:val="285"/>
        </w:trPr>
        <w:tc>
          <w:tcPr>
            <w:tcW w:w="2016" w:type="dxa"/>
            <w:vMerge w:val="restart"/>
            <w:tcBorders>
              <w:top w:val="nil"/>
              <w:left w:val="single" w:sz="4" w:space="0" w:color="auto"/>
              <w:bottom w:val="single" w:sz="4" w:space="0" w:color="000000"/>
              <w:right w:val="nil"/>
            </w:tcBorders>
            <w:vAlign w:val="center"/>
          </w:tcPr>
          <w:p w:rsidR="00A32067" w:rsidRDefault="00A32067">
            <w:pPr>
              <w:jc w:val="center"/>
            </w:pPr>
            <w:r>
              <w:rPr>
                <w:rFonts w:cs="宋体" w:hint="eastAsia"/>
              </w:rPr>
              <w:t>备注：</w:t>
            </w:r>
          </w:p>
        </w:tc>
        <w:tc>
          <w:tcPr>
            <w:tcW w:w="7440" w:type="dxa"/>
            <w:gridSpan w:val="7"/>
            <w:tcBorders>
              <w:top w:val="single" w:sz="4" w:space="0" w:color="auto"/>
              <w:left w:val="single" w:sz="4" w:space="0" w:color="auto"/>
              <w:bottom w:val="nil"/>
              <w:right w:val="single" w:sz="4" w:space="0" w:color="000000"/>
            </w:tcBorders>
            <w:vAlign w:val="center"/>
          </w:tcPr>
          <w:p w:rsidR="00A32067" w:rsidRDefault="00A32067" w:rsidP="00A32067">
            <w:pPr>
              <w:ind w:firstLineChars="50" w:firstLine="31680"/>
              <w:jc w:val="center"/>
            </w:pPr>
            <w:r>
              <w:t>1.</w:t>
            </w:r>
            <w:r>
              <w:rPr>
                <w:rFonts w:cs="宋体" w:hint="eastAsia"/>
              </w:rPr>
              <w:t>凡有副钩、双小车、双司机室、抓斗、电磁吸盘、或冶金起重机检验，加收</w:t>
            </w:r>
            <w:r>
              <w:t>30%</w:t>
            </w:r>
          </w:p>
        </w:tc>
      </w:tr>
      <w:tr w:rsidR="00A32067">
        <w:trPr>
          <w:trHeight w:val="285"/>
        </w:trPr>
        <w:tc>
          <w:tcPr>
            <w:tcW w:w="2016" w:type="dxa"/>
            <w:vMerge/>
            <w:tcBorders>
              <w:top w:val="nil"/>
              <w:left w:val="single" w:sz="4" w:space="0" w:color="auto"/>
              <w:bottom w:val="single" w:sz="4" w:space="0" w:color="000000"/>
              <w:right w:val="nil"/>
            </w:tcBorders>
            <w:vAlign w:val="center"/>
          </w:tcPr>
          <w:p w:rsidR="00A32067" w:rsidRDefault="00A32067">
            <w:pPr>
              <w:jc w:val="center"/>
            </w:pPr>
          </w:p>
        </w:tc>
        <w:tc>
          <w:tcPr>
            <w:tcW w:w="7440" w:type="dxa"/>
            <w:gridSpan w:val="7"/>
            <w:tcBorders>
              <w:top w:val="nil"/>
              <w:left w:val="single" w:sz="4" w:space="0" w:color="auto"/>
              <w:bottom w:val="nil"/>
              <w:right w:val="single" w:sz="4" w:space="0" w:color="000000"/>
            </w:tcBorders>
            <w:vAlign w:val="center"/>
          </w:tcPr>
          <w:p w:rsidR="00A32067" w:rsidRDefault="00A32067" w:rsidP="00A32067">
            <w:pPr>
              <w:ind w:firstLineChars="50" w:firstLine="31680"/>
              <w:jc w:val="center"/>
            </w:pPr>
            <w:r>
              <w:t>2.</w:t>
            </w:r>
            <w:r>
              <w:rPr>
                <w:rFonts w:cs="宋体" w:hint="eastAsia"/>
              </w:rPr>
              <w:t>跨度大于</w:t>
            </w:r>
            <w:r>
              <w:t>31.5m</w:t>
            </w:r>
            <w:r>
              <w:rPr>
                <w:rFonts w:cs="宋体" w:hint="eastAsia"/>
              </w:rPr>
              <w:t>的起重机检验加收</w:t>
            </w:r>
            <w:r>
              <w:t>20%</w:t>
            </w:r>
            <w:r>
              <w:rPr>
                <w:rFonts w:cs="宋体" w:hint="eastAsia"/>
              </w:rPr>
              <w:t>。</w:t>
            </w:r>
          </w:p>
        </w:tc>
      </w:tr>
      <w:tr w:rsidR="00A32067">
        <w:trPr>
          <w:trHeight w:val="285"/>
        </w:trPr>
        <w:tc>
          <w:tcPr>
            <w:tcW w:w="2016" w:type="dxa"/>
            <w:vMerge/>
            <w:tcBorders>
              <w:top w:val="nil"/>
              <w:left w:val="single" w:sz="4" w:space="0" w:color="auto"/>
              <w:bottom w:val="single" w:sz="4" w:space="0" w:color="000000"/>
              <w:right w:val="nil"/>
            </w:tcBorders>
            <w:vAlign w:val="center"/>
          </w:tcPr>
          <w:p w:rsidR="00A32067" w:rsidRDefault="00A32067">
            <w:pPr>
              <w:jc w:val="center"/>
            </w:pPr>
          </w:p>
        </w:tc>
        <w:tc>
          <w:tcPr>
            <w:tcW w:w="7440" w:type="dxa"/>
            <w:gridSpan w:val="7"/>
            <w:tcBorders>
              <w:top w:val="nil"/>
              <w:left w:val="single" w:sz="4" w:space="0" w:color="auto"/>
              <w:bottom w:val="nil"/>
              <w:right w:val="single" w:sz="4" w:space="0" w:color="auto"/>
            </w:tcBorders>
            <w:vAlign w:val="center"/>
          </w:tcPr>
          <w:p w:rsidR="00A32067" w:rsidRDefault="00A32067">
            <w:pPr>
              <w:jc w:val="center"/>
            </w:pPr>
            <w:r>
              <w:t>3.</w:t>
            </w:r>
            <w:r>
              <w:rPr>
                <w:rFonts w:cs="宋体" w:hint="eastAsia"/>
              </w:rPr>
              <w:t>高温有毒有害作业场所的起重机检验加收</w:t>
            </w:r>
            <w:r>
              <w:t>20%</w:t>
            </w:r>
            <w:r>
              <w:rPr>
                <w:rFonts w:cs="宋体" w:hint="eastAsia"/>
              </w:rPr>
              <w:t>。</w:t>
            </w:r>
          </w:p>
        </w:tc>
      </w:tr>
      <w:tr w:rsidR="00A32067">
        <w:trPr>
          <w:trHeight w:val="285"/>
        </w:trPr>
        <w:tc>
          <w:tcPr>
            <w:tcW w:w="2016" w:type="dxa"/>
            <w:vMerge/>
            <w:tcBorders>
              <w:top w:val="nil"/>
              <w:left w:val="single" w:sz="4" w:space="0" w:color="auto"/>
              <w:bottom w:val="single" w:sz="4" w:space="0" w:color="000000"/>
              <w:right w:val="nil"/>
            </w:tcBorders>
            <w:vAlign w:val="center"/>
          </w:tcPr>
          <w:p w:rsidR="00A32067" w:rsidRDefault="00A32067">
            <w:pPr>
              <w:jc w:val="center"/>
            </w:pPr>
          </w:p>
        </w:tc>
        <w:tc>
          <w:tcPr>
            <w:tcW w:w="7440" w:type="dxa"/>
            <w:gridSpan w:val="7"/>
            <w:tcBorders>
              <w:top w:val="nil"/>
              <w:left w:val="single" w:sz="4" w:space="0" w:color="auto"/>
              <w:bottom w:val="nil"/>
              <w:right w:val="single" w:sz="4" w:space="0" w:color="auto"/>
            </w:tcBorders>
            <w:vAlign w:val="center"/>
          </w:tcPr>
          <w:p w:rsidR="00A32067" w:rsidRDefault="00A32067">
            <w:pPr>
              <w:jc w:val="center"/>
            </w:pPr>
            <w:r>
              <w:t>4.</w:t>
            </w:r>
            <w:r>
              <w:rPr>
                <w:rFonts w:cs="宋体" w:hint="eastAsia"/>
              </w:rPr>
              <w:t>其它起重机按上述相似类别标准收取。</w:t>
            </w:r>
          </w:p>
        </w:tc>
      </w:tr>
      <w:tr w:rsidR="00A32067">
        <w:trPr>
          <w:trHeight w:val="285"/>
        </w:trPr>
        <w:tc>
          <w:tcPr>
            <w:tcW w:w="2016" w:type="dxa"/>
            <w:vMerge/>
            <w:tcBorders>
              <w:top w:val="nil"/>
              <w:left w:val="single" w:sz="4" w:space="0" w:color="auto"/>
              <w:bottom w:val="single" w:sz="4" w:space="0" w:color="000000"/>
              <w:right w:val="nil"/>
            </w:tcBorders>
            <w:vAlign w:val="center"/>
          </w:tcPr>
          <w:p w:rsidR="00A32067" w:rsidRDefault="00A32067">
            <w:pPr>
              <w:jc w:val="center"/>
            </w:pPr>
          </w:p>
        </w:tc>
        <w:tc>
          <w:tcPr>
            <w:tcW w:w="7440" w:type="dxa"/>
            <w:gridSpan w:val="7"/>
            <w:tcBorders>
              <w:top w:val="nil"/>
              <w:left w:val="single" w:sz="4" w:space="0" w:color="auto"/>
              <w:bottom w:val="nil"/>
              <w:right w:val="single" w:sz="4" w:space="0" w:color="000000"/>
            </w:tcBorders>
            <w:vAlign w:val="center"/>
          </w:tcPr>
          <w:p w:rsidR="00A32067" w:rsidRDefault="00A32067">
            <w:pPr>
              <w:jc w:val="center"/>
            </w:pPr>
            <w:r>
              <w:t>5.</w:t>
            </w:r>
            <w:r>
              <w:rPr>
                <w:rFonts w:cs="宋体" w:hint="eastAsia"/>
              </w:rPr>
              <w:t>安装（修理）检验、制造（安装）安全认可检验按表列</w:t>
            </w:r>
            <w:r>
              <w:t>200%</w:t>
            </w:r>
            <w:r>
              <w:rPr>
                <w:rFonts w:cs="宋体" w:hint="eastAsia"/>
              </w:rPr>
              <w:t>收费。</w:t>
            </w:r>
          </w:p>
        </w:tc>
      </w:tr>
      <w:tr w:rsidR="00A32067">
        <w:trPr>
          <w:trHeight w:val="285"/>
        </w:trPr>
        <w:tc>
          <w:tcPr>
            <w:tcW w:w="2016" w:type="dxa"/>
            <w:vMerge/>
            <w:tcBorders>
              <w:top w:val="nil"/>
              <w:left w:val="single" w:sz="4" w:space="0" w:color="auto"/>
              <w:bottom w:val="single" w:sz="4" w:space="0" w:color="000000"/>
              <w:right w:val="nil"/>
            </w:tcBorders>
            <w:vAlign w:val="center"/>
          </w:tcPr>
          <w:p w:rsidR="00A32067" w:rsidRDefault="00A32067">
            <w:pPr>
              <w:jc w:val="center"/>
            </w:pPr>
          </w:p>
        </w:tc>
        <w:tc>
          <w:tcPr>
            <w:tcW w:w="7440" w:type="dxa"/>
            <w:gridSpan w:val="7"/>
            <w:tcBorders>
              <w:top w:val="nil"/>
              <w:left w:val="single" w:sz="4" w:space="0" w:color="auto"/>
              <w:bottom w:val="single" w:sz="4" w:space="0" w:color="auto"/>
              <w:right w:val="single" w:sz="4" w:space="0" w:color="000000"/>
            </w:tcBorders>
            <w:vAlign w:val="center"/>
          </w:tcPr>
          <w:p w:rsidR="00A32067" w:rsidRDefault="00A32067">
            <w:pPr>
              <w:jc w:val="center"/>
            </w:pPr>
            <w:r>
              <w:t>6.</w:t>
            </w:r>
            <w:r>
              <w:rPr>
                <w:rFonts w:cs="宋体" w:hint="eastAsia"/>
              </w:rPr>
              <w:t>进出口检验按本标准加收</w:t>
            </w:r>
            <w:r>
              <w:t>30%</w:t>
            </w:r>
            <w:r>
              <w:rPr>
                <w:rFonts w:cs="宋体" w:hint="eastAsia"/>
              </w:rPr>
              <w:t>。</w:t>
            </w:r>
          </w:p>
        </w:tc>
      </w:tr>
    </w:tbl>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widowControl/>
        <w:jc w:val="left"/>
        <w:rPr>
          <w:b/>
          <w:bCs/>
          <w:spacing w:val="10"/>
          <w:kern w:val="0"/>
          <w:sz w:val="24"/>
          <w:szCs w:val="24"/>
          <w:lang w:val="zh-TW"/>
        </w:rPr>
      </w:pPr>
      <w:r>
        <w:rPr>
          <w:b/>
          <w:bCs/>
          <w:sz w:val="24"/>
          <w:szCs w:val="24"/>
          <w:lang w:val="zh-TW"/>
        </w:rPr>
        <w:br w:type="page"/>
      </w: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（二）塔式起重机检验</w:t>
      </w:r>
    </w:p>
    <w:tbl>
      <w:tblPr>
        <w:tblW w:w="9495" w:type="dxa"/>
        <w:tblInd w:w="2" w:type="dxa"/>
        <w:tblLayout w:type="fixed"/>
        <w:tblLook w:val="00A0"/>
      </w:tblPr>
      <w:tblGrid>
        <w:gridCol w:w="3134"/>
        <w:gridCol w:w="1060"/>
        <w:gridCol w:w="1060"/>
        <w:gridCol w:w="1060"/>
        <w:gridCol w:w="1060"/>
        <w:gridCol w:w="1060"/>
        <w:gridCol w:w="1061"/>
      </w:tblGrid>
      <w:tr w:rsidR="00A32067">
        <w:trPr>
          <w:trHeight w:val="1785"/>
        </w:trPr>
        <w:tc>
          <w:tcPr>
            <w:tcW w:w="3134" w:type="dxa"/>
            <w:tcBorders>
              <w:top w:val="single" w:sz="4" w:space="0" w:color="auto"/>
              <w:left w:val="single" w:sz="4" w:space="0" w:color="auto"/>
              <w:bottom w:val="single" w:sz="4" w:space="0" w:color="auto"/>
              <w:right w:val="single" w:sz="4" w:space="0" w:color="auto"/>
            </w:tcBorders>
            <w:vAlign w:val="bottom"/>
          </w:tcPr>
          <w:p w:rsidR="00A32067" w:rsidRDefault="00A32067">
            <w:r>
              <w:rPr>
                <w:noProof/>
              </w:rPr>
              <w:pict>
                <v:shape id="_x0000_s1079" type="#_x0000_t202" style="position:absolute;left:0;text-align:left;margin-left:98.7pt;margin-top:4.45pt;width:66.2pt;height:46pt;z-index:251661312" filled="f" stroked="f">
                  <v:textbox>
                    <w:txbxContent>
                      <w:p w:rsidR="00A32067" w:rsidRDefault="00A32067">
                        <w:pPr>
                          <w:spacing w:line="240" w:lineRule="exact"/>
                        </w:pPr>
                        <w:r>
                          <w:rPr>
                            <w:rFonts w:cs="宋体" w:hint="eastAsia"/>
                          </w:rPr>
                          <w:t>起重力矩</w:t>
                        </w:r>
                      </w:p>
                      <w:p w:rsidR="00A32067" w:rsidRDefault="00A32067">
                        <w:pPr>
                          <w:spacing w:line="240" w:lineRule="exact"/>
                        </w:pPr>
                        <w:r>
                          <w:rPr>
                            <w:rFonts w:cs="宋体" w:hint="eastAsia"/>
                          </w:rPr>
                          <w:t>（</w:t>
                        </w:r>
                        <w:r>
                          <w:t>t</w:t>
                        </w:r>
                        <w:r>
                          <w:rPr>
                            <w:rFonts w:cs="宋体" w:hint="eastAsia"/>
                          </w:rPr>
                          <w:t>·</w:t>
                        </w:r>
                        <w:r>
                          <w:t>m</w:t>
                        </w:r>
                        <w:r>
                          <w:rPr>
                            <w:rFonts w:cs="宋体" w:hint="eastAsia"/>
                          </w:rPr>
                          <w:t>）</w:t>
                        </w:r>
                      </w:p>
                    </w:txbxContent>
                  </v:textbox>
                  <w10:anchorlock/>
                </v:shape>
              </w:pict>
            </w:r>
            <w:r>
              <w:rPr>
                <w:noProof/>
              </w:rPr>
              <w:pict>
                <v:shape id="_x0000_s1080" type="#_x0000_t202" style="position:absolute;left:0;text-align:left;margin-left:44.3pt;margin-top:-.25pt;width:66.2pt;height:46pt;z-index:251660288" filled="f" stroked="f">
                  <v:textbox>
                    <w:txbxContent>
                      <w:p w:rsidR="00A32067" w:rsidRDefault="00A32067">
                        <w:pPr>
                          <w:spacing w:line="240" w:lineRule="exact"/>
                        </w:pPr>
                        <w:r>
                          <w:rPr>
                            <w:rFonts w:cs="宋体" w:hint="eastAsia"/>
                          </w:rPr>
                          <w:t>收费</w:t>
                        </w:r>
                      </w:p>
                      <w:p w:rsidR="00A32067" w:rsidRDefault="00A32067">
                        <w:pPr>
                          <w:spacing w:line="240" w:lineRule="exact"/>
                        </w:pPr>
                        <w:r>
                          <w:rPr>
                            <w:rFonts w:cs="宋体" w:hint="eastAsia"/>
                          </w:rPr>
                          <w:t>标准</w:t>
                        </w:r>
                      </w:p>
                      <w:p w:rsidR="00A32067" w:rsidRDefault="00A32067">
                        <w:pPr>
                          <w:spacing w:line="240" w:lineRule="exact"/>
                        </w:pPr>
                        <w:r>
                          <w:rPr>
                            <w:rFonts w:cs="宋体" w:hint="eastAsia"/>
                          </w:rPr>
                          <w:t>（元</w:t>
                        </w:r>
                        <w:r>
                          <w:t>/</w:t>
                        </w:r>
                        <w:r>
                          <w:rPr>
                            <w:rFonts w:cs="宋体" w:hint="eastAsia"/>
                          </w:rPr>
                          <w:t>台）</w:t>
                        </w:r>
                      </w:p>
                    </w:txbxContent>
                  </v:textbox>
                  <w10:anchorlock/>
                </v:shape>
              </w:pict>
            </w:r>
            <w:r>
              <w:rPr>
                <w:noProof/>
              </w:rPr>
              <w:pict>
                <v:shape id="_x0000_s1081" type="#_x0000_t202" style="position:absolute;left:0;text-align:left;margin-left:4.65pt;margin-top:52.45pt;width:54.1pt;height:27.6pt;z-index:251662336" filled="f" stroked="f">
                  <v:textbox>
                    <w:txbxContent>
                      <w:p w:rsidR="00A32067" w:rsidRDefault="00A32067">
                        <w:pPr>
                          <w:spacing w:line="240" w:lineRule="exact"/>
                        </w:pPr>
                        <w:r>
                          <w:rPr>
                            <w:rFonts w:cs="宋体" w:hint="eastAsia"/>
                          </w:rPr>
                          <w:t>项目</w:t>
                        </w:r>
                      </w:p>
                    </w:txbxContent>
                  </v:textbox>
                  <w10:anchorlock/>
                </v:shape>
              </w:pict>
            </w:r>
            <w:r>
              <w:rPr>
                <w:noProof/>
              </w:rPr>
              <w:pict>
                <v:shape id="_x0000_s1082" type="#_x0000_t32" style="position:absolute;left:0;text-align:left;margin-left:75.1pt;margin-top:.8pt;width:75.6pt;height:88.8pt;z-index:251658240" o:connectortype="straight">
                  <w10:anchorlock/>
                </v:shape>
              </w:pict>
            </w:r>
            <w:r>
              <w:rPr>
                <w:noProof/>
              </w:rPr>
              <w:pict>
                <v:shape id="_x0000_s1083" type="#_x0000_t32" style="position:absolute;left:0;text-align:left;margin-left:-6.05pt;margin-top:2.35pt;width:153.25pt;height:89.25pt;z-index:251659264">
                  <w10:anchorlock/>
                </v:shape>
              </w:pict>
            </w:r>
          </w:p>
        </w:tc>
        <w:tc>
          <w:tcPr>
            <w:tcW w:w="1060" w:type="dxa"/>
            <w:tcBorders>
              <w:top w:val="single" w:sz="4" w:space="0" w:color="auto"/>
              <w:left w:val="nil"/>
              <w:bottom w:val="single" w:sz="4" w:space="0" w:color="auto"/>
              <w:right w:val="single" w:sz="4" w:space="0" w:color="auto"/>
            </w:tcBorders>
            <w:vAlign w:val="center"/>
          </w:tcPr>
          <w:p w:rsidR="00A32067" w:rsidRDefault="00A32067">
            <w:pPr>
              <w:jc w:val="center"/>
            </w:pPr>
            <w:r>
              <w:t>≤10</w:t>
            </w:r>
          </w:p>
        </w:tc>
        <w:tc>
          <w:tcPr>
            <w:tcW w:w="1060" w:type="dxa"/>
            <w:tcBorders>
              <w:top w:val="single" w:sz="4" w:space="0" w:color="auto"/>
              <w:left w:val="nil"/>
              <w:bottom w:val="single" w:sz="4" w:space="0" w:color="auto"/>
              <w:right w:val="single" w:sz="4" w:space="0" w:color="auto"/>
            </w:tcBorders>
            <w:vAlign w:val="center"/>
          </w:tcPr>
          <w:p w:rsidR="00A32067" w:rsidRDefault="00A32067">
            <w:pPr>
              <w:jc w:val="center"/>
            </w:pPr>
            <w:r>
              <w:t>≤20</w:t>
            </w:r>
          </w:p>
        </w:tc>
        <w:tc>
          <w:tcPr>
            <w:tcW w:w="1060" w:type="dxa"/>
            <w:tcBorders>
              <w:top w:val="single" w:sz="4" w:space="0" w:color="auto"/>
              <w:left w:val="nil"/>
              <w:bottom w:val="single" w:sz="4" w:space="0" w:color="auto"/>
              <w:right w:val="single" w:sz="4" w:space="0" w:color="auto"/>
            </w:tcBorders>
            <w:vAlign w:val="center"/>
          </w:tcPr>
          <w:p w:rsidR="00A32067" w:rsidRDefault="00A32067">
            <w:pPr>
              <w:jc w:val="center"/>
            </w:pPr>
            <w:r>
              <w:t>≤40</w:t>
            </w:r>
          </w:p>
        </w:tc>
        <w:tc>
          <w:tcPr>
            <w:tcW w:w="1060" w:type="dxa"/>
            <w:tcBorders>
              <w:top w:val="single" w:sz="4" w:space="0" w:color="auto"/>
              <w:left w:val="nil"/>
              <w:bottom w:val="single" w:sz="4" w:space="0" w:color="auto"/>
              <w:right w:val="single" w:sz="4" w:space="0" w:color="auto"/>
            </w:tcBorders>
            <w:vAlign w:val="center"/>
          </w:tcPr>
          <w:p w:rsidR="00A32067" w:rsidRDefault="00A32067">
            <w:pPr>
              <w:jc w:val="center"/>
            </w:pPr>
            <w:r>
              <w:t>≤60</w:t>
            </w:r>
          </w:p>
        </w:tc>
        <w:tc>
          <w:tcPr>
            <w:tcW w:w="1060" w:type="dxa"/>
            <w:tcBorders>
              <w:top w:val="single" w:sz="4" w:space="0" w:color="auto"/>
              <w:left w:val="nil"/>
              <w:bottom w:val="single" w:sz="4" w:space="0" w:color="auto"/>
              <w:right w:val="single" w:sz="4" w:space="0" w:color="auto"/>
            </w:tcBorders>
            <w:vAlign w:val="center"/>
          </w:tcPr>
          <w:p w:rsidR="00A32067" w:rsidRDefault="00A32067">
            <w:pPr>
              <w:jc w:val="center"/>
            </w:pPr>
            <w:r>
              <w:t>≤80</w:t>
            </w:r>
          </w:p>
        </w:tc>
        <w:tc>
          <w:tcPr>
            <w:tcW w:w="1061" w:type="dxa"/>
            <w:tcBorders>
              <w:top w:val="single" w:sz="4" w:space="0" w:color="auto"/>
              <w:left w:val="nil"/>
              <w:bottom w:val="single" w:sz="4" w:space="0" w:color="auto"/>
              <w:right w:val="single" w:sz="4" w:space="0" w:color="auto"/>
            </w:tcBorders>
            <w:vAlign w:val="center"/>
          </w:tcPr>
          <w:p w:rsidR="00A32067" w:rsidRDefault="00A32067">
            <w:pPr>
              <w:jc w:val="center"/>
            </w:pPr>
            <w:r>
              <w:rPr>
                <w:rFonts w:cs="宋体" w:hint="eastAsia"/>
              </w:rPr>
              <w:t>＞</w:t>
            </w:r>
            <w:r>
              <w:t>80</w:t>
            </w:r>
          </w:p>
        </w:tc>
      </w:tr>
      <w:tr w:rsidR="00A32067">
        <w:trPr>
          <w:trHeight w:val="809"/>
        </w:trPr>
        <w:tc>
          <w:tcPr>
            <w:tcW w:w="3134" w:type="dxa"/>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高度（</w:t>
            </w:r>
            <w:r>
              <w:t>10</w:t>
            </w:r>
            <w:r>
              <w:rPr>
                <w:rFonts w:cs="宋体" w:hint="eastAsia"/>
              </w:rPr>
              <w:t>米）</w:t>
            </w:r>
          </w:p>
        </w:tc>
        <w:tc>
          <w:tcPr>
            <w:tcW w:w="1060" w:type="dxa"/>
            <w:tcBorders>
              <w:top w:val="nil"/>
              <w:left w:val="nil"/>
              <w:bottom w:val="single" w:sz="4" w:space="0" w:color="auto"/>
              <w:right w:val="single" w:sz="4" w:space="0" w:color="auto"/>
            </w:tcBorders>
            <w:vAlign w:val="center"/>
          </w:tcPr>
          <w:p w:rsidR="00A32067" w:rsidRDefault="00A32067">
            <w:pPr>
              <w:jc w:val="center"/>
            </w:pPr>
            <w:r>
              <w:t>200</w:t>
            </w:r>
          </w:p>
        </w:tc>
        <w:tc>
          <w:tcPr>
            <w:tcW w:w="1060" w:type="dxa"/>
            <w:tcBorders>
              <w:top w:val="nil"/>
              <w:left w:val="nil"/>
              <w:bottom w:val="single" w:sz="4" w:space="0" w:color="auto"/>
              <w:right w:val="single" w:sz="4" w:space="0" w:color="auto"/>
            </w:tcBorders>
            <w:vAlign w:val="center"/>
          </w:tcPr>
          <w:p w:rsidR="00A32067" w:rsidRDefault="00A32067">
            <w:pPr>
              <w:jc w:val="center"/>
            </w:pPr>
            <w:r>
              <w:t>250</w:t>
            </w:r>
          </w:p>
        </w:tc>
        <w:tc>
          <w:tcPr>
            <w:tcW w:w="1060" w:type="dxa"/>
            <w:tcBorders>
              <w:top w:val="nil"/>
              <w:left w:val="nil"/>
              <w:bottom w:val="single" w:sz="4" w:space="0" w:color="auto"/>
              <w:right w:val="single" w:sz="4" w:space="0" w:color="auto"/>
            </w:tcBorders>
            <w:vAlign w:val="center"/>
          </w:tcPr>
          <w:p w:rsidR="00A32067" w:rsidRDefault="00A32067">
            <w:pPr>
              <w:jc w:val="center"/>
            </w:pPr>
            <w:r>
              <w:t>300</w:t>
            </w:r>
          </w:p>
        </w:tc>
        <w:tc>
          <w:tcPr>
            <w:tcW w:w="1060" w:type="dxa"/>
            <w:tcBorders>
              <w:top w:val="nil"/>
              <w:left w:val="nil"/>
              <w:bottom w:val="single" w:sz="4" w:space="0" w:color="auto"/>
              <w:right w:val="single" w:sz="4" w:space="0" w:color="auto"/>
            </w:tcBorders>
            <w:vAlign w:val="center"/>
          </w:tcPr>
          <w:p w:rsidR="00A32067" w:rsidRDefault="00A32067">
            <w:pPr>
              <w:jc w:val="center"/>
            </w:pPr>
            <w:r>
              <w:t>350</w:t>
            </w:r>
          </w:p>
        </w:tc>
        <w:tc>
          <w:tcPr>
            <w:tcW w:w="1060" w:type="dxa"/>
            <w:tcBorders>
              <w:top w:val="nil"/>
              <w:left w:val="nil"/>
              <w:bottom w:val="single" w:sz="4" w:space="0" w:color="auto"/>
              <w:right w:val="single" w:sz="4" w:space="0" w:color="auto"/>
            </w:tcBorders>
            <w:vAlign w:val="center"/>
          </w:tcPr>
          <w:p w:rsidR="00A32067" w:rsidRDefault="00A32067">
            <w:pPr>
              <w:jc w:val="center"/>
            </w:pPr>
            <w:r>
              <w:t>400</w:t>
            </w:r>
          </w:p>
        </w:tc>
        <w:tc>
          <w:tcPr>
            <w:tcW w:w="1061" w:type="dxa"/>
            <w:tcBorders>
              <w:top w:val="nil"/>
              <w:left w:val="nil"/>
              <w:bottom w:val="single" w:sz="4" w:space="0" w:color="auto"/>
              <w:right w:val="single" w:sz="4" w:space="0" w:color="auto"/>
            </w:tcBorders>
            <w:vAlign w:val="center"/>
          </w:tcPr>
          <w:p w:rsidR="00A32067" w:rsidRDefault="00A32067">
            <w:pPr>
              <w:jc w:val="center"/>
            </w:pPr>
            <w:r>
              <w:t>450</w:t>
            </w:r>
          </w:p>
        </w:tc>
      </w:tr>
      <w:tr w:rsidR="00A32067">
        <w:trPr>
          <w:trHeight w:val="285"/>
        </w:trPr>
        <w:tc>
          <w:tcPr>
            <w:tcW w:w="3134" w:type="dxa"/>
            <w:vMerge w:val="restart"/>
            <w:tcBorders>
              <w:top w:val="nil"/>
              <w:left w:val="single" w:sz="4" w:space="0" w:color="auto"/>
              <w:bottom w:val="single" w:sz="4" w:space="0" w:color="auto"/>
              <w:right w:val="single" w:sz="4" w:space="0" w:color="auto"/>
            </w:tcBorders>
            <w:vAlign w:val="center"/>
          </w:tcPr>
          <w:p w:rsidR="00A32067" w:rsidRDefault="00A32067">
            <w:pPr>
              <w:jc w:val="center"/>
            </w:pPr>
            <w:r>
              <w:rPr>
                <w:rFonts w:cs="宋体" w:hint="eastAsia"/>
              </w:rPr>
              <w:t>备注：</w:t>
            </w:r>
          </w:p>
        </w:tc>
        <w:tc>
          <w:tcPr>
            <w:tcW w:w="6361" w:type="dxa"/>
            <w:gridSpan w:val="6"/>
            <w:tcBorders>
              <w:top w:val="single" w:sz="4" w:space="0" w:color="auto"/>
              <w:left w:val="nil"/>
              <w:right w:val="single" w:sz="4" w:space="0" w:color="auto"/>
            </w:tcBorders>
            <w:vAlign w:val="center"/>
          </w:tcPr>
          <w:p w:rsidR="00A32067" w:rsidRDefault="00A32067">
            <w:pPr>
              <w:jc w:val="left"/>
            </w:pPr>
            <w:r>
              <w:t>1.</w:t>
            </w:r>
            <w:r>
              <w:rPr>
                <w:rFonts w:cs="宋体" w:hint="eastAsia"/>
              </w:rPr>
              <w:t>每增加</w:t>
            </w:r>
            <w:r>
              <w:t>10</w:t>
            </w:r>
            <w:r>
              <w:rPr>
                <w:rFonts w:cs="宋体" w:hint="eastAsia"/>
              </w:rPr>
              <w:t>米或一标准节加收</w:t>
            </w:r>
            <w:r>
              <w:t>10%</w:t>
            </w:r>
            <w:r>
              <w:rPr>
                <w:rFonts w:cs="宋体" w:hint="eastAsia"/>
              </w:rPr>
              <w:t>。</w:t>
            </w:r>
          </w:p>
        </w:tc>
      </w:tr>
      <w:tr w:rsidR="00A32067">
        <w:trPr>
          <w:trHeight w:val="285"/>
        </w:trPr>
        <w:tc>
          <w:tcPr>
            <w:tcW w:w="3134"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6361" w:type="dxa"/>
            <w:gridSpan w:val="6"/>
            <w:tcBorders>
              <w:left w:val="nil"/>
              <w:right w:val="single" w:sz="4" w:space="0" w:color="auto"/>
            </w:tcBorders>
            <w:vAlign w:val="center"/>
          </w:tcPr>
          <w:p w:rsidR="00A32067" w:rsidRDefault="00A32067">
            <w:pPr>
              <w:jc w:val="left"/>
            </w:pPr>
            <w:r>
              <w:t>2.</w:t>
            </w:r>
            <w:r>
              <w:rPr>
                <w:rFonts w:cs="宋体" w:hint="eastAsia"/>
              </w:rPr>
              <w:t>自开式加收</w:t>
            </w:r>
            <w:r>
              <w:t>50%</w:t>
            </w:r>
            <w:r>
              <w:rPr>
                <w:rFonts w:cs="宋体" w:hint="eastAsia"/>
              </w:rPr>
              <w:t>。</w:t>
            </w:r>
          </w:p>
        </w:tc>
      </w:tr>
      <w:tr w:rsidR="00A32067">
        <w:trPr>
          <w:trHeight w:val="285"/>
        </w:trPr>
        <w:tc>
          <w:tcPr>
            <w:tcW w:w="3134"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6361" w:type="dxa"/>
            <w:gridSpan w:val="6"/>
            <w:tcBorders>
              <w:left w:val="nil"/>
              <w:right w:val="single" w:sz="4" w:space="0" w:color="auto"/>
            </w:tcBorders>
            <w:vAlign w:val="center"/>
          </w:tcPr>
          <w:p w:rsidR="00A32067" w:rsidRDefault="00A32067">
            <w:pPr>
              <w:jc w:val="left"/>
            </w:pPr>
            <w:r>
              <w:t>3.</w:t>
            </w:r>
            <w:r>
              <w:rPr>
                <w:rFonts w:cs="宋体" w:hint="eastAsia"/>
              </w:rPr>
              <w:t>安装（修理）检验、制造（安装）安全认可检验按表列</w:t>
            </w:r>
            <w:r>
              <w:t>200%</w:t>
            </w:r>
            <w:r>
              <w:rPr>
                <w:rFonts w:cs="宋体" w:hint="eastAsia"/>
              </w:rPr>
              <w:t>收费。</w:t>
            </w:r>
          </w:p>
        </w:tc>
      </w:tr>
      <w:tr w:rsidR="00A32067">
        <w:trPr>
          <w:trHeight w:val="285"/>
        </w:trPr>
        <w:tc>
          <w:tcPr>
            <w:tcW w:w="3134" w:type="dxa"/>
            <w:vMerge/>
            <w:tcBorders>
              <w:top w:val="nil"/>
              <w:left w:val="single" w:sz="4" w:space="0" w:color="auto"/>
              <w:bottom w:val="single" w:sz="4" w:space="0" w:color="auto"/>
              <w:right w:val="single" w:sz="4" w:space="0" w:color="auto"/>
            </w:tcBorders>
            <w:vAlign w:val="center"/>
          </w:tcPr>
          <w:p w:rsidR="00A32067" w:rsidRDefault="00A32067">
            <w:pPr>
              <w:jc w:val="center"/>
            </w:pPr>
          </w:p>
        </w:tc>
        <w:tc>
          <w:tcPr>
            <w:tcW w:w="6361" w:type="dxa"/>
            <w:gridSpan w:val="6"/>
            <w:tcBorders>
              <w:left w:val="nil"/>
              <w:bottom w:val="single" w:sz="4" w:space="0" w:color="auto"/>
              <w:right w:val="single" w:sz="4" w:space="0" w:color="auto"/>
            </w:tcBorders>
            <w:vAlign w:val="center"/>
          </w:tcPr>
          <w:p w:rsidR="00A32067" w:rsidRDefault="00A32067">
            <w:pPr>
              <w:jc w:val="left"/>
            </w:pPr>
            <w:r>
              <w:t>4.</w:t>
            </w:r>
            <w:r>
              <w:rPr>
                <w:rFonts w:cs="宋体" w:hint="eastAsia"/>
              </w:rPr>
              <w:t>进出口检验按本标准加收</w:t>
            </w:r>
            <w:r>
              <w:t>30%</w:t>
            </w:r>
            <w:r>
              <w:rPr>
                <w:rFonts w:cs="宋体" w:hint="eastAsia"/>
              </w:rPr>
              <w:t>。</w:t>
            </w:r>
          </w:p>
        </w:tc>
      </w:tr>
    </w:tbl>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（三）客（货）运索道检验</w:t>
      </w:r>
    </w:p>
    <w:tbl>
      <w:tblPr>
        <w:tblW w:w="9525" w:type="dxa"/>
        <w:tblInd w:w="2" w:type="dxa"/>
        <w:tblLayout w:type="fixed"/>
        <w:tblLook w:val="00A0"/>
      </w:tblPr>
      <w:tblGrid>
        <w:gridCol w:w="1858"/>
        <w:gridCol w:w="3544"/>
        <w:gridCol w:w="4123"/>
      </w:tblGrid>
      <w:tr w:rsidR="00A32067">
        <w:trPr>
          <w:trHeight w:val="642"/>
        </w:trPr>
        <w:tc>
          <w:tcPr>
            <w:tcW w:w="1858"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项目</w:t>
            </w:r>
          </w:p>
        </w:tc>
        <w:tc>
          <w:tcPr>
            <w:tcW w:w="3544"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收费标准（元</w:t>
            </w:r>
            <w:r>
              <w:rPr>
                <w:kern w:val="0"/>
              </w:rPr>
              <w:t>/</w:t>
            </w:r>
            <w:r>
              <w:rPr>
                <w:rFonts w:cs="宋体" w:hint="eastAsia"/>
                <w:kern w:val="0"/>
              </w:rPr>
              <w:t>条）</w:t>
            </w:r>
          </w:p>
        </w:tc>
        <w:tc>
          <w:tcPr>
            <w:tcW w:w="4123"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备注</w:t>
            </w:r>
          </w:p>
        </w:tc>
      </w:tr>
      <w:tr w:rsidR="00A32067">
        <w:trPr>
          <w:trHeight w:val="817"/>
        </w:trPr>
        <w:tc>
          <w:tcPr>
            <w:tcW w:w="1858"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往复式</w:t>
            </w:r>
          </w:p>
        </w:tc>
        <w:tc>
          <w:tcPr>
            <w:tcW w:w="3544"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4000-5000</w:t>
            </w:r>
          </w:p>
        </w:tc>
        <w:tc>
          <w:tcPr>
            <w:tcW w:w="4123" w:type="dxa"/>
            <w:vMerge w:val="restart"/>
            <w:tcBorders>
              <w:top w:val="nil"/>
              <w:left w:val="single" w:sz="4" w:space="0" w:color="auto"/>
              <w:bottom w:val="single" w:sz="4" w:space="0" w:color="auto"/>
              <w:right w:val="single" w:sz="4" w:space="0" w:color="auto"/>
            </w:tcBorders>
            <w:vAlign w:val="center"/>
          </w:tcPr>
          <w:p w:rsidR="00A32067" w:rsidRDefault="00A32067">
            <w:pPr>
              <w:widowControl/>
              <w:jc w:val="left"/>
              <w:rPr>
                <w:kern w:val="0"/>
              </w:rPr>
            </w:pPr>
            <w:r>
              <w:rPr>
                <w:kern w:val="0"/>
              </w:rPr>
              <w:t>1.</w:t>
            </w:r>
            <w:r>
              <w:rPr>
                <w:rFonts w:cs="宋体" w:hint="eastAsia"/>
                <w:kern w:val="0"/>
              </w:rPr>
              <w:t>安装检验按索道总投资的</w:t>
            </w:r>
            <w:r>
              <w:rPr>
                <w:kern w:val="0"/>
              </w:rPr>
              <w:t>1%</w:t>
            </w:r>
            <w:r>
              <w:rPr>
                <w:rFonts w:cs="宋体" w:hint="eastAsia"/>
                <w:kern w:val="0"/>
              </w:rPr>
              <w:t>收取。</w:t>
            </w:r>
            <w:r>
              <w:rPr>
                <w:kern w:val="0"/>
              </w:rPr>
              <w:t xml:space="preserve">  </w:t>
            </w:r>
          </w:p>
          <w:p w:rsidR="00A32067" w:rsidRDefault="00A32067">
            <w:pPr>
              <w:widowControl/>
              <w:jc w:val="left"/>
              <w:rPr>
                <w:kern w:val="0"/>
              </w:rPr>
            </w:pPr>
            <w:r>
              <w:rPr>
                <w:kern w:val="0"/>
              </w:rPr>
              <w:t>2.</w:t>
            </w:r>
            <w:r>
              <w:rPr>
                <w:rFonts w:cs="宋体" w:hint="eastAsia"/>
                <w:kern w:val="0"/>
              </w:rPr>
              <w:t>修理检验按表列</w:t>
            </w:r>
            <w:r>
              <w:rPr>
                <w:kern w:val="0"/>
              </w:rPr>
              <w:t>200%</w:t>
            </w:r>
            <w:r>
              <w:rPr>
                <w:rFonts w:cs="宋体" w:hint="eastAsia"/>
                <w:kern w:val="0"/>
              </w:rPr>
              <w:t>收费。</w:t>
            </w:r>
            <w:r>
              <w:rPr>
                <w:kern w:val="0"/>
              </w:rPr>
              <w:t xml:space="preserve">        </w:t>
            </w:r>
          </w:p>
          <w:p w:rsidR="00A32067" w:rsidRDefault="00A32067">
            <w:pPr>
              <w:widowControl/>
              <w:jc w:val="left"/>
              <w:rPr>
                <w:kern w:val="0"/>
              </w:rPr>
            </w:pPr>
            <w:r>
              <w:rPr>
                <w:kern w:val="0"/>
              </w:rPr>
              <w:t>3.</w:t>
            </w:r>
            <w:r>
              <w:rPr>
                <w:rFonts w:cs="宋体" w:hint="eastAsia"/>
                <w:kern w:val="0"/>
              </w:rPr>
              <w:t>进出口检验按本标准加收</w:t>
            </w:r>
            <w:r>
              <w:rPr>
                <w:kern w:val="0"/>
              </w:rPr>
              <w:t>30%</w:t>
            </w:r>
            <w:r>
              <w:rPr>
                <w:rFonts w:cs="宋体" w:hint="eastAsia"/>
                <w:kern w:val="0"/>
              </w:rPr>
              <w:t>。</w:t>
            </w:r>
          </w:p>
        </w:tc>
      </w:tr>
      <w:tr w:rsidR="00A32067">
        <w:trPr>
          <w:trHeight w:val="817"/>
        </w:trPr>
        <w:tc>
          <w:tcPr>
            <w:tcW w:w="1858"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循环式</w:t>
            </w:r>
          </w:p>
        </w:tc>
        <w:tc>
          <w:tcPr>
            <w:tcW w:w="3544"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5000-6000</w:t>
            </w:r>
          </w:p>
        </w:tc>
        <w:tc>
          <w:tcPr>
            <w:tcW w:w="4123" w:type="dxa"/>
            <w:vMerge/>
            <w:tcBorders>
              <w:top w:val="nil"/>
              <w:left w:val="single" w:sz="4" w:space="0" w:color="auto"/>
              <w:bottom w:val="single" w:sz="4" w:space="0" w:color="auto"/>
              <w:right w:val="single" w:sz="4" w:space="0" w:color="auto"/>
            </w:tcBorders>
            <w:vAlign w:val="center"/>
          </w:tcPr>
          <w:p w:rsidR="00A32067" w:rsidRDefault="00A32067">
            <w:pPr>
              <w:widowControl/>
              <w:jc w:val="left"/>
              <w:rPr>
                <w:kern w:val="0"/>
              </w:rPr>
            </w:pPr>
          </w:p>
        </w:tc>
      </w:tr>
    </w:tbl>
    <w:p w:rsidR="00A32067" w:rsidRDefault="00A32067">
      <w:pPr>
        <w:pStyle w:val="11"/>
        <w:keepNext/>
        <w:keepLines/>
        <w:shd w:val="clear" w:color="auto" w:fill="auto"/>
        <w:spacing w:before="120" w:after="240"/>
        <w:ind w:right="278"/>
        <w:outlineLvl w:val="9"/>
        <w:rPr>
          <w:rFonts w:ascii="Times New Roman" w:eastAsia="宋体" w:hAnsi="Times New Roman" w:cs="Times New Roman"/>
          <w:b/>
          <w:bCs/>
          <w:color w:val="000000"/>
          <w:sz w:val="21"/>
          <w:szCs w:val="21"/>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（四）电梯检验</w:t>
      </w:r>
    </w:p>
    <w:tbl>
      <w:tblPr>
        <w:tblW w:w="9513" w:type="dxa"/>
        <w:tblInd w:w="2" w:type="dxa"/>
        <w:tblLayout w:type="fixed"/>
        <w:tblLook w:val="00A0"/>
      </w:tblPr>
      <w:tblGrid>
        <w:gridCol w:w="2425"/>
        <w:gridCol w:w="2552"/>
        <w:gridCol w:w="2551"/>
        <w:gridCol w:w="1985"/>
      </w:tblGrid>
      <w:tr w:rsidR="00A32067">
        <w:trPr>
          <w:trHeight w:val="444"/>
        </w:trPr>
        <w:tc>
          <w:tcPr>
            <w:tcW w:w="2425" w:type="dxa"/>
            <w:vMerge w:val="restart"/>
            <w:tcBorders>
              <w:top w:val="single" w:sz="4" w:space="0" w:color="auto"/>
              <w:left w:val="single" w:sz="4" w:space="0" w:color="auto"/>
              <w:bottom w:val="single" w:sz="4" w:space="0" w:color="000000"/>
              <w:right w:val="single" w:sz="4" w:space="0" w:color="auto"/>
            </w:tcBorders>
            <w:vAlign w:val="center"/>
          </w:tcPr>
          <w:p w:rsidR="00A32067" w:rsidRDefault="00A32067">
            <w:pPr>
              <w:widowControl/>
              <w:jc w:val="center"/>
              <w:rPr>
                <w:kern w:val="0"/>
              </w:rPr>
            </w:pPr>
            <w:r>
              <w:rPr>
                <w:rFonts w:cs="宋体" w:hint="eastAsia"/>
                <w:kern w:val="0"/>
              </w:rPr>
              <w:t>项目</w:t>
            </w:r>
          </w:p>
        </w:tc>
        <w:tc>
          <w:tcPr>
            <w:tcW w:w="7088" w:type="dxa"/>
            <w:gridSpan w:val="3"/>
            <w:tcBorders>
              <w:top w:val="single" w:sz="4" w:space="0" w:color="auto"/>
              <w:left w:val="nil"/>
              <w:bottom w:val="single" w:sz="4" w:space="0" w:color="auto"/>
              <w:right w:val="single" w:sz="4" w:space="0" w:color="auto"/>
            </w:tcBorders>
            <w:vAlign w:val="bottom"/>
          </w:tcPr>
          <w:p w:rsidR="00A32067" w:rsidRDefault="00A32067">
            <w:pPr>
              <w:widowControl/>
              <w:jc w:val="center"/>
              <w:rPr>
                <w:kern w:val="0"/>
              </w:rPr>
            </w:pPr>
            <w:r>
              <w:rPr>
                <w:rFonts w:cs="宋体" w:hint="eastAsia"/>
                <w:kern w:val="0"/>
              </w:rPr>
              <w:t>收费标准（元</w:t>
            </w:r>
            <w:r>
              <w:rPr>
                <w:kern w:val="0"/>
              </w:rPr>
              <w:t>/</w:t>
            </w:r>
            <w:r>
              <w:rPr>
                <w:rFonts w:cs="宋体" w:hint="eastAsia"/>
                <w:kern w:val="0"/>
              </w:rPr>
              <w:t>台）</w:t>
            </w:r>
          </w:p>
        </w:tc>
      </w:tr>
      <w:tr w:rsidR="00A32067">
        <w:trPr>
          <w:trHeight w:val="421"/>
        </w:trPr>
        <w:tc>
          <w:tcPr>
            <w:tcW w:w="2425" w:type="dxa"/>
            <w:vMerge/>
            <w:tcBorders>
              <w:top w:val="single" w:sz="4" w:space="0" w:color="auto"/>
              <w:left w:val="single" w:sz="4" w:space="0" w:color="auto"/>
              <w:bottom w:val="single" w:sz="4" w:space="0" w:color="000000"/>
              <w:right w:val="single" w:sz="4" w:space="0" w:color="auto"/>
            </w:tcBorders>
            <w:vAlign w:val="center"/>
          </w:tcPr>
          <w:p w:rsidR="00A32067" w:rsidRDefault="00A32067">
            <w:pPr>
              <w:widowControl/>
              <w:jc w:val="left"/>
              <w:rPr>
                <w:kern w:val="0"/>
              </w:rPr>
            </w:pPr>
          </w:p>
        </w:tc>
        <w:tc>
          <w:tcPr>
            <w:tcW w:w="2552" w:type="dxa"/>
            <w:tcBorders>
              <w:top w:val="nil"/>
              <w:left w:val="nil"/>
              <w:bottom w:val="single" w:sz="4" w:space="0" w:color="auto"/>
              <w:right w:val="single" w:sz="4" w:space="0" w:color="auto"/>
            </w:tcBorders>
            <w:vAlign w:val="bottom"/>
          </w:tcPr>
          <w:p w:rsidR="00A32067" w:rsidRDefault="00A32067">
            <w:pPr>
              <w:widowControl/>
              <w:jc w:val="center"/>
              <w:rPr>
                <w:kern w:val="0"/>
              </w:rPr>
            </w:pPr>
            <w:r>
              <w:rPr>
                <w:kern w:val="0"/>
              </w:rPr>
              <w:t>≤4</w:t>
            </w:r>
            <w:r>
              <w:rPr>
                <w:rFonts w:cs="宋体" w:hint="eastAsia"/>
                <w:kern w:val="0"/>
              </w:rPr>
              <w:t>层</w:t>
            </w:r>
          </w:p>
        </w:tc>
        <w:tc>
          <w:tcPr>
            <w:tcW w:w="2551" w:type="dxa"/>
            <w:tcBorders>
              <w:top w:val="nil"/>
              <w:left w:val="nil"/>
              <w:bottom w:val="single" w:sz="4" w:space="0" w:color="auto"/>
              <w:right w:val="single" w:sz="4" w:space="0" w:color="auto"/>
            </w:tcBorders>
            <w:vAlign w:val="bottom"/>
          </w:tcPr>
          <w:p w:rsidR="00A32067" w:rsidRDefault="00A32067">
            <w:pPr>
              <w:widowControl/>
              <w:jc w:val="center"/>
              <w:rPr>
                <w:kern w:val="0"/>
              </w:rPr>
            </w:pPr>
            <w:r>
              <w:rPr>
                <w:kern w:val="0"/>
              </w:rPr>
              <w:t>≤5</w:t>
            </w:r>
            <w:r>
              <w:rPr>
                <w:rFonts w:cs="宋体" w:hint="eastAsia"/>
                <w:kern w:val="0"/>
              </w:rPr>
              <w:t>层</w:t>
            </w:r>
          </w:p>
        </w:tc>
        <w:tc>
          <w:tcPr>
            <w:tcW w:w="1985"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r>
      <w:tr w:rsidR="00A32067">
        <w:trPr>
          <w:trHeight w:val="599"/>
        </w:trPr>
        <w:tc>
          <w:tcPr>
            <w:tcW w:w="2425" w:type="dxa"/>
            <w:tcBorders>
              <w:top w:val="nil"/>
              <w:left w:val="single" w:sz="4" w:space="0" w:color="auto"/>
              <w:bottom w:val="single" w:sz="4" w:space="0" w:color="auto"/>
              <w:right w:val="single" w:sz="4" w:space="0" w:color="auto"/>
            </w:tcBorders>
            <w:vAlign w:val="center"/>
          </w:tcPr>
          <w:p w:rsidR="00A32067" w:rsidRDefault="00A32067">
            <w:pPr>
              <w:widowControl/>
              <w:rPr>
                <w:kern w:val="0"/>
              </w:rPr>
            </w:pPr>
            <w:r>
              <w:rPr>
                <w:rFonts w:cs="宋体" w:hint="eastAsia"/>
                <w:kern w:val="0"/>
              </w:rPr>
              <w:t>客梯及客货电梯</w:t>
            </w:r>
          </w:p>
        </w:tc>
        <w:tc>
          <w:tcPr>
            <w:tcW w:w="255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400</w:t>
            </w:r>
          </w:p>
        </w:tc>
        <w:tc>
          <w:tcPr>
            <w:tcW w:w="1985"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551"/>
        </w:trPr>
        <w:tc>
          <w:tcPr>
            <w:tcW w:w="2425" w:type="dxa"/>
            <w:tcBorders>
              <w:top w:val="nil"/>
              <w:left w:val="single" w:sz="4" w:space="0" w:color="auto"/>
              <w:bottom w:val="single" w:sz="4" w:space="0" w:color="auto"/>
              <w:right w:val="single" w:sz="4" w:space="0" w:color="auto"/>
            </w:tcBorders>
            <w:vAlign w:val="center"/>
          </w:tcPr>
          <w:p w:rsidR="00A32067" w:rsidRDefault="00A32067">
            <w:pPr>
              <w:widowControl/>
              <w:rPr>
                <w:kern w:val="0"/>
              </w:rPr>
            </w:pPr>
            <w:r>
              <w:rPr>
                <w:rFonts w:cs="宋体" w:hint="eastAsia"/>
                <w:kern w:val="0"/>
              </w:rPr>
              <w:t>货梯（杂梯）</w:t>
            </w:r>
          </w:p>
        </w:tc>
        <w:tc>
          <w:tcPr>
            <w:tcW w:w="255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300</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1985"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559"/>
        </w:trPr>
        <w:tc>
          <w:tcPr>
            <w:tcW w:w="2425" w:type="dxa"/>
            <w:tcBorders>
              <w:top w:val="nil"/>
              <w:left w:val="single" w:sz="4" w:space="0" w:color="auto"/>
              <w:bottom w:val="single" w:sz="4" w:space="0" w:color="auto"/>
              <w:right w:val="single" w:sz="4" w:space="0" w:color="auto"/>
            </w:tcBorders>
            <w:vAlign w:val="center"/>
          </w:tcPr>
          <w:p w:rsidR="00A32067" w:rsidRDefault="00A32067">
            <w:pPr>
              <w:widowControl/>
              <w:rPr>
                <w:kern w:val="0"/>
              </w:rPr>
            </w:pPr>
            <w:r>
              <w:rPr>
                <w:rFonts w:cs="宋体" w:hint="eastAsia"/>
                <w:kern w:val="0"/>
              </w:rPr>
              <w:t>自动扶梯</w:t>
            </w:r>
          </w:p>
        </w:tc>
        <w:tc>
          <w:tcPr>
            <w:tcW w:w="255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1985"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400</w:t>
            </w:r>
          </w:p>
        </w:tc>
      </w:tr>
      <w:tr w:rsidR="00A32067">
        <w:trPr>
          <w:trHeight w:val="285"/>
        </w:trPr>
        <w:tc>
          <w:tcPr>
            <w:tcW w:w="2425" w:type="dxa"/>
            <w:vMerge w:val="restart"/>
            <w:tcBorders>
              <w:top w:val="nil"/>
              <w:left w:val="single" w:sz="4" w:space="0" w:color="auto"/>
              <w:bottom w:val="single" w:sz="4" w:space="0" w:color="000000"/>
              <w:right w:val="nil"/>
            </w:tcBorders>
            <w:vAlign w:val="center"/>
          </w:tcPr>
          <w:p w:rsidR="00A32067" w:rsidRDefault="00A32067">
            <w:pPr>
              <w:widowControl/>
              <w:jc w:val="center"/>
              <w:rPr>
                <w:kern w:val="0"/>
              </w:rPr>
            </w:pPr>
            <w:r>
              <w:rPr>
                <w:rFonts w:cs="宋体" w:hint="eastAsia"/>
                <w:kern w:val="0"/>
              </w:rPr>
              <w:t>备注</w:t>
            </w:r>
          </w:p>
        </w:tc>
        <w:tc>
          <w:tcPr>
            <w:tcW w:w="7088" w:type="dxa"/>
            <w:gridSpan w:val="3"/>
            <w:tcBorders>
              <w:top w:val="single" w:sz="4" w:space="0" w:color="auto"/>
              <w:left w:val="nil"/>
              <w:bottom w:val="nil"/>
              <w:right w:val="single" w:sz="4" w:space="0" w:color="000000"/>
            </w:tcBorders>
            <w:vAlign w:val="bottom"/>
          </w:tcPr>
          <w:p w:rsidR="00A32067" w:rsidRDefault="00A32067">
            <w:pPr>
              <w:widowControl/>
              <w:jc w:val="left"/>
              <w:rPr>
                <w:kern w:val="0"/>
              </w:rPr>
            </w:pPr>
            <w:r>
              <w:rPr>
                <w:kern w:val="0"/>
              </w:rPr>
              <w:t>1.</w:t>
            </w:r>
            <w:r>
              <w:rPr>
                <w:rFonts w:cs="宋体" w:hint="eastAsia"/>
                <w:kern w:val="0"/>
              </w:rPr>
              <w:t>客梯及客货电梯、货梯每增加一层加收</w:t>
            </w:r>
            <w:r>
              <w:rPr>
                <w:kern w:val="0"/>
              </w:rPr>
              <w:t>50</w:t>
            </w:r>
            <w:r>
              <w:rPr>
                <w:rFonts w:cs="宋体" w:hint="eastAsia"/>
                <w:kern w:val="0"/>
              </w:rPr>
              <w:t>元。</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nil"/>
              <w:right w:val="single" w:sz="4" w:space="0" w:color="000000"/>
            </w:tcBorders>
            <w:vAlign w:val="bottom"/>
          </w:tcPr>
          <w:p w:rsidR="00A32067" w:rsidRDefault="00A32067">
            <w:pPr>
              <w:widowControl/>
              <w:jc w:val="left"/>
              <w:rPr>
                <w:kern w:val="0"/>
              </w:rPr>
            </w:pPr>
            <w:r>
              <w:rPr>
                <w:kern w:val="0"/>
              </w:rPr>
              <w:t>2.10</w:t>
            </w:r>
            <w:r>
              <w:rPr>
                <w:rFonts w:cs="宋体" w:hint="eastAsia"/>
                <w:kern w:val="0"/>
              </w:rPr>
              <w:t>层以下客梯及客货电梯安装检验按电梯总价</w:t>
            </w:r>
            <w:r>
              <w:rPr>
                <w:kern w:val="0"/>
              </w:rPr>
              <w:t>0.9-1.1%</w:t>
            </w:r>
            <w:r>
              <w:rPr>
                <w:rFonts w:cs="宋体" w:hint="eastAsia"/>
                <w:kern w:val="0"/>
              </w:rPr>
              <w:t>收取。</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nil"/>
              <w:right w:val="single" w:sz="4" w:space="0" w:color="000000"/>
            </w:tcBorders>
            <w:vAlign w:val="bottom"/>
          </w:tcPr>
          <w:p w:rsidR="00A32067" w:rsidRDefault="00A32067">
            <w:pPr>
              <w:widowControl/>
              <w:jc w:val="left"/>
              <w:rPr>
                <w:kern w:val="0"/>
              </w:rPr>
            </w:pPr>
            <w:r>
              <w:rPr>
                <w:kern w:val="0"/>
              </w:rPr>
              <w:t>3.10</w:t>
            </w:r>
            <w:r>
              <w:rPr>
                <w:rFonts w:cs="宋体" w:hint="eastAsia"/>
                <w:kern w:val="0"/>
              </w:rPr>
              <w:t>层以上客梯及客货电梯安装检验按电梯总价</w:t>
            </w:r>
            <w:r>
              <w:rPr>
                <w:kern w:val="0"/>
              </w:rPr>
              <w:t>0.8-1.0%</w:t>
            </w:r>
            <w:r>
              <w:rPr>
                <w:rFonts w:cs="宋体" w:hint="eastAsia"/>
                <w:kern w:val="0"/>
              </w:rPr>
              <w:t>收取。</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nil"/>
              <w:right w:val="single" w:sz="4" w:space="0" w:color="000000"/>
            </w:tcBorders>
            <w:vAlign w:val="bottom"/>
          </w:tcPr>
          <w:p w:rsidR="00A32067" w:rsidRDefault="00A32067">
            <w:pPr>
              <w:widowControl/>
              <w:jc w:val="left"/>
              <w:rPr>
                <w:kern w:val="0"/>
              </w:rPr>
            </w:pPr>
            <w:r>
              <w:rPr>
                <w:kern w:val="0"/>
              </w:rPr>
              <w:t>4.</w:t>
            </w:r>
            <w:r>
              <w:rPr>
                <w:rFonts w:cs="宋体" w:hint="eastAsia"/>
                <w:kern w:val="0"/>
              </w:rPr>
              <w:t>货梯安装检验按总价</w:t>
            </w:r>
            <w:r>
              <w:rPr>
                <w:kern w:val="0"/>
              </w:rPr>
              <w:t>0.8-1.0%</w:t>
            </w:r>
            <w:r>
              <w:rPr>
                <w:rFonts w:cs="宋体" w:hint="eastAsia"/>
                <w:kern w:val="0"/>
              </w:rPr>
              <w:t>收取。</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nil"/>
              <w:right w:val="single" w:sz="4" w:space="0" w:color="000000"/>
            </w:tcBorders>
            <w:vAlign w:val="bottom"/>
          </w:tcPr>
          <w:p w:rsidR="00A32067" w:rsidRDefault="00A32067">
            <w:pPr>
              <w:widowControl/>
              <w:jc w:val="left"/>
              <w:rPr>
                <w:kern w:val="0"/>
              </w:rPr>
            </w:pPr>
            <w:r>
              <w:rPr>
                <w:kern w:val="0"/>
              </w:rPr>
              <w:t>5.</w:t>
            </w:r>
            <w:r>
              <w:rPr>
                <w:rFonts w:cs="宋体" w:hint="eastAsia"/>
                <w:kern w:val="0"/>
              </w:rPr>
              <w:t>自动扶梯安装检验总价</w:t>
            </w:r>
            <w:r>
              <w:rPr>
                <w:kern w:val="0"/>
              </w:rPr>
              <w:t>0.7-1.0%</w:t>
            </w:r>
            <w:r>
              <w:rPr>
                <w:rFonts w:cs="宋体" w:hint="eastAsia"/>
                <w:kern w:val="0"/>
              </w:rPr>
              <w:t>收取。</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nil"/>
              <w:right w:val="single" w:sz="4" w:space="0" w:color="000000"/>
            </w:tcBorders>
            <w:vAlign w:val="bottom"/>
          </w:tcPr>
          <w:p w:rsidR="00A32067" w:rsidRDefault="00A32067">
            <w:pPr>
              <w:widowControl/>
              <w:jc w:val="left"/>
              <w:rPr>
                <w:kern w:val="0"/>
              </w:rPr>
            </w:pPr>
            <w:r>
              <w:rPr>
                <w:kern w:val="0"/>
              </w:rPr>
              <w:t>6.</w:t>
            </w:r>
            <w:r>
              <w:rPr>
                <w:rFonts w:cs="宋体" w:hint="eastAsia"/>
                <w:kern w:val="0"/>
              </w:rPr>
              <w:t>修理检验、制造（安装）安全认可检验按表列</w:t>
            </w:r>
            <w:r>
              <w:rPr>
                <w:kern w:val="0"/>
              </w:rPr>
              <w:t>200%</w:t>
            </w:r>
            <w:r>
              <w:rPr>
                <w:rFonts w:cs="宋体" w:hint="eastAsia"/>
                <w:kern w:val="0"/>
              </w:rPr>
              <w:t>收费。</w:t>
            </w:r>
          </w:p>
        </w:tc>
      </w:tr>
      <w:tr w:rsidR="00A32067">
        <w:trPr>
          <w:trHeight w:val="285"/>
        </w:trPr>
        <w:tc>
          <w:tcPr>
            <w:tcW w:w="2425" w:type="dxa"/>
            <w:vMerge/>
            <w:tcBorders>
              <w:top w:val="nil"/>
              <w:left w:val="single" w:sz="4" w:space="0" w:color="auto"/>
              <w:bottom w:val="single" w:sz="4" w:space="0" w:color="000000"/>
              <w:right w:val="nil"/>
            </w:tcBorders>
            <w:vAlign w:val="center"/>
          </w:tcPr>
          <w:p w:rsidR="00A32067" w:rsidRDefault="00A32067">
            <w:pPr>
              <w:widowControl/>
              <w:jc w:val="left"/>
              <w:rPr>
                <w:kern w:val="0"/>
              </w:rPr>
            </w:pPr>
          </w:p>
        </w:tc>
        <w:tc>
          <w:tcPr>
            <w:tcW w:w="7088" w:type="dxa"/>
            <w:gridSpan w:val="3"/>
            <w:tcBorders>
              <w:top w:val="nil"/>
              <w:left w:val="nil"/>
              <w:bottom w:val="single" w:sz="4" w:space="0" w:color="auto"/>
              <w:right w:val="single" w:sz="4" w:space="0" w:color="000000"/>
            </w:tcBorders>
            <w:vAlign w:val="bottom"/>
          </w:tcPr>
          <w:p w:rsidR="00A32067" w:rsidRDefault="00A32067">
            <w:pPr>
              <w:widowControl/>
              <w:jc w:val="left"/>
              <w:rPr>
                <w:kern w:val="0"/>
              </w:rPr>
            </w:pPr>
            <w:r>
              <w:rPr>
                <w:kern w:val="0"/>
              </w:rPr>
              <w:t>7.</w:t>
            </w:r>
            <w:r>
              <w:rPr>
                <w:rFonts w:cs="宋体" w:hint="eastAsia"/>
                <w:kern w:val="0"/>
              </w:rPr>
              <w:t>进出口检验按本标准加收</w:t>
            </w:r>
            <w:r>
              <w:rPr>
                <w:kern w:val="0"/>
              </w:rPr>
              <w:t>30%</w:t>
            </w:r>
            <w:r>
              <w:rPr>
                <w:rFonts w:cs="宋体" w:hint="eastAsia"/>
                <w:kern w:val="0"/>
              </w:rPr>
              <w:t>。</w:t>
            </w:r>
          </w:p>
        </w:tc>
      </w:tr>
    </w:tbl>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（五）升降机检验</w:t>
      </w:r>
    </w:p>
    <w:tbl>
      <w:tblPr>
        <w:tblW w:w="9306" w:type="dxa"/>
        <w:tblInd w:w="2" w:type="dxa"/>
        <w:tblLayout w:type="fixed"/>
        <w:tblLook w:val="00A0"/>
      </w:tblPr>
      <w:tblGrid>
        <w:gridCol w:w="3984"/>
        <w:gridCol w:w="5322"/>
      </w:tblGrid>
      <w:tr w:rsidR="00A32067">
        <w:trPr>
          <w:trHeight w:hRule="exact" w:val="680"/>
        </w:trPr>
        <w:tc>
          <w:tcPr>
            <w:tcW w:w="3984"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项目</w:t>
            </w:r>
          </w:p>
        </w:tc>
        <w:tc>
          <w:tcPr>
            <w:tcW w:w="5322"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w:t>
            </w:r>
          </w:p>
        </w:tc>
      </w:tr>
      <w:tr w:rsidR="00A32067">
        <w:trPr>
          <w:trHeight w:hRule="exact" w:val="680"/>
        </w:trPr>
        <w:tc>
          <w:tcPr>
            <w:tcW w:w="3984"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单笼施工升降机</w:t>
            </w:r>
          </w:p>
        </w:tc>
        <w:tc>
          <w:tcPr>
            <w:tcW w:w="532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200</w:t>
            </w:r>
          </w:p>
        </w:tc>
      </w:tr>
      <w:tr w:rsidR="00A32067">
        <w:trPr>
          <w:trHeight w:hRule="exact" w:val="680"/>
        </w:trPr>
        <w:tc>
          <w:tcPr>
            <w:tcW w:w="3984"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双笼施工升降机</w:t>
            </w:r>
          </w:p>
        </w:tc>
        <w:tc>
          <w:tcPr>
            <w:tcW w:w="532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300</w:t>
            </w:r>
          </w:p>
        </w:tc>
      </w:tr>
      <w:tr w:rsidR="00A32067">
        <w:trPr>
          <w:trHeight w:hRule="exact" w:val="680"/>
        </w:trPr>
        <w:tc>
          <w:tcPr>
            <w:tcW w:w="3984"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单卷筒简易升降机</w:t>
            </w:r>
          </w:p>
        </w:tc>
        <w:tc>
          <w:tcPr>
            <w:tcW w:w="532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120</w:t>
            </w:r>
          </w:p>
        </w:tc>
      </w:tr>
      <w:tr w:rsidR="00A32067">
        <w:trPr>
          <w:trHeight w:hRule="exact" w:val="680"/>
        </w:trPr>
        <w:tc>
          <w:tcPr>
            <w:tcW w:w="3984"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双卷筒简易升降机</w:t>
            </w:r>
          </w:p>
        </w:tc>
        <w:tc>
          <w:tcPr>
            <w:tcW w:w="532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150</w:t>
            </w:r>
          </w:p>
        </w:tc>
      </w:tr>
      <w:tr w:rsidR="00A32067">
        <w:trPr>
          <w:trHeight w:val="285"/>
        </w:trPr>
        <w:tc>
          <w:tcPr>
            <w:tcW w:w="9306" w:type="dxa"/>
            <w:gridSpan w:val="2"/>
            <w:tcBorders>
              <w:top w:val="single" w:sz="4" w:space="0" w:color="auto"/>
              <w:left w:val="single" w:sz="4" w:space="0" w:color="auto"/>
              <w:bottom w:val="nil"/>
              <w:right w:val="single" w:sz="4" w:space="0" w:color="000000"/>
            </w:tcBorders>
            <w:vAlign w:val="bottom"/>
          </w:tcPr>
          <w:p w:rsidR="00A32067" w:rsidRDefault="00A32067">
            <w:pPr>
              <w:widowControl/>
              <w:jc w:val="left"/>
              <w:rPr>
                <w:kern w:val="0"/>
              </w:rPr>
            </w:pPr>
            <w:r>
              <w:rPr>
                <w:rFonts w:cs="宋体" w:hint="eastAsia"/>
                <w:kern w:val="0"/>
              </w:rPr>
              <w:t>备注：</w:t>
            </w:r>
            <w:r>
              <w:rPr>
                <w:kern w:val="0"/>
              </w:rPr>
              <w:t>1.</w:t>
            </w:r>
            <w:r>
              <w:rPr>
                <w:rFonts w:cs="宋体" w:hint="eastAsia"/>
                <w:kern w:val="0"/>
              </w:rPr>
              <w:t>施工升降机起升高度超过</w:t>
            </w:r>
            <w:r>
              <w:rPr>
                <w:kern w:val="0"/>
              </w:rPr>
              <w:t>30</w:t>
            </w:r>
            <w:r>
              <w:rPr>
                <w:rFonts w:cs="宋体" w:hint="eastAsia"/>
                <w:kern w:val="0"/>
              </w:rPr>
              <w:t>米时，每增加</w:t>
            </w:r>
            <w:r>
              <w:rPr>
                <w:kern w:val="0"/>
              </w:rPr>
              <w:t>10</w:t>
            </w:r>
            <w:r>
              <w:rPr>
                <w:rFonts w:cs="宋体" w:hint="eastAsia"/>
                <w:kern w:val="0"/>
              </w:rPr>
              <w:t>米加收</w:t>
            </w:r>
            <w:r>
              <w:rPr>
                <w:kern w:val="0"/>
              </w:rPr>
              <w:t>10%</w:t>
            </w:r>
            <w:r>
              <w:rPr>
                <w:rFonts w:cs="宋体" w:hint="eastAsia"/>
                <w:kern w:val="0"/>
              </w:rPr>
              <w:t>。</w:t>
            </w:r>
          </w:p>
        </w:tc>
      </w:tr>
      <w:tr w:rsidR="00A32067">
        <w:trPr>
          <w:trHeight w:val="483"/>
        </w:trPr>
        <w:tc>
          <w:tcPr>
            <w:tcW w:w="9306" w:type="dxa"/>
            <w:gridSpan w:val="2"/>
            <w:tcBorders>
              <w:top w:val="nil"/>
              <w:left w:val="single" w:sz="4" w:space="0" w:color="auto"/>
              <w:bottom w:val="nil"/>
              <w:right w:val="single" w:sz="4" w:space="0" w:color="000000"/>
            </w:tcBorders>
            <w:vAlign w:val="bottom"/>
          </w:tcPr>
          <w:p w:rsidR="00A32067" w:rsidRDefault="00A32067" w:rsidP="00A32067">
            <w:pPr>
              <w:widowControl/>
              <w:ind w:firstLineChars="300" w:firstLine="31680"/>
              <w:jc w:val="left"/>
              <w:rPr>
                <w:kern w:val="0"/>
              </w:rPr>
            </w:pPr>
            <w:r>
              <w:rPr>
                <w:kern w:val="0"/>
              </w:rPr>
              <w:t>2.</w:t>
            </w:r>
            <w:r>
              <w:rPr>
                <w:rFonts w:cs="宋体" w:hint="eastAsia"/>
                <w:kern w:val="0"/>
              </w:rPr>
              <w:t>简易升降设备包括井架、门架、门立架。</w:t>
            </w:r>
          </w:p>
        </w:tc>
      </w:tr>
      <w:tr w:rsidR="00A32067">
        <w:trPr>
          <w:trHeight w:val="459"/>
        </w:trPr>
        <w:tc>
          <w:tcPr>
            <w:tcW w:w="9306" w:type="dxa"/>
            <w:gridSpan w:val="2"/>
            <w:tcBorders>
              <w:top w:val="nil"/>
              <w:left w:val="single" w:sz="4" w:space="0" w:color="auto"/>
              <w:bottom w:val="single" w:sz="4" w:space="0" w:color="auto"/>
              <w:right w:val="single" w:sz="4" w:space="0" w:color="000000"/>
            </w:tcBorders>
            <w:vAlign w:val="bottom"/>
          </w:tcPr>
          <w:p w:rsidR="00A32067" w:rsidRDefault="00A32067">
            <w:pPr>
              <w:widowControl/>
              <w:jc w:val="left"/>
              <w:rPr>
                <w:kern w:val="0"/>
              </w:rPr>
            </w:pPr>
            <w:r>
              <w:rPr>
                <w:kern w:val="0"/>
              </w:rPr>
              <w:t xml:space="preserve">      3.</w:t>
            </w:r>
            <w:r>
              <w:rPr>
                <w:rFonts w:cs="宋体" w:hint="eastAsia"/>
                <w:kern w:val="0"/>
              </w:rPr>
              <w:t>安装（修理</w:t>
            </w:r>
            <w:r>
              <w:rPr>
                <w:kern w:val="0"/>
              </w:rPr>
              <w:t>)</w:t>
            </w:r>
            <w:r>
              <w:rPr>
                <w:rFonts w:cs="宋体" w:hint="eastAsia"/>
                <w:kern w:val="0"/>
              </w:rPr>
              <w:t>检验、制造（安装）安全认可检验按表列</w:t>
            </w:r>
            <w:r>
              <w:rPr>
                <w:kern w:val="0"/>
              </w:rPr>
              <w:t>200%</w:t>
            </w:r>
            <w:r>
              <w:rPr>
                <w:rFonts w:cs="宋体" w:hint="eastAsia"/>
                <w:kern w:val="0"/>
              </w:rPr>
              <w:t>收费。</w:t>
            </w:r>
          </w:p>
        </w:tc>
      </w:tr>
    </w:tbl>
    <w:p w:rsidR="00A32067" w:rsidRDefault="00A32067">
      <w:pPr>
        <w:pStyle w:val="11"/>
        <w:keepNext/>
        <w:keepLines/>
        <w:shd w:val="clear" w:color="auto" w:fill="auto"/>
        <w:spacing w:before="120" w:after="240"/>
        <w:ind w:right="278"/>
        <w:outlineLvl w:val="9"/>
        <w:rPr>
          <w:rFonts w:ascii="Times New Roman" w:eastAsia="宋体" w:hAnsi="Times New Roman" w:cs="Times New Roman"/>
          <w:b/>
          <w:bCs/>
          <w:color w:val="000000"/>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（六）起重机机械附件、吊辅具常规检验</w:t>
      </w:r>
    </w:p>
    <w:tbl>
      <w:tblPr>
        <w:tblW w:w="9336" w:type="dxa"/>
        <w:tblInd w:w="2" w:type="dxa"/>
        <w:tblLayout w:type="fixed"/>
        <w:tblLook w:val="00A0"/>
      </w:tblPr>
      <w:tblGrid>
        <w:gridCol w:w="4268"/>
        <w:gridCol w:w="2551"/>
        <w:gridCol w:w="2517"/>
      </w:tblGrid>
      <w:tr w:rsidR="00A32067">
        <w:trPr>
          <w:trHeight w:hRule="exact" w:val="784"/>
        </w:trPr>
        <w:tc>
          <w:tcPr>
            <w:tcW w:w="4268"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附件、吊辅具名称</w:t>
            </w:r>
          </w:p>
        </w:tc>
        <w:tc>
          <w:tcPr>
            <w:tcW w:w="2551"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计费单位</w:t>
            </w:r>
          </w:p>
        </w:tc>
        <w:tc>
          <w:tcPr>
            <w:tcW w:w="2517"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环眼吊钩</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支</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5</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片式吊钩</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副</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固定在悬挂件上的专用吊钩</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件</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夹挂工具</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件</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夹钩（钩爪）</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件</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吊篮（吊箱、吊斗）</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个</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集装箱、吊具</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组</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承梁（平衡梁）</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组</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w:t>
            </w:r>
          </w:p>
        </w:tc>
      </w:tr>
      <w:tr w:rsidR="00A32067">
        <w:trPr>
          <w:trHeight w:hRule="exact" w:val="567"/>
        </w:trPr>
        <w:tc>
          <w:tcPr>
            <w:tcW w:w="4268" w:type="dxa"/>
            <w:tcBorders>
              <w:top w:val="nil"/>
              <w:left w:val="single" w:sz="4" w:space="0" w:color="auto"/>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索具（吊链、吊绳、吊带）</w:t>
            </w:r>
          </w:p>
        </w:tc>
        <w:tc>
          <w:tcPr>
            <w:tcW w:w="255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支</w:t>
            </w:r>
          </w:p>
        </w:tc>
        <w:tc>
          <w:tcPr>
            <w:tcW w:w="2517"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w:t>
            </w:r>
          </w:p>
        </w:tc>
      </w:tr>
    </w:tbl>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sectPr w:rsidR="00A32067">
          <w:pgSz w:w="11907" w:h="16840"/>
          <w:pgMar w:top="1134" w:right="1077" w:bottom="1134" w:left="1077" w:header="794" w:footer="567" w:gutter="284"/>
          <w:cols w:space="720"/>
          <w:docGrid w:linePitch="312"/>
        </w:sect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（七）吊辅具特种检验（理化分析）</w:t>
      </w:r>
    </w:p>
    <w:tbl>
      <w:tblPr>
        <w:tblW w:w="9435" w:type="dxa"/>
        <w:tblInd w:w="2" w:type="dxa"/>
        <w:tblLayout w:type="fixed"/>
        <w:tblLook w:val="00A0"/>
      </w:tblPr>
      <w:tblGrid>
        <w:gridCol w:w="866"/>
        <w:gridCol w:w="2410"/>
        <w:gridCol w:w="1701"/>
        <w:gridCol w:w="2126"/>
        <w:gridCol w:w="2332"/>
      </w:tblGrid>
      <w:tr w:rsidR="00A32067">
        <w:trPr>
          <w:trHeight w:val="612"/>
        </w:trPr>
        <w:tc>
          <w:tcPr>
            <w:tcW w:w="866"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序号</w:t>
            </w:r>
          </w:p>
        </w:tc>
        <w:tc>
          <w:tcPr>
            <w:tcW w:w="2410"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收费项目</w:t>
            </w:r>
          </w:p>
        </w:tc>
        <w:tc>
          <w:tcPr>
            <w:tcW w:w="1701"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计费单位</w:t>
            </w:r>
          </w:p>
        </w:tc>
        <w:tc>
          <w:tcPr>
            <w:tcW w:w="2126"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收费标准（元）</w:t>
            </w:r>
          </w:p>
        </w:tc>
        <w:tc>
          <w:tcPr>
            <w:tcW w:w="2332"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备注</w:t>
            </w: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拉力试验</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样</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2</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冲击试验</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常温</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次、样</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6</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时效</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次、样</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低温</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次、样</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50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3</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硬度</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HR</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HB</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3</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HV</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4</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疲劳试验</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小时</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8</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5</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X</w:t>
            </w:r>
            <w:r>
              <w:rPr>
                <w:rFonts w:cs="宋体" w:hint="eastAsia"/>
                <w:kern w:val="0"/>
              </w:rPr>
              <w:t>光探伤</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30×6cmδ≤20mm</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张</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20</w:t>
            </w:r>
            <w:r>
              <w:rPr>
                <w:rFonts w:cs="宋体" w:hint="eastAsia"/>
                <w:kern w:val="0"/>
              </w:rPr>
              <w:t>＜</w:t>
            </w:r>
            <w:r>
              <w:rPr>
                <w:kern w:val="0"/>
              </w:rPr>
              <w:t>δ≤50mm</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张</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6</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超声波探伤</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焊缝</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米</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钢板</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平方米</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钢丝绳</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米</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7</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磁粉探伤</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米</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6</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8</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着色探伤</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米</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6</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9</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钢板测厚</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10</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金相检验</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钢、铸铁组织</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件</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40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带照片加收</w:t>
            </w:r>
            <w:r>
              <w:rPr>
                <w:kern w:val="0"/>
              </w:rPr>
              <w:t>5</w:t>
            </w:r>
            <w:r>
              <w:rPr>
                <w:rFonts w:cs="宋体" w:hint="eastAsia"/>
                <w:kern w:val="0"/>
              </w:rPr>
              <w:t>元</w:t>
            </w: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品粒度</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件</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50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r>
              <w:rPr>
                <w:kern w:val="0"/>
              </w:rPr>
              <w:t>11</w:t>
            </w: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rFonts w:cs="宋体" w:hint="eastAsia"/>
                <w:kern w:val="0"/>
              </w:rPr>
              <w:t>钢铁中化学成份分析</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Si</w:t>
            </w:r>
            <w:r>
              <w:rPr>
                <w:rFonts w:cs="宋体" w:hint="eastAsia"/>
                <w:kern w:val="0"/>
              </w:rPr>
              <w:t>、</w:t>
            </w:r>
            <w:r>
              <w:rPr>
                <w:kern w:val="0"/>
              </w:rPr>
              <w:t>Mn</w:t>
            </w:r>
            <w:r>
              <w:rPr>
                <w:rFonts w:cs="宋体" w:hint="eastAsia"/>
                <w:kern w:val="0"/>
              </w:rPr>
              <w:t>、</w:t>
            </w:r>
            <w:r>
              <w:rPr>
                <w:kern w:val="0"/>
              </w:rPr>
              <w:t>P</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20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Ni</w:t>
            </w:r>
            <w:r>
              <w:rPr>
                <w:rFonts w:cs="宋体" w:hint="eastAsia"/>
                <w:kern w:val="0"/>
              </w:rPr>
              <w:t>、</w:t>
            </w:r>
            <w:r>
              <w:rPr>
                <w:kern w:val="0"/>
              </w:rPr>
              <w:t>W</w:t>
            </w:r>
            <w:r>
              <w:rPr>
                <w:rFonts w:cs="宋体" w:hint="eastAsia"/>
                <w:kern w:val="0"/>
              </w:rPr>
              <w:t>、</w:t>
            </w:r>
            <w:r>
              <w:rPr>
                <w:kern w:val="0"/>
              </w:rPr>
              <w:t>V</w:t>
            </w:r>
            <w:r>
              <w:rPr>
                <w:rFonts w:cs="宋体" w:hint="eastAsia"/>
                <w:kern w:val="0"/>
              </w:rPr>
              <w:t>、</w:t>
            </w:r>
            <w:r>
              <w:rPr>
                <w:kern w:val="0"/>
              </w:rPr>
              <w:t>Mo</w:t>
            </w:r>
            <w:r>
              <w:rPr>
                <w:rFonts w:cs="宋体" w:hint="eastAsia"/>
                <w:kern w:val="0"/>
              </w:rPr>
              <w:t>、</w:t>
            </w:r>
            <w:r>
              <w:rPr>
                <w:kern w:val="0"/>
              </w:rPr>
              <w:t>Cr</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30</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r w:rsidR="00A32067">
        <w:trPr>
          <w:trHeight w:val="367"/>
        </w:trPr>
        <w:tc>
          <w:tcPr>
            <w:tcW w:w="866" w:type="dxa"/>
            <w:tcBorders>
              <w:top w:val="nil"/>
              <w:left w:val="single" w:sz="4" w:space="0" w:color="auto"/>
              <w:bottom w:val="single" w:sz="4" w:space="0" w:color="auto"/>
              <w:right w:val="single" w:sz="4" w:space="0" w:color="auto"/>
            </w:tcBorders>
            <w:vAlign w:val="center"/>
          </w:tcPr>
          <w:p w:rsidR="00A32067" w:rsidRDefault="00A32067">
            <w:pPr>
              <w:widowControl/>
              <w:jc w:val="center"/>
              <w:rPr>
                <w:kern w:val="0"/>
              </w:rPr>
            </w:pPr>
          </w:p>
        </w:tc>
        <w:tc>
          <w:tcPr>
            <w:tcW w:w="2410" w:type="dxa"/>
            <w:tcBorders>
              <w:top w:val="nil"/>
              <w:left w:val="nil"/>
              <w:bottom w:val="single" w:sz="4" w:space="0" w:color="auto"/>
              <w:right w:val="single" w:sz="4" w:space="0" w:color="auto"/>
            </w:tcBorders>
            <w:vAlign w:val="center"/>
          </w:tcPr>
          <w:p w:rsidR="00A32067" w:rsidRDefault="00A32067">
            <w:pPr>
              <w:widowControl/>
              <w:jc w:val="left"/>
              <w:rPr>
                <w:kern w:val="0"/>
              </w:rPr>
            </w:pPr>
            <w:r>
              <w:rPr>
                <w:kern w:val="0"/>
              </w:rPr>
              <w:t>C</w:t>
            </w:r>
            <w:r>
              <w:rPr>
                <w:rFonts w:cs="宋体" w:hint="eastAsia"/>
                <w:kern w:val="0"/>
              </w:rPr>
              <w:t>、</w:t>
            </w:r>
            <w:r>
              <w:rPr>
                <w:kern w:val="0"/>
              </w:rPr>
              <w:t>S</w:t>
            </w:r>
          </w:p>
        </w:tc>
        <w:tc>
          <w:tcPr>
            <w:tcW w:w="1701" w:type="dxa"/>
            <w:tcBorders>
              <w:top w:val="nil"/>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项</w:t>
            </w:r>
          </w:p>
        </w:tc>
        <w:tc>
          <w:tcPr>
            <w:tcW w:w="2126" w:type="dxa"/>
            <w:tcBorders>
              <w:top w:val="nil"/>
              <w:left w:val="nil"/>
              <w:bottom w:val="single" w:sz="4" w:space="0" w:color="auto"/>
              <w:right w:val="single" w:sz="4" w:space="0" w:color="auto"/>
            </w:tcBorders>
            <w:vAlign w:val="center"/>
          </w:tcPr>
          <w:p w:rsidR="00A32067" w:rsidRDefault="00A32067">
            <w:pPr>
              <w:widowControl/>
              <w:jc w:val="center"/>
              <w:rPr>
                <w:kern w:val="0"/>
              </w:rPr>
            </w:pPr>
            <w:r>
              <w:rPr>
                <w:kern w:val="0"/>
              </w:rPr>
              <w:t>15</w:t>
            </w:r>
          </w:p>
        </w:tc>
        <w:tc>
          <w:tcPr>
            <w:tcW w:w="2332" w:type="dxa"/>
            <w:tcBorders>
              <w:top w:val="nil"/>
              <w:left w:val="nil"/>
              <w:bottom w:val="single" w:sz="4" w:space="0" w:color="auto"/>
              <w:right w:val="single" w:sz="4" w:space="0" w:color="auto"/>
            </w:tcBorders>
            <w:vAlign w:val="center"/>
          </w:tcPr>
          <w:p w:rsidR="00A32067" w:rsidRDefault="00A32067">
            <w:pPr>
              <w:widowControl/>
              <w:jc w:val="center"/>
              <w:rPr>
                <w:kern w:val="0"/>
              </w:rPr>
            </w:pPr>
          </w:p>
        </w:tc>
      </w:tr>
    </w:tbl>
    <w:p w:rsidR="00A32067" w:rsidRDefault="00A32067">
      <w:pPr>
        <w:pStyle w:val="11"/>
        <w:keepNext/>
        <w:keepLines/>
        <w:shd w:val="clear" w:color="auto" w:fill="auto"/>
        <w:spacing w:before="120" w:after="240"/>
        <w:ind w:right="278"/>
        <w:outlineLvl w:val="9"/>
        <w:rPr>
          <w:rFonts w:ascii="Times New Roman" w:eastAsia="宋体" w:hAnsi="Times New Roman" w:cs="Times New Roman"/>
          <w:b/>
          <w:bCs/>
          <w:color w:val="000000"/>
          <w:sz w:val="24"/>
          <w:szCs w:val="24"/>
          <w:lang w:val="zh-TW"/>
        </w:rPr>
      </w:pPr>
    </w:p>
    <w:p w:rsidR="00A32067" w:rsidRDefault="00A32067">
      <w:pPr>
        <w:pStyle w:val="1"/>
        <w:shd w:val="clear" w:color="auto" w:fill="auto"/>
        <w:spacing w:line="360" w:lineRule="auto"/>
        <w:jc w:val="left"/>
        <w:rPr>
          <w:rFonts w:ascii="Times New Roman" w:eastAsia="宋体" w:hAnsi="Times New Roman" w:cs="Times New Roman"/>
          <w:b/>
          <w:bCs/>
          <w:sz w:val="24"/>
          <w:szCs w:val="24"/>
          <w:lang w:val="zh-TW"/>
        </w:rPr>
      </w:pPr>
      <w:r>
        <w:rPr>
          <w:rFonts w:ascii="Times New Roman" w:eastAsia="宋体" w:hAnsi="Times New Roman" w:cs="宋体" w:hint="eastAsia"/>
          <w:b/>
          <w:bCs/>
          <w:sz w:val="24"/>
          <w:szCs w:val="24"/>
          <w:lang w:val="zh-TW"/>
        </w:rPr>
        <w:t>（八）起重机械（电梯）制造、安装（修理）资格安全认可</w:t>
      </w:r>
    </w:p>
    <w:tbl>
      <w:tblPr>
        <w:tblW w:w="9450" w:type="dxa"/>
        <w:tblInd w:w="2" w:type="dxa"/>
        <w:tblLayout w:type="fixed"/>
        <w:tblLook w:val="00A0"/>
      </w:tblPr>
      <w:tblGrid>
        <w:gridCol w:w="866"/>
        <w:gridCol w:w="2794"/>
        <w:gridCol w:w="1600"/>
        <w:gridCol w:w="2410"/>
        <w:gridCol w:w="1780"/>
      </w:tblGrid>
      <w:tr w:rsidR="00A32067">
        <w:trPr>
          <w:trHeight w:val="542"/>
        </w:trPr>
        <w:tc>
          <w:tcPr>
            <w:tcW w:w="866" w:type="dxa"/>
            <w:tcBorders>
              <w:top w:val="single" w:sz="4" w:space="0" w:color="auto"/>
              <w:left w:val="single" w:sz="4" w:space="0" w:color="auto"/>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序号</w:t>
            </w:r>
          </w:p>
        </w:tc>
        <w:tc>
          <w:tcPr>
            <w:tcW w:w="2794"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收费项目</w:t>
            </w:r>
          </w:p>
        </w:tc>
        <w:tc>
          <w:tcPr>
            <w:tcW w:w="1600"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计费单位</w:t>
            </w:r>
          </w:p>
        </w:tc>
        <w:tc>
          <w:tcPr>
            <w:tcW w:w="2410"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收费标准（元）</w:t>
            </w:r>
          </w:p>
        </w:tc>
        <w:tc>
          <w:tcPr>
            <w:tcW w:w="1780" w:type="dxa"/>
            <w:tcBorders>
              <w:top w:val="single" w:sz="4" w:space="0" w:color="auto"/>
              <w:left w:val="nil"/>
              <w:bottom w:val="single" w:sz="4" w:space="0" w:color="auto"/>
              <w:right w:val="single" w:sz="4" w:space="0" w:color="auto"/>
            </w:tcBorders>
            <w:vAlign w:val="center"/>
          </w:tcPr>
          <w:p w:rsidR="00A32067" w:rsidRDefault="00A32067">
            <w:pPr>
              <w:widowControl/>
              <w:jc w:val="center"/>
              <w:rPr>
                <w:kern w:val="0"/>
              </w:rPr>
            </w:pPr>
            <w:r>
              <w:rPr>
                <w:rFonts w:cs="宋体" w:hint="eastAsia"/>
                <w:kern w:val="0"/>
              </w:rPr>
              <w:t>备注</w:t>
            </w:r>
          </w:p>
        </w:tc>
      </w:tr>
      <w:tr w:rsidR="00A32067">
        <w:trPr>
          <w:trHeight w:hRule="exact" w:val="454"/>
        </w:trPr>
        <w:tc>
          <w:tcPr>
            <w:tcW w:w="866" w:type="dxa"/>
            <w:tcBorders>
              <w:top w:val="nil"/>
              <w:left w:val="single" w:sz="4" w:space="0" w:color="auto"/>
              <w:bottom w:val="single" w:sz="4" w:space="0" w:color="auto"/>
              <w:right w:val="single" w:sz="4" w:space="0" w:color="auto"/>
            </w:tcBorders>
            <w:vAlign w:val="bottom"/>
          </w:tcPr>
          <w:p w:rsidR="00A32067" w:rsidRDefault="00A32067">
            <w:pPr>
              <w:widowControl/>
              <w:jc w:val="center"/>
              <w:rPr>
                <w:kern w:val="0"/>
              </w:rPr>
            </w:pPr>
            <w:r>
              <w:rPr>
                <w:kern w:val="0"/>
              </w:rPr>
              <w:t>1</w:t>
            </w:r>
          </w:p>
        </w:tc>
        <w:tc>
          <w:tcPr>
            <w:tcW w:w="2794" w:type="dxa"/>
            <w:tcBorders>
              <w:top w:val="nil"/>
              <w:left w:val="nil"/>
              <w:bottom w:val="single" w:sz="4" w:space="0" w:color="auto"/>
              <w:right w:val="single" w:sz="4" w:space="0" w:color="auto"/>
            </w:tcBorders>
            <w:vAlign w:val="center"/>
          </w:tcPr>
          <w:p w:rsidR="00A32067" w:rsidRDefault="00A32067">
            <w:pPr>
              <w:widowControl/>
              <w:rPr>
                <w:kern w:val="0"/>
              </w:rPr>
            </w:pPr>
            <w:r>
              <w:rPr>
                <w:rFonts w:cs="宋体" w:hint="eastAsia"/>
                <w:kern w:val="0"/>
              </w:rPr>
              <w:t>制造条件审查费</w:t>
            </w:r>
          </w:p>
        </w:tc>
        <w:tc>
          <w:tcPr>
            <w:tcW w:w="160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c>
          <w:tcPr>
            <w:tcW w:w="2410" w:type="dxa"/>
            <w:tcBorders>
              <w:top w:val="nil"/>
              <w:left w:val="nil"/>
              <w:bottom w:val="single" w:sz="4" w:space="0" w:color="auto"/>
              <w:right w:val="single" w:sz="4" w:space="0" w:color="auto"/>
            </w:tcBorders>
            <w:vAlign w:val="bottom"/>
          </w:tcPr>
          <w:p w:rsidR="00A32067" w:rsidRDefault="00A32067">
            <w:pPr>
              <w:widowControl/>
              <w:jc w:val="center"/>
              <w:rPr>
                <w:kern w:val="0"/>
              </w:rPr>
            </w:pPr>
            <w:r>
              <w:rPr>
                <w:kern w:val="0"/>
              </w:rPr>
              <w:t>400</w:t>
            </w:r>
          </w:p>
        </w:tc>
        <w:tc>
          <w:tcPr>
            <w:tcW w:w="178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r>
      <w:tr w:rsidR="00A32067">
        <w:trPr>
          <w:trHeight w:hRule="exact" w:val="454"/>
        </w:trPr>
        <w:tc>
          <w:tcPr>
            <w:tcW w:w="866" w:type="dxa"/>
            <w:tcBorders>
              <w:top w:val="nil"/>
              <w:left w:val="single" w:sz="4" w:space="0" w:color="auto"/>
              <w:bottom w:val="single" w:sz="4" w:space="0" w:color="auto"/>
              <w:right w:val="single" w:sz="4" w:space="0" w:color="auto"/>
            </w:tcBorders>
            <w:vAlign w:val="bottom"/>
          </w:tcPr>
          <w:p w:rsidR="00A32067" w:rsidRDefault="00A32067">
            <w:pPr>
              <w:widowControl/>
              <w:jc w:val="center"/>
              <w:rPr>
                <w:kern w:val="0"/>
              </w:rPr>
            </w:pPr>
            <w:r>
              <w:rPr>
                <w:kern w:val="0"/>
              </w:rPr>
              <w:t>2</w:t>
            </w:r>
          </w:p>
        </w:tc>
        <w:tc>
          <w:tcPr>
            <w:tcW w:w="2794" w:type="dxa"/>
            <w:tcBorders>
              <w:top w:val="nil"/>
              <w:left w:val="nil"/>
              <w:bottom w:val="single" w:sz="4" w:space="0" w:color="auto"/>
              <w:right w:val="single" w:sz="4" w:space="0" w:color="auto"/>
            </w:tcBorders>
            <w:vAlign w:val="center"/>
          </w:tcPr>
          <w:p w:rsidR="00A32067" w:rsidRDefault="00A32067">
            <w:pPr>
              <w:widowControl/>
              <w:rPr>
                <w:kern w:val="0"/>
              </w:rPr>
            </w:pPr>
            <w:r>
              <w:rPr>
                <w:rFonts w:cs="宋体" w:hint="eastAsia"/>
                <w:kern w:val="0"/>
              </w:rPr>
              <w:t>安装（修理）条件审查费</w:t>
            </w:r>
          </w:p>
        </w:tc>
        <w:tc>
          <w:tcPr>
            <w:tcW w:w="160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c>
          <w:tcPr>
            <w:tcW w:w="2410" w:type="dxa"/>
            <w:tcBorders>
              <w:top w:val="nil"/>
              <w:left w:val="nil"/>
              <w:bottom w:val="single" w:sz="4" w:space="0" w:color="auto"/>
              <w:right w:val="single" w:sz="4" w:space="0" w:color="auto"/>
            </w:tcBorders>
            <w:vAlign w:val="bottom"/>
          </w:tcPr>
          <w:p w:rsidR="00A32067" w:rsidRDefault="00A32067">
            <w:pPr>
              <w:widowControl/>
              <w:jc w:val="center"/>
              <w:rPr>
                <w:kern w:val="0"/>
              </w:rPr>
            </w:pPr>
            <w:r>
              <w:rPr>
                <w:kern w:val="0"/>
              </w:rPr>
              <w:t>400</w:t>
            </w:r>
          </w:p>
        </w:tc>
        <w:tc>
          <w:tcPr>
            <w:tcW w:w="178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r>
      <w:tr w:rsidR="00A32067">
        <w:trPr>
          <w:trHeight w:hRule="exact" w:val="454"/>
        </w:trPr>
        <w:tc>
          <w:tcPr>
            <w:tcW w:w="866" w:type="dxa"/>
            <w:tcBorders>
              <w:top w:val="nil"/>
              <w:left w:val="single" w:sz="4" w:space="0" w:color="auto"/>
              <w:bottom w:val="single" w:sz="4" w:space="0" w:color="auto"/>
              <w:right w:val="single" w:sz="4" w:space="0" w:color="auto"/>
            </w:tcBorders>
            <w:vAlign w:val="bottom"/>
          </w:tcPr>
          <w:p w:rsidR="00A32067" w:rsidRDefault="00A32067">
            <w:pPr>
              <w:widowControl/>
              <w:jc w:val="center"/>
              <w:rPr>
                <w:kern w:val="0"/>
              </w:rPr>
            </w:pPr>
            <w:r>
              <w:rPr>
                <w:kern w:val="0"/>
              </w:rPr>
              <w:t>3</w:t>
            </w:r>
          </w:p>
        </w:tc>
        <w:tc>
          <w:tcPr>
            <w:tcW w:w="2794" w:type="dxa"/>
            <w:tcBorders>
              <w:top w:val="nil"/>
              <w:left w:val="nil"/>
              <w:bottom w:val="single" w:sz="4" w:space="0" w:color="auto"/>
              <w:right w:val="single" w:sz="4" w:space="0" w:color="auto"/>
            </w:tcBorders>
            <w:vAlign w:val="center"/>
          </w:tcPr>
          <w:p w:rsidR="00A32067" w:rsidRDefault="00A32067">
            <w:pPr>
              <w:widowControl/>
              <w:rPr>
                <w:kern w:val="0"/>
              </w:rPr>
            </w:pPr>
            <w:r>
              <w:rPr>
                <w:rFonts w:cs="宋体" w:hint="eastAsia"/>
                <w:kern w:val="0"/>
              </w:rPr>
              <w:t>证件费</w:t>
            </w:r>
          </w:p>
        </w:tc>
        <w:tc>
          <w:tcPr>
            <w:tcW w:w="160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c>
          <w:tcPr>
            <w:tcW w:w="2410" w:type="dxa"/>
            <w:tcBorders>
              <w:top w:val="nil"/>
              <w:left w:val="nil"/>
              <w:bottom w:val="single" w:sz="4" w:space="0" w:color="auto"/>
              <w:right w:val="single" w:sz="4" w:space="0" w:color="auto"/>
            </w:tcBorders>
            <w:vAlign w:val="bottom"/>
          </w:tcPr>
          <w:p w:rsidR="00A32067" w:rsidRDefault="00A32067">
            <w:pPr>
              <w:widowControl/>
              <w:jc w:val="center"/>
              <w:rPr>
                <w:kern w:val="0"/>
              </w:rPr>
            </w:pPr>
            <w:r>
              <w:rPr>
                <w:kern w:val="0"/>
              </w:rPr>
              <w:t>10</w:t>
            </w:r>
          </w:p>
        </w:tc>
        <w:tc>
          <w:tcPr>
            <w:tcW w:w="1780" w:type="dxa"/>
            <w:tcBorders>
              <w:top w:val="nil"/>
              <w:left w:val="nil"/>
              <w:bottom w:val="single" w:sz="4" w:space="0" w:color="auto"/>
              <w:right w:val="single" w:sz="4" w:space="0" w:color="auto"/>
            </w:tcBorders>
            <w:vAlign w:val="bottom"/>
          </w:tcPr>
          <w:p w:rsidR="00A32067" w:rsidRDefault="00A32067">
            <w:pPr>
              <w:widowControl/>
              <w:jc w:val="left"/>
              <w:rPr>
                <w:kern w:val="0"/>
              </w:rPr>
            </w:pPr>
            <w:r>
              <w:rPr>
                <w:rFonts w:cs="宋体" w:hint="eastAsia"/>
                <w:kern w:val="0"/>
              </w:rPr>
              <w:t xml:space="preserve">　</w:t>
            </w:r>
          </w:p>
        </w:tc>
      </w:tr>
    </w:tbl>
    <w:p w:rsidR="00A32067" w:rsidRDefault="00A32067">
      <w:pPr>
        <w:widowControl/>
        <w:jc w:val="center"/>
        <w:rPr>
          <w:b/>
          <w:bCs/>
          <w:sz w:val="44"/>
          <w:szCs w:val="44"/>
        </w:rPr>
      </w:pPr>
      <w:r>
        <w:rPr>
          <w:b/>
          <w:bCs/>
          <w:sz w:val="44"/>
          <w:szCs w:val="44"/>
        </w:rPr>
        <w:br w:type="page"/>
      </w:r>
      <w:bookmarkStart w:id="79" w:name="_Toc519872307"/>
      <w:r>
        <w:rPr>
          <w:rFonts w:cs="宋体" w:hint="eastAsia"/>
          <w:b/>
          <w:bCs/>
          <w:sz w:val="44"/>
          <w:szCs w:val="44"/>
        </w:rPr>
        <w:t>河北省财政厅关于征收城市基础设施配套费</w:t>
      </w:r>
      <w:r>
        <w:rPr>
          <w:b/>
          <w:bCs/>
          <w:sz w:val="44"/>
          <w:szCs w:val="44"/>
        </w:rPr>
        <w:br/>
      </w:r>
      <w:r>
        <w:rPr>
          <w:rFonts w:cs="宋体" w:hint="eastAsia"/>
          <w:b/>
          <w:bCs/>
          <w:sz w:val="44"/>
          <w:szCs w:val="44"/>
        </w:rPr>
        <w:t>几个具体事项的通知</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38</w:t>
      </w:r>
      <w:r>
        <w:rPr>
          <w:rFonts w:cs="宋体" w:hint="eastAsia"/>
          <w:color w:val="000000"/>
          <w:sz w:val="22"/>
          <w:szCs w:val="22"/>
        </w:rPr>
        <w:t>号</w:t>
      </w:r>
      <w:bookmarkEnd w:id="79"/>
    </w:p>
    <w:p w:rsidR="00A32067" w:rsidRDefault="00A32067">
      <w:pPr>
        <w:spacing w:line="360" w:lineRule="auto"/>
        <w:rPr>
          <w:spacing w:val="24"/>
          <w:sz w:val="22"/>
          <w:szCs w:val="22"/>
        </w:rPr>
      </w:pPr>
      <w:r>
        <w:rPr>
          <w:rFonts w:cs="宋体" w:hint="eastAsia"/>
          <w:spacing w:val="24"/>
          <w:sz w:val="22"/>
          <w:szCs w:val="22"/>
        </w:rPr>
        <w:t>各设区市（含定州市、辛集市）财政局：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根据《河北省人民政府印发</w:t>
      </w:r>
      <w:r>
        <w:rPr>
          <w:spacing w:val="24"/>
          <w:sz w:val="22"/>
          <w:szCs w:val="22"/>
        </w:rPr>
        <w:t>&lt;</w:t>
      </w:r>
      <w:r>
        <w:rPr>
          <w:rFonts w:cs="宋体" w:hint="eastAsia"/>
          <w:spacing w:val="24"/>
          <w:sz w:val="22"/>
          <w:szCs w:val="22"/>
        </w:rPr>
        <w:t>关于建立健全水价调整补偿机制意见</w:t>
      </w:r>
      <w:r>
        <w:rPr>
          <w:spacing w:val="24"/>
          <w:sz w:val="22"/>
          <w:szCs w:val="22"/>
        </w:rPr>
        <w:t>&gt;</w:t>
      </w:r>
      <w:r>
        <w:rPr>
          <w:rFonts w:cs="宋体" w:hint="eastAsia"/>
          <w:spacing w:val="24"/>
          <w:sz w:val="22"/>
          <w:szCs w:val="22"/>
        </w:rPr>
        <w:t>的通知》（冀政发〔</w:t>
      </w:r>
      <w:r>
        <w:rPr>
          <w:spacing w:val="24"/>
          <w:sz w:val="22"/>
          <w:szCs w:val="22"/>
        </w:rPr>
        <w:t>2016</w:t>
      </w:r>
      <w:r>
        <w:rPr>
          <w:rFonts w:cs="宋体" w:hint="eastAsia"/>
          <w:spacing w:val="24"/>
          <w:sz w:val="22"/>
          <w:szCs w:val="22"/>
        </w:rPr>
        <w:t>〕</w:t>
      </w:r>
      <w:r>
        <w:rPr>
          <w:spacing w:val="24"/>
          <w:sz w:val="22"/>
          <w:szCs w:val="22"/>
        </w:rPr>
        <w:t>51</w:t>
      </w:r>
      <w:r>
        <w:rPr>
          <w:rFonts w:cs="宋体" w:hint="eastAsia"/>
          <w:spacing w:val="24"/>
          <w:sz w:val="22"/>
          <w:szCs w:val="22"/>
        </w:rPr>
        <w:t>号）附件</w:t>
      </w:r>
      <w:r>
        <w:rPr>
          <w:spacing w:val="24"/>
          <w:sz w:val="22"/>
          <w:szCs w:val="22"/>
        </w:rPr>
        <w:t>3</w:t>
      </w:r>
      <w:r>
        <w:rPr>
          <w:rFonts w:cs="宋体" w:hint="eastAsia"/>
          <w:spacing w:val="24"/>
          <w:sz w:val="22"/>
          <w:szCs w:val="22"/>
        </w:rPr>
        <w:t>《关于进一步调整和规范城市基础设施配套费管理的实施意见》，我厅已于</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日前完成了全省城市基础设施配套费（以下简称配套费）标准的批复工作。按照要求，我们对各级落实配套费调整政策落实情况进行了督导检查。现结合督查情况，就征收过程中的几个具体事项通知如下：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建制镇配套费征收标准。批复中已经明确的建制镇配套费征收标准，必须严格执行。批复中未明确配套费征收标准的建制镇，根据所属县（市、区）的住宅项目和非住宅项目征收标准确定：所属县（市、区）征收标准超过</w:t>
      </w:r>
      <w:r>
        <w:rPr>
          <w:spacing w:val="24"/>
          <w:sz w:val="22"/>
          <w:szCs w:val="22"/>
        </w:rPr>
        <w:t>50</w:t>
      </w:r>
      <w:r>
        <w:rPr>
          <w:rFonts w:cs="宋体" w:hint="eastAsia"/>
          <w:spacing w:val="24"/>
          <w:sz w:val="22"/>
          <w:szCs w:val="22"/>
        </w:rPr>
        <w:t>元</w:t>
      </w:r>
      <w:r>
        <w:rPr>
          <w:spacing w:val="24"/>
          <w:sz w:val="22"/>
          <w:szCs w:val="22"/>
        </w:rPr>
        <w:t>/</w:t>
      </w:r>
      <w:r>
        <w:rPr>
          <w:rFonts w:cs="宋体" w:hint="eastAsia"/>
          <w:spacing w:val="24"/>
          <w:sz w:val="22"/>
          <w:szCs w:val="22"/>
        </w:rPr>
        <w:t>平方米的，按照</w:t>
      </w:r>
      <w:r>
        <w:rPr>
          <w:spacing w:val="24"/>
          <w:sz w:val="22"/>
          <w:szCs w:val="22"/>
        </w:rPr>
        <w:t>50</w:t>
      </w:r>
      <w:r>
        <w:rPr>
          <w:rFonts w:cs="宋体" w:hint="eastAsia"/>
          <w:spacing w:val="24"/>
          <w:sz w:val="22"/>
          <w:szCs w:val="22"/>
        </w:rPr>
        <w:t>元</w:t>
      </w:r>
      <w:r>
        <w:rPr>
          <w:spacing w:val="24"/>
          <w:sz w:val="22"/>
          <w:szCs w:val="22"/>
        </w:rPr>
        <w:t>/</w:t>
      </w:r>
      <w:r>
        <w:rPr>
          <w:rFonts w:cs="宋体" w:hint="eastAsia"/>
          <w:spacing w:val="24"/>
          <w:sz w:val="22"/>
          <w:szCs w:val="22"/>
        </w:rPr>
        <w:t>平方米标准征收；所属县（市、区）征收标准未超过</w:t>
      </w:r>
      <w:r>
        <w:rPr>
          <w:spacing w:val="24"/>
          <w:sz w:val="22"/>
          <w:szCs w:val="22"/>
        </w:rPr>
        <w:t>50</w:t>
      </w:r>
      <w:r>
        <w:rPr>
          <w:rFonts w:cs="宋体" w:hint="eastAsia"/>
          <w:spacing w:val="24"/>
          <w:sz w:val="22"/>
          <w:szCs w:val="22"/>
        </w:rPr>
        <w:t>元</w:t>
      </w:r>
      <w:r>
        <w:rPr>
          <w:spacing w:val="24"/>
          <w:sz w:val="22"/>
          <w:szCs w:val="22"/>
        </w:rPr>
        <w:t>/</w:t>
      </w:r>
      <w:r>
        <w:rPr>
          <w:rFonts w:cs="宋体" w:hint="eastAsia"/>
          <w:spacing w:val="24"/>
          <w:sz w:val="22"/>
          <w:szCs w:val="22"/>
        </w:rPr>
        <w:t>平方米的，按照所属县（市、区）的标准征收。因与上述征收标准不一致导致多征的部分，必须予以退回。</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二、征收部门和征收环节。调整配套费管理政策以前，已经对配套费的征收部门和征收环节进行了明确。调整配套费管理政策后，征收部门和征收环节维持不变。相关部门单位要各负其责，不得推诿。</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三、配套费减免政策。对已经列明的配套费减免事项，不用上报审批，直接执行即可。未列明的事项要严格按照程序报批，不得擅自减免。</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四、执行时间。收费行为遵循收付实现制原则，新的配套费标准执行时间严格确定为自</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日起。</w:t>
      </w:r>
    </w:p>
    <w:p w:rsidR="00A32067" w:rsidRDefault="00A32067" w:rsidP="005431C7">
      <w:pPr>
        <w:spacing w:line="360" w:lineRule="auto"/>
        <w:ind w:firstLineChars="225" w:firstLine="31680"/>
        <w:rPr>
          <w:sz w:val="22"/>
          <w:szCs w:val="22"/>
        </w:rPr>
      </w:pPr>
    </w:p>
    <w:p w:rsidR="00A32067" w:rsidRDefault="00A32067">
      <w:pPr>
        <w:spacing w:line="360" w:lineRule="auto"/>
        <w:ind w:right="288"/>
        <w:jc w:val="right"/>
        <w:rPr>
          <w:spacing w:val="24"/>
          <w:sz w:val="22"/>
          <w:szCs w:val="22"/>
        </w:rPr>
      </w:pPr>
      <w:r>
        <w:rPr>
          <w:rFonts w:cs="宋体" w:hint="eastAsia"/>
          <w:spacing w:val="24"/>
          <w:sz w:val="22"/>
          <w:szCs w:val="22"/>
        </w:rPr>
        <w:t>河北省财政厅</w:t>
      </w:r>
    </w:p>
    <w:p w:rsidR="00A32067" w:rsidRDefault="00A32067">
      <w:pPr>
        <w:spacing w:line="360" w:lineRule="auto"/>
        <w:jc w:val="right"/>
        <w:rPr>
          <w:spacing w:val="24"/>
          <w:sz w:val="22"/>
          <w:szCs w:val="22"/>
        </w:rPr>
      </w:pPr>
      <w:r>
        <w:rPr>
          <w:spacing w:val="24"/>
          <w:sz w:val="22"/>
          <w:szCs w:val="22"/>
        </w:rPr>
        <w:t xml:space="preserve">                      2017</w:t>
      </w:r>
      <w:r>
        <w:rPr>
          <w:rFonts w:cs="宋体" w:hint="eastAsia"/>
          <w:spacing w:val="24"/>
          <w:sz w:val="22"/>
          <w:szCs w:val="22"/>
        </w:rPr>
        <w:t>年</w:t>
      </w:r>
      <w:r>
        <w:rPr>
          <w:spacing w:val="24"/>
          <w:sz w:val="22"/>
          <w:szCs w:val="22"/>
        </w:rPr>
        <w:t>5</w:t>
      </w:r>
      <w:r>
        <w:rPr>
          <w:rFonts w:cs="宋体" w:hint="eastAsia"/>
          <w:spacing w:val="24"/>
          <w:sz w:val="22"/>
          <w:szCs w:val="22"/>
        </w:rPr>
        <w:t>月</w:t>
      </w:r>
      <w:r>
        <w:rPr>
          <w:spacing w:val="24"/>
          <w:sz w:val="22"/>
          <w:szCs w:val="22"/>
        </w:rPr>
        <w:t>27</w:t>
      </w:r>
      <w:r>
        <w:rPr>
          <w:rFonts w:cs="宋体" w:hint="eastAsia"/>
          <w:spacing w:val="24"/>
          <w:sz w:val="22"/>
          <w:szCs w:val="22"/>
        </w:rPr>
        <w:t>日</w:t>
      </w:r>
    </w:p>
    <w:p w:rsidR="00A32067" w:rsidRDefault="00A32067">
      <w:pPr>
        <w:spacing w:line="480" w:lineRule="atLeast"/>
        <w:rPr>
          <w:color w:val="000000"/>
        </w:rPr>
      </w:pPr>
    </w:p>
    <w:p w:rsidR="00A32067" w:rsidRDefault="00A32067">
      <w:pPr>
        <w:jc w:val="center"/>
        <w:outlineLvl w:val="0"/>
        <w:rPr>
          <w:b/>
          <w:bCs/>
          <w:sz w:val="44"/>
          <w:szCs w:val="44"/>
        </w:rPr>
      </w:pPr>
    </w:p>
    <w:p w:rsidR="00A32067" w:rsidRDefault="00A32067">
      <w:pPr>
        <w:jc w:val="center"/>
        <w:outlineLvl w:val="0"/>
        <w:rPr>
          <w:b/>
          <w:bCs/>
          <w:sz w:val="44"/>
          <w:szCs w:val="44"/>
        </w:rPr>
      </w:pPr>
    </w:p>
    <w:p w:rsidR="00A32067" w:rsidRDefault="00A32067">
      <w:pPr>
        <w:jc w:val="center"/>
        <w:outlineLvl w:val="0"/>
        <w:rPr>
          <w:b/>
          <w:bCs/>
          <w:sz w:val="44"/>
          <w:szCs w:val="44"/>
        </w:rPr>
      </w:pPr>
    </w:p>
    <w:p w:rsidR="00A32067" w:rsidRDefault="00A32067">
      <w:pPr>
        <w:spacing w:line="360" w:lineRule="auto"/>
        <w:jc w:val="center"/>
        <w:outlineLvl w:val="1"/>
        <w:rPr>
          <w:b/>
          <w:bCs/>
          <w:sz w:val="44"/>
          <w:szCs w:val="44"/>
        </w:rPr>
      </w:pPr>
    </w:p>
    <w:p w:rsidR="00A32067" w:rsidRDefault="00A32067">
      <w:pPr>
        <w:spacing w:line="360" w:lineRule="auto"/>
        <w:jc w:val="center"/>
        <w:outlineLvl w:val="1"/>
        <w:rPr>
          <w:b/>
          <w:bCs/>
          <w:sz w:val="44"/>
          <w:szCs w:val="44"/>
        </w:rPr>
      </w:pPr>
    </w:p>
    <w:p w:rsidR="00A32067" w:rsidRDefault="00A32067">
      <w:pPr>
        <w:spacing w:line="360" w:lineRule="auto"/>
        <w:jc w:val="center"/>
        <w:outlineLvl w:val="2"/>
        <w:rPr>
          <w:b/>
          <w:bCs/>
          <w:sz w:val="44"/>
          <w:szCs w:val="44"/>
        </w:rPr>
      </w:pPr>
      <w:bookmarkStart w:id="80" w:name="_Toc519872308"/>
      <w:r>
        <w:rPr>
          <w:rFonts w:cs="宋体" w:hint="eastAsia"/>
          <w:b/>
          <w:bCs/>
          <w:sz w:val="44"/>
          <w:szCs w:val="44"/>
        </w:rPr>
        <w:t>石家庄市财政局关于调整城市基础设施</w:t>
      </w:r>
      <w:r>
        <w:rPr>
          <w:b/>
          <w:bCs/>
          <w:sz w:val="44"/>
          <w:szCs w:val="44"/>
        </w:rPr>
        <w:br/>
      </w:r>
      <w:r>
        <w:rPr>
          <w:rFonts w:cs="宋体" w:hint="eastAsia"/>
          <w:b/>
          <w:bCs/>
          <w:sz w:val="44"/>
          <w:szCs w:val="44"/>
        </w:rPr>
        <w:t>配套费收费标准的通知</w:t>
      </w:r>
      <w:r>
        <w:rPr>
          <w:b/>
          <w:bCs/>
          <w:sz w:val="44"/>
          <w:szCs w:val="44"/>
        </w:rPr>
        <w:br/>
      </w:r>
      <w:r>
        <w:rPr>
          <w:rFonts w:cs="宋体" w:hint="eastAsia"/>
          <w:color w:val="000000"/>
          <w:sz w:val="22"/>
          <w:szCs w:val="22"/>
        </w:rPr>
        <w:t>石财税〔</w:t>
      </w:r>
      <w:r>
        <w:rPr>
          <w:color w:val="000000"/>
          <w:sz w:val="22"/>
          <w:szCs w:val="22"/>
        </w:rPr>
        <w:t>2017</w:t>
      </w:r>
      <w:r>
        <w:rPr>
          <w:rFonts w:cs="宋体" w:hint="eastAsia"/>
          <w:color w:val="000000"/>
          <w:sz w:val="22"/>
          <w:szCs w:val="22"/>
        </w:rPr>
        <w:t>〕</w:t>
      </w:r>
      <w:r>
        <w:rPr>
          <w:color w:val="000000"/>
          <w:sz w:val="22"/>
          <w:szCs w:val="22"/>
        </w:rPr>
        <w:t>4</w:t>
      </w:r>
      <w:r>
        <w:rPr>
          <w:rFonts w:cs="宋体" w:hint="eastAsia"/>
          <w:color w:val="000000"/>
          <w:sz w:val="22"/>
          <w:szCs w:val="22"/>
        </w:rPr>
        <w:t>号</w:t>
      </w:r>
      <w:bookmarkEnd w:id="80"/>
    </w:p>
    <w:p w:rsidR="00A32067" w:rsidRDefault="00A32067">
      <w:pPr>
        <w:spacing w:line="360" w:lineRule="auto"/>
        <w:rPr>
          <w:spacing w:val="24"/>
          <w:sz w:val="22"/>
          <w:szCs w:val="22"/>
        </w:rPr>
      </w:pPr>
      <w:r>
        <w:rPr>
          <w:rFonts w:cs="宋体" w:hint="eastAsia"/>
          <w:spacing w:val="24"/>
          <w:sz w:val="22"/>
          <w:szCs w:val="22"/>
        </w:rPr>
        <w:t>各县（市）区财政局：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根据河北省财政厅《关于石家庄市城市基础设施配套费收费标准的批复》（冀财税〔</w:t>
      </w:r>
      <w:r>
        <w:rPr>
          <w:spacing w:val="24"/>
          <w:sz w:val="22"/>
          <w:szCs w:val="22"/>
        </w:rPr>
        <w:t>2017</w:t>
      </w:r>
      <w:r>
        <w:rPr>
          <w:rFonts w:cs="宋体" w:hint="eastAsia"/>
          <w:spacing w:val="24"/>
          <w:sz w:val="22"/>
          <w:szCs w:val="22"/>
        </w:rPr>
        <w:t>〕</w:t>
      </w:r>
      <w:r>
        <w:rPr>
          <w:spacing w:val="24"/>
          <w:sz w:val="22"/>
          <w:szCs w:val="22"/>
        </w:rPr>
        <w:t>19</w:t>
      </w:r>
      <w:r>
        <w:rPr>
          <w:rFonts w:cs="宋体" w:hint="eastAsia"/>
          <w:spacing w:val="24"/>
          <w:sz w:val="22"/>
          <w:szCs w:val="22"/>
        </w:rPr>
        <w:t>号），自</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日起，我市城市基础设施配套费（以下简称配套费）执行新的征收标准。现将有关事项通知如下：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一、配套费收费标准含市、县（市）、区、建制镇，具体标准见附件。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二、配套费实行政府性基金管理。配套费收入全额缴入地方国库，纳入地方政府基金预算。在政府收支分类科目中收入列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三、长安区、桥西区、新华区、裕华区范围内建设项目配套费的征收，根据石家庄市人民政府《关于进一步加强和规范城建收费管理工作的通知》（石政发〔</w:t>
      </w:r>
      <w:r>
        <w:rPr>
          <w:spacing w:val="24"/>
          <w:sz w:val="22"/>
          <w:szCs w:val="22"/>
        </w:rPr>
        <w:t>2015</w:t>
      </w:r>
      <w:r>
        <w:rPr>
          <w:rFonts w:cs="宋体" w:hint="eastAsia"/>
          <w:spacing w:val="24"/>
          <w:sz w:val="22"/>
          <w:szCs w:val="22"/>
        </w:rPr>
        <w:t>〕</w:t>
      </w:r>
      <w:r>
        <w:rPr>
          <w:spacing w:val="24"/>
          <w:sz w:val="22"/>
          <w:szCs w:val="22"/>
        </w:rPr>
        <w:t>47</w:t>
      </w:r>
      <w:r>
        <w:rPr>
          <w:rFonts w:cs="宋体" w:hint="eastAsia"/>
          <w:spacing w:val="24"/>
          <w:sz w:val="22"/>
          <w:szCs w:val="22"/>
        </w:rPr>
        <w:t>号）继续由市财政局（非税收入管理局）驻市政务服务中心的窗口征收，缴入市级国库。</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日（含</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日）后核发《建设工程规划许可证》的建设项目，执行新配套费标准。</w:t>
      </w: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31</w:t>
      </w:r>
      <w:r>
        <w:rPr>
          <w:rFonts w:cs="宋体" w:hint="eastAsia"/>
          <w:spacing w:val="24"/>
          <w:sz w:val="22"/>
          <w:szCs w:val="22"/>
        </w:rPr>
        <w:t>日前核发《建设工程规划许可证》的建设项目，执行原配套费标准。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五、调标后的配套费资金增量部分，在水价调整补偿期内用于引江水价补贴、城镇供水管网改造、新建供水设施，做到专款专用。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六、各级执收部门要严格配套费的征收管理，做到应收尽收。不得擅自减免、缓征、停征或取消配套费。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sectPr w:rsidR="00A32067">
          <w:pgSz w:w="11907" w:h="16840"/>
          <w:pgMar w:top="1134" w:right="1077" w:bottom="1134" w:left="1077" w:header="794" w:footer="567" w:gutter="284"/>
          <w:cols w:space="720"/>
          <w:docGrid w:linePitch="312"/>
        </w:sect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rPr>
      </w:pPr>
      <w:r>
        <w:rPr>
          <w:rFonts w:ascii="Times New Roman" w:eastAsia="微软雅黑" w:hAnsi="Times New Roman" w:cs="微软雅黑" w:hint="eastAsia"/>
        </w:rPr>
        <w:t>附件：石家庄市城市基础设施配套费收费标准。</w:t>
      </w:r>
    </w:p>
    <w:p w:rsidR="00A32067" w:rsidRDefault="00A32067">
      <w:pPr>
        <w:spacing w:line="460" w:lineRule="exact"/>
        <w:rPr>
          <w:sz w:val="24"/>
          <w:szCs w:val="24"/>
        </w:rPr>
      </w:pPr>
    </w:p>
    <w:tbl>
      <w:tblPr>
        <w:tblW w:w="9405" w:type="dxa"/>
        <w:tblInd w:w="2" w:type="dxa"/>
        <w:tblLayout w:type="fixed"/>
        <w:tblCellMar>
          <w:left w:w="0" w:type="dxa"/>
          <w:right w:w="0" w:type="dxa"/>
        </w:tblCellMar>
        <w:tblLook w:val="00A0"/>
      </w:tblPr>
      <w:tblGrid>
        <w:gridCol w:w="637"/>
        <w:gridCol w:w="1523"/>
        <w:gridCol w:w="810"/>
        <w:gridCol w:w="141"/>
        <w:gridCol w:w="669"/>
        <w:gridCol w:w="265"/>
        <w:gridCol w:w="545"/>
        <w:gridCol w:w="203"/>
        <w:gridCol w:w="607"/>
        <w:gridCol w:w="330"/>
        <w:gridCol w:w="480"/>
        <w:gridCol w:w="292"/>
        <w:gridCol w:w="518"/>
        <w:gridCol w:w="336"/>
        <w:gridCol w:w="474"/>
        <w:gridCol w:w="810"/>
        <w:gridCol w:w="765"/>
      </w:tblGrid>
      <w:tr w:rsidR="00A32067">
        <w:trPr>
          <w:trHeight w:val="851"/>
        </w:trPr>
        <w:tc>
          <w:tcPr>
            <w:tcW w:w="9405" w:type="dxa"/>
            <w:gridSpan w:val="17"/>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jc w:val="center"/>
              <w:rPr>
                <w:b/>
                <w:bCs/>
                <w:color w:val="000000"/>
                <w:sz w:val="28"/>
                <w:szCs w:val="28"/>
              </w:rPr>
            </w:pPr>
          </w:p>
          <w:p w:rsidR="00A32067" w:rsidRDefault="00A32067">
            <w:pPr>
              <w:spacing w:line="330" w:lineRule="exact"/>
              <w:jc w:val="center"/>
              <w:rPr>
                <w:b/>
                <w:bCs/>
                <w:color w:val="000000"/>
                <w:sz w:val="28"/>
                <w:szCs w:val="28"/>
              </w:rPr>
            </w:pPr>
            <w:r>
              <w:rPr>
                <w:rFonts w:cs="宋体" w:hint="eastAsia"/>
                <w:b/>
                <w:bCs/>
                <w:color w:val="000000"/>
                <w:sz w:val="28"/>
                <w:szCs w:val="28"/>
              </w:rPr>
              <w:t>石家庄市城市基础设施配套费收费标准</w:t>
            </w:r>
          </w:p>
        </w:tc>
      </w:tr>
      <w:tr w:rsidR="00A32067">
        <w:trPr>
          <w:trHeight w:val="360"/>
        </w:trPr>
        <w:tc>
          <w:tcPr>
            <w:tcW w:w="637" w:type="dxa"/>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1523" w:type="dxa"/>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951"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934"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748"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937"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772"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854" w:type="dxa"/>
            <w:gridSpan w:val="2"/>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color w:val="000000"/>
                <w:sz w:val="18"/>
                <w:szCs w:val="18"/>
              </w:rPr>
            </w:pPr>
            <w:r>
              <w:rPr>
                <w:color w:val="000000"/>
                <w:sz w:val="18"/>
                <w:szCs w:val="18"/>
              </w:rPr>
              <w:t> </w:t>
            </w:r>
          </w:p>
        </w:tc>
        <w:tc>
          <w:tcPr>
            <w:tcW w:w="2049" w:type="dxa"/>
            <w:gridSpan w:val="3"/>
            <w:tcBorders>
              <w:top w:val="nil"/>
              <w:left w:val="nil"/>
              <w:bottom w:val="nil"/>
              <w:right w:val="nil"/>
            </w:tcBorders>
            <w:tcMar>
              <w:top w:w="0" w:type="dxa"/>
              <w:left w:w="180" w:type="dxa"/>
              <w:bottom w:w="0" w:type="dxa"/>
              <w:right w:w="180" w:type="dxa"/>
            </w:tcMar>
            <w:vAlign w:val="center"/>
          </w:tcPr>
          <w:p w:rsidR="00A32067" w:rsidRDefault="00A32067">
            <w:pPr>
              <w:spacing w:line="330" w:lineRule="exact"/>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660"/>
        </w:trPr>
        <w:tc>
          <w:tcPr>
            <w:tcW w:w="637" w:type="dxa"/>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序号</w:t>
            </w:r>
          </w:p>
        </w:tc>
        <w:tc>
          <w:tcPr>
            <w:tcW w:w="1523" w:type="dxa"/>
            <w:vMerge w:val="restart"/>
            <w:tcBorders>
              <w:top w:val="single" w:sz="4" w:space="0" w:color="auto"/>
              <w:left w:val="single" w:sz="4" w:space="0" w:color="auto"/>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地区</w:t>
            </w:r>
          </w:p>
        </w:tc>
        <w:tc>
          <w:tcPr>
            <w:tcW w:w="6480" w:type="dxa"/>
            <w:gridSpan w:val="14"/>
            <w:tcBorders>
              <w:top w:val="single" w:sz="4" w:space="0" w:color="auto"/>
              <w:left w:val="single" w:sz="8" w:space="0" w:color="auto"/>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配套费执行标准</w:t>
            </w:r>
          </w:p>
        </w:tc>
        <w:tc>
          <w:tcPr>
            <w:tcW w:w="765" w:type="dxa"/>
            <w:vMerge w:val="restart"/>
            <w:tcBorders>
              <w:top w:val="single" w:sz="4" w:space="0" w:color="auto"/>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备注</w:t>
            </w:r>
          </w:p>
        </w:tc>
      </w:tr>
      <w:tr w:rsidR="00A32067">
        <w:trPr>
          <w:trHeight w:val="660"/>
        </w:trPr>
        <w:tc>
          <w:tcPr>
            <w:tcW w:w="637"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c>
          <w:tcPr>
            <w:tcW w:w="1523" w:type="dxa"/>
            <w:vMerge/>
            <w:tcBorders>
              <w:top w:val="single" w:sz="4" w:space="0" w:color="auto"/>
              <w:left w:val="single" w:sz="4" w:space="0" w:color="auto"/>
              <w:bottom w:val="single" w:sz="4" w:space="0" w:color="auto"/>
              <w:right w:val="nil"/>
            </w:tcBorders>
            <w:vAlign w:val="center"/>
          </w:tcPr>
          <w:p w:rsidR="00A32067" w:rsidRDefault="00A32067">
            <w:pPr>
              <w:rPr>
                <w:color w:val="000000"/>
              </w:rPr>
            </w:pPr>
          </w:p>
        </w:tc>
        <w:tc>
          <w:tcPr>
            <w:tcW w:w="1620" w:type="dxa"/>
            <w:gridSpan w:val="3"/>
            <w:tcBorders>
              <w:top w:val="single" w:sz="4" w:space="0" w:color="auto"/>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设区市</w:t>
            </w:r>
          </w:p>
        </w:tc>
        <w:tc>
          <w:tcPr>
            <w:tcW w:w="1620" w:type="dxa"/>
            <w:gridSpan w:val="4"/>
            <w:tcBorders>
              <w:top w:val="single" w:sz="4" w:space="0" w:color="auto"/>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县级市</w:t>
            </w:r>
          </w:p>
        </w:tc>
        <w:tc>
          <w:tcPr>
            <w:tcW w:w="1620" w:type="dxa"/>
            <w:gridSpan w:val="4"/>
            <w:tcBorders>
              <w:top w:val="single" w:sz="4" w:space="0" w:color="auto"/>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县城</w:t>
            </w:r>
          </w:p>
        </w:tc>
        <w:tc>
          <w:tcPr>
            <w:tcW w:w="1620" w:type="dxa"/>
            <w:gridSpan w:val="3"/>
            <w:tcBorders>
              <w:top w:val="single" w:sz="4" w:space="0" w:color="auto"/>
              <w:left w:val="nil"/>
              <w:bottom w:val="single" w:sz="4" w:space="0" w:color="auto"/>
              <w:right w:val="single" w:sz="8" w:space="0" w:color="000000"/>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建制镇</w:t>
            </w:r>
          </w:p>
        </w:tc>
        <w:tc>
          <w:tcPr>
            <w:tcW w:w="765" w:type="dxa"/>
            <w:vMerge/>
            <w:tcBorders>
              <w:top w:val="single" w:sz="4" w:space="0" w:color="auto"/>
              <w:left w:val="nil"/>
              <w:bottom w:val="single" w:sz="4" w:space="0" w:color="auto"/>
              <w:right w:val="single" w:sz="4" w:space="0" w:color="auto"/>
            </w:tcBorders>
            <w:vAlign w:val="center"/>
          </w:tcPr>
          <w:p w:rsidR="00A32067" w:rsidRDefault="00A32067">
            <w:pPr>
              <w:rPr>
                <w:color w:val="000000"/>
              </w:rPr>
            </w:pPr>
          </w:p>
        </w:tc>
      </w:tr>
      <w:tr w:rsidR="00A32067">
        <w:trPr>
          <w:trHeight w:val="660"/>
        </w:trPr>
        <w:tc>
          <w:tcPr>
            <w:tcW w:w="637"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c>
          <w:tcPr>
            <w:tcW w:w="1523" w:type="dxa"/>
            <w:vMerge/>
            <w:tcBorders>
              <w:top w:val="single" w:sz="4" w:space="0" w:color="auto"/>
              <w:left w:val="single" w:sz="4" w:space="0" w:color="auto"/>
              <w:bottom w:val="single" w:sz="4" w:space="0" w:color="auto"/>
              <w:right w:val="nil"/>
            </w:tcBorders>
            <w:vAlign w:val="center"/>
          </w:tcPr>
          <w:p w:rsidR="00A32067" w:rsidRDefault="00A32067">
            <w:pPr>
              <w:rPr>
                <w:color w:val="000000"/>
              </w:rPr>
            </w:pP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非住宅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非住宅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非住宅</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住宅</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非住宅</w:t>
            </w:r>
          </w:p>
        </w:tc>
        <w:tc>
          <w:tcPr>
            <w:tcW w:w="765" w:type="dxa"/>
            <w:vMerge/>
            <w:tcBorders>
              <w:top w:val="single" w:sz="4" w:space="0" w:color="auto"/>
              <w:left w:val="nil"/>
              <w:bottom w:val="single" w:sz="4" w:space="0" w:color="auto"/>
              <w:right w:val="single" w:sz="4" w:space="0" w:color="auto"/>
            </w:tcBorders>
            <w:vAlign w:val="center"/>
          </w:tcPr>
          <w:p w:rsidR="00A32067" w:rsidRDefault="00A32067">
            <w:pPr>
              <w:rPr>
                <w:color w:val="000000"/>
              </w:rPr>
            </w:pPr>
          </w:p>
        </w:tc>
      </w:tr>
      <w:tr w:rsidR="00A32067">
        <w:trPr>
          <w:trHeight w:hRule="exact" w:val="1251"/>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市区（含新三区一县、循环化工园区）</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178</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158</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井陉矿区</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35</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25</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70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新乐市</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100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晋州市</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100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高邑县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赞皇县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元氏县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赵县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9</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深泽县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10</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无极县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80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60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40</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30</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11</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井陉县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35</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25</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12</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行唐县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35</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25</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13</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灵寿县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35</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25</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r w:rsidR="00A32067">
        <w:trPr>
          <w:trHeight w:val="660"/>
        </w:trPr>
        <w:tc>
          <w:tcPr>
            <w:tcW w:w="637" w:type="dxa"/>
            <w:tcBorders>
              <w:top w:val="nil"/>
              <w:left w:val="single" w:sz="4"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14</w:t>
            </w:r>
          </w:p>
        </w:tc>
        <w:tc>
          <w:tcPr>
            <w:tcW w:w="1523" w:type="dxa"/>
            <w:tcBorders>
              <w:top w:val="nil"/>
              <w:left w:val="nil"/>
              <w:bottom w:val="single" w:sz="4" w:space="0" w:color="auto"/>
              <w:right w:val="nil"/>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平山县</w:t>
            </w:r>
          </w:p>
        </w:tc>
        <w:tc>
          <w:tcPr>
            <w:tcW w:w="810" w:type="dxa"/>
            <w:tcBorders>
              <w:top w:val="nil"/>
              <w:left w:val="single" w:sz="8" w:space="0" w:color="auto"/>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70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50</w:t>
            </w:r>
          </w:p>
        </w:tc>
        <w:tc>
          <w:tcPr>
            <w:tcW w:w="810" w:type="dxa"/>
            <w:gridSpan w:val="2"/>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35</w:t>
            </w:r>
          </w:p>
        </w:tc>
        <w:tc>
          <w:tcPr>
            <w:tcW w:w="810" w:type="dxa"/>
            <w:tcBorders>
              <w:top w:val="nil"/>
              <w:left w:val="nil"/>
              <w:bottom w:val="single" w:sz="4" w:space="0" w:color="auto"/>
              <w:right w:val="single" w:sz="8"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color w:val="000000"/>
              </w:rPr>
              <w:t>25</w:t>
            </w:r>
          </w:p>
        </w:tc>
        <w:tc>
          <w:tcPr>
            <w:tcW w:w="765" w:type="dxa"/>
            <w:tcBorders>
              <w:top w:val="nil"/>
              <w:left w:val="nil"/>
              <w:bottom w:val="single" w:sz="4" w:space="0" w:color="auto"/>
              <w:right w:val="single" w:sz="4" w:space="0" w:color="auto"/>
            </w:tcBorders>
            <w:tcMar>
              <w:top w:w="0" w:type="dxa"/>
              <w:left w:w="180" w:type="dxa"/>
              <w:bottom w:w="0" w:type="dxa"/>
              <w:right w:w="180" w:type="dxa"/>
            </w:tcMar>
            <w:vAlign w:val="center"/>
          </w:tcPr>
          <w:p w:rsidR="00A32067" w:rsidRDefault="00A32067">
            <w:pPr>
              <w:spacing w:line="330" w:lineRule="exact"/>
              <w:jc w:val="center"/>
              <w:rPr>
                <w:color w:val="000000"/>
              </w:rPr>
            </w:pPr>
            <w:r>
              <w:rPr>
                <w:rFonts w:cs="宋体" w:hint="eastAsia"/>
                <w:color w:val="000000"/>
              </w:rPr>
              <w:t xml:space="preserve">　</w:t>
            </w:r>
          </w:p>
        </w:tc>
      </w:tr>
    </w:tbl>
    <w:p w:rsidR="00A32067" w:rsidRDefault="00A32067">
      <w:pPr>
        <w:spacing w:line="360" w:lineRule="auto"/>
        <w:jc w:val="center"/>
        <w:outlineLvl w:val="2"/>
        <w:rPr>
          <w:b/>
          <w:bCs/>
          <w:sz w:val="44"/>
          <w:szCs w:val="44"/>
        </w:rPr>
      </w:pPr>
      <w:bookmarkStart w:id="81" w:name="_Toc519872309"/>
      <w:r>
        <w:rPr>
          <w:rFonts w:cs="宋体" w:hint="eastAsia"/>
          <w:b/>
          <w:bCs/>
          <w:sz w:val="44"/>
          <w:szCs w:val="44"/>
        </w:rPr>
        <w:t>河北省财政厅关于唐山市城市基础设施</w:t>
      </w:r>
      <w:r>
        <w:rPr>
          <w:b/>
          <w:bCs/>
          <w:sz w:val="44"/>
          <w:szCs w:val="44"/>
        </w:rPr>
        <w:br/>
      </w:r>
      <w:r>
        <w:rPr>
          <w:rFonts w:cs="宋体" w:hint="eastAsia"/>
          <w:b/>
          <w:bCs/>
          <w:sz w:val="44"/>
          <w:szCs w:val="44"/>
        </w:rPr>
        <w:t>配套费收费标准的批复</w:t>
      </w:r>
      <w:r>
        <w:rPr>
          <w:b/>
          <w:bCs/>
          <w:sz w:val="44"/>
          <w:szCs w:val="44"/>
        </w:rPr>
        <w:br/>
      </w:r>
      <w:r>
        <w:rPr>
          <w:color w:val="000000"/>
          <w:sz w:val="22"/>
          <w:szCs w:val="22"/>
        </w:rPr>
        <w:t>(</w:t>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16</w:t>
      </w:r>
      <w:r>
        <w:rPr>
          <w:rFonts w:cs="宋体" w:hint="eastAsia"/>
          <w:color w:val="000000"/>
          <w:sz w:val="22"/>
          <w:szCs w:val="22"/>
        </w:rPr>
        <w:t>号</w:t>
      </w:r>
      <w:r>
        <w:rPr>
          <w:color w:val="000000"/>
          <w:sz w:val="22"/>
          <w:szCs w:val="22"/>
        </w:rPr>
        <w:t>)</w:t>
      </w:r>
      <w:bookmarkEnd w:id="81"/>
    </w:p>
    <w:p w:rsidR="00A32067" w:rsidRDefault="00A32067">
      <w:pPr>
        <w:spacing w:line="360" w:lineRule="auto"/>
        <w:rPr>
          <w:spacing w:val="24"/>
          <w:sz w:val="22"/>
          <w:szCs w:val="22"/>
        </w:rPr>
      </w:pPr>
      <w:r>
        <w:rPr>
          <w:rFonts w:cs="宋体" w:hint="eastAsia"/>
          <w:spacing w:val="24"/>
          <w:sz w:val="22"/>
          <w:szCs w:val="22"/>
        </w:rPr>
        <w:t>唐山市财政局：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你市《关于调整全市城市基础设施配套费收费标准的请示》</w:t>
      </w:r>
      <w:r>
        <w:rPr>
          <w:spacing w:val="24"/>
          <w:sz w:val="22"/>
          <w:szCs w:val="22"/>
        </w:rPr>
        <w:t>(</w:t>
      </w:r>
      <w:r>
        <w:rPr>
          <w:rFonts w:cs="宋体" w:hint="eastAsia"/>
          <w:spacing w:val="24"/>
          <w:sz w:val="22"/>
          <w:szCs w:val="22"/>
        </w:rPr>
        <w:t>唐财</w:t>
      </w:r>
      <w:r>
        <w:rPr>
          <w:spacing w:val="24"/>
          <w:sz w:val="22"/>
          <w:szCs w:val="22"/>
        </w:rPr>
        <w:t>[2017]4</w:t>
      </w:r>
      <w:r>
        <w:rPr>
          <w:rFonts w:cs="宋体" w:hint="eastAsia"/>
          <w:spacing w:val="24"/>
          <w:sz w:val="22"/>
          <w:szCs w:val="22"/>
        </w:rPr>
        <w:t>号</w:t>
      </w:r>
      <w:r>
        <w:rPr>
          <w:spacing w:val="24"/>
          <w:sz w:val="22"/>
          <w:szCs w:val="22"/>
        </w:rPr>
        <w:t>)</w:t>
      </w:r>
      <w:r>
        <w:rPr>
          <w:rFonts w:cs="宋体" w:hint="eastAsia"/>
          <w:spacing w:val="24"/>
          <w:sz w:val="22"/>
          <w:szCs w:val="22"/>
        </w:rPr>
        <w:t>收悉，经认真研究并报请省政府批准，现对你市</w:t>
      </w:r>
      <w:r>
        <w:rPr>
          <w:spacing w:val="24"/>
          <w:sz w:val="22"/>
          <w:szCs w:val="22"/>
        </w:rPr>
        <w:t>(</w:t>
      </w:r>
      <w:r>
        <w:rPr>
          <w:rFonts w:cs="宋体" w:hint="eastAsia"/>
          <w:spacing w:val="24"/>
          <w:sz w:val="22"/>
          <w:szCs w:val="22"/>
        </w:rPr>
        <w:t>含市、区、县</w:t>
      </w:r>
      <w:r>
        <w:rPr>
          <w:spacing w:val="24"/>
          <w:sz w:val="22"/>
          <w:szCs w:val="22"/>
        </w:rPr>
        <w:t>)</w:t>
      </w:r>
      <w:r>
        <w:rPr>
          <w:rFonts w:cs="宋体" w:hint="eastAsia"/>
          <w:spacing w:val="24"/>
          <w:sz w:val="22"/>
          <w:szCs w:val="22"/>
        </w:rPr>
        <w:t>申请调整城市基础设施配套费</w:t>
      </w:r>
      <w:r>
        <w:rPr>
          <w:spacing w:val="24"/>
          <w:sz w:val="22"/>
          <w:szCs w:val="22"/>
        </w:rPr>
        <w:t>(</w:t>
      </w:r>
      <w:r>
        <w:rPr>
          <w:rFonts w:cs="宋体" w:hint="eastAsia"/>
          <w:spacing w:val="24"/>
          <w:sz w:val="22"/>
          <w:szCs w:val="22"/>
        </w:rPr>
        <w:t>以下简称配套费</w:t>
      </w:r>
      <w:r>
        <w:rPr>
          <w:spacing w:val="24"/>
          <w:sz w:val="22"/>
          <w:szCs w:val="22"/>
        </w:rPr>
        <w:t>)</w:t>
      </w:r>
      <w:r>
        <w:rPr>
          <w:rFonts w:cs="宋体" w:hint="eastAsia"/>
          <w:spacing w:val="24"/>
          <w:sz w:val="22"/>
          <w:szCs w:val="22"/>
        </w:rPr>
        <w:t>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w:t>
      </w:r>
      <w:r>
        <w:rPr>
          <w:spacing w:val="24"/>
          <w:sz w:val="22"/>
          <w:szCs w:val="22"/>
        </w:rPr>
        <w:t>(</w:t>
      </w:r>
      <w:r>
        <w:rPr>
          <w:rFonts w:cs="宋体" w:hint="eastAsia"/>
          <w:spacing w:val="24"/>
          <w:sz w:val="22"/>
          <w:szCs w:val="22"/>
        </w:rPr>
        <w:t>市</w:t>
      </w:r>
      <w:r>
        <w:rPr>
          <w:spacing w:val="24"/>
          <w:sz w:val="22"/>
          <w:szCs w:val="22"/>
        </w:rPr>
        <w:t>)</w:t>
      </w:r>
      <w:r>
        <w:rPr>
          <w:rFonts w:cs="宋体" w:hint="eastAsia"/>
          <w:spacing w:val="24"/>
          <w:sz w:val="22"/>
          <w:szCs w:val="22"/>
        </w:rPr>
        <w:t>、区、建制镇，具体标准见附件。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三、配套费实行政府性基金管理。县级</w:t>
      </w:r>
      <w:r>
        <w:rPr>
          <w:spacing w:val="24"/>
          <w:sz w:val="22"/>
          <w:szCs w:val="22"/>
        </w:rPr>
        <w:t>(</w:t>
      </w:r>
      <w:r>
        <w:rPr>
          <w:rFonts w:cs="宋体" w:hint="eastAsia"/>
          <w:spacing w:val="24"/>
          <w:sz w:val="22"/>
          <w:szCs w:val="22"/>
        </w:rPr>
        <w:t>含县级</w:t>
      </w:r>
      <w:r>
        <w:rPr>
          <w:spacing w:val="24"/>
          <w:sz w:val="22"/>
          <w:szCs w:val="22"/>
        </w:rPr>
        <w:t>)</w:t>
      </w:r>
      <w:r>
        <w:rPr>
          <w:rFonts w:cs="宋体" w:hint="eastAsia"/>
          <w:spacing w:val="24"/>
          <w:sz w:val="22"/>
          <w:szCs w:val="22"/>
        </w:rPr>
        <w:t>以上政府住房和城乡建设行政主管部门为配套费执收单位，使用财政票据，将收入全额缴入地方国库，纳入地方政府基金预算。在政府收支分类科目中收入列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附件：唐山市城市基础设施配套费收费标准。</w:t>
      </w:r>
    </w:p>
    <w:p w:rsidR="00A32067" w:rsidRDefault="00A32067">
      <w:pPr>
        <w:spacing w:before="100" w:beforeAutospacing="1" w:after="100" w:afterAutospacing="1" w:line="360" w:lineRule="auto"/>
        <w:jc w:val="right"/>
        <w:rPr>
          <w:sz w:val="24"/>
          <w:szCs w:val="24"/>
        </w:rPr>
      </w:pPr>
      <w:r>
        <w:rPr>
          <w:rFonts w:cs="宋体" w:hint="eastAsia"/>
          <w:spacing w:val="24"/>
        </w:rPr>
        <w:t xml:space="preserve">　　</w:t>
      </w:r>
      <w:r>
        <w:rPr>
          <w:rFonts w:cs="宋体" w:hint="eastAsia"/>
          <w:sz w:val="24"/>
          <w:szCs w:val="24"/>
        </w:rPr>
        <w:t>河北省财政厅</w:t>
      </w:r>
    </w:p>
    <w:p w:rsidR="00A32067" w:rsidRDefault="00A32067">
      <w:pPr>
        <w:spacing w:before="100" w:beforeAutospacing="1" w:after="100" w:afterAutospacing="1" w:line="360" w:lineRule="auto"/>
        <w:jc w:val="right"/>
        <w:rPr>
          <w:sz w:val="24"/>
          <w:szCs w:val="24"/>
        </w:rPr>
      </w:pPr>
      <w:r>
        <w:rPr>
          <w:rFonts w:cs="宋体" w:hint="eastAsia"/>
          <w:sz w:val="24"/>
          <w:szCs w:val="24"/>
        </w:rPr>
        <w:t xml:space="preserve">　　</w:t>
      </w:r>
      <w:r>
        <w:rPr>
          <w:sz w:val="24"/>
          <w:szCs w:val="24"/>
        </w:rPr>
        <w:t>2017</w:t>
      </w:r>
      <w:r>
        <w:rPr>
          <w:rFonts w:cs="宋体" w:hint="eastAsia"/>
          <w:sz w:val="24"/>
          <w:szCs w:val="24"/>
        </w:rPr>
        <w:t>年</w:t>
      </w:r>
      <w:r>
        <w:rPr>
          <w:sz w:val="24"/>
          <w:szCs w:val="24"/>
        </w:rPr>
        <w:t>3</w:t>
      </w:r>
      <w:r>
        <w:rPr>
          <w:rFonts w:cs="宋体" w:hint="eastAsia"/>
          <w:sz w:val="24"/>
          <w:szCs w:val="24"/>
        </w:rPr>
        <w:t>月</w:t>
      </w:r>
      <w:r>
        <w:rPr>
          <w:sz w:val="24"/>
          <w:szCs w:val="24"/>
        </w:rPr>
        <w:t>21</w:t>
      </w:r>
      <w:r>
        <w:rPr>
          <w:rFonts w:cs="宋体" w:hint="eastAsia"/>
          <w:sz w:val="24"/>
          <w:szCs w:val="24"/>
        </w:rPr>
        <w:t>日</w:t>
      </w:r>
    </w:p>
    <w:p w:rsidR="00A32067" w:rsidRDefault="00A32067">
      <w:pPr>
        <w:spacing w:before="100" w:beforeAutospacing="1" w:after="100" w:afterAutospacing="1" w:line="360" w:lineRule="auto"/>
        <w:jc w:val="right"/>
        <w:rPr>
          <w:sz w:val="24"/>
          <w:szCs w:val="24"/>
        </w:rPr>
      </w:pPr>
    </w:p>
    <w:p w:rsidR="00A32067" w:rsidRDefault="00A32067">
      <w:pPr>
        <w:spacing w:before="100" w:beforeAutospacing="1" w:after="100" w:afterAutospacing="1" w:line="360" w:lineRule="auto"/>
        <w:jc w:val="right"/>
        <w:rPr>
          <w:sz w:val="24"/>
          <w:szCs w:val="24"/>
        </w:rPr>
      </w:pPr>
    </w:p>
    <w:p w:rsidR="00A32067" w:rsidRDefault="00A32067">
      <w:pPr>
        <w:spacing w:before="100" w:beforeAutospacing="1" w:after="100" w:afterAutospacing="1" w:line="360" w:lineRule="auto"/>
        <w:jc w:val="right"/>
        <w:rPr>
          <w:sz w:val="24"/>
          <w:szCs w:val="24"/>
        </w:rPr>
      </w:pPr>
    </w:p>
    <w:p w:rsidR="00A32067" w:rsidRDefault="00A32067">
      <w:pPr>
        <w:spacing w:before="100" w:beforeAutospacing="1" w:after="100" w:afterAutospacing="1" w:line="360" w:lineRule="auto"/>
        <w:jc w:val="left"/>
        <w:rPr>
          <w:color w:val="000000"/>
          <w:sz w:val="24"/>
          <w:szCs w:val="24"/>
        </w:rPr>
        <w:sectPr w:rsidR="00A32067">
          <w:pgSz w:w="11907" w:h="16840"/>
          <w:pgMar w:top="1134" w:right="1077" w:bottom="1134" w:left="1077" w:header="794" w:footer="567" w:gutter="284"/>
          <w:cols w:space="720"/>
          <w:docGrid w:linePitch="312"/>
        </w:sectPr>
      </w:pPr>
    </w:p>
    <w:tbl>
      <w:tblPr>
        <w:tblW w:w="9526" w:type="dxa"/>
        <w:jc w:val="center"/>
        <w:tblLayout w:type="fixed"/>
        <w:tblLook w:val="00A0"/>
      </w:tblPr>
      <w:tblGrid>
        <w:gridCol w:w="709"/>
        <w:gridCol w:w="1399"/>
        <w:gridCol w:w="832"/>
        <w:gridCol w:w="75"/>
        <w:gridCol w:w="758"/>
        <w:gridCol w:w="60"/>
        <w:gridCol w:w="772"/>
        <w:gridCol w:w="52"/>
        <w:gridCol w:w="781"/>
        <w:gridCol w:w="42"/>
        <w:gridCol w:w="790"/>
        <w:gridCol w:w="34"/>
        <w:gridCol w:w="799"/>
        <w:gridCol w:w="23"/>
        <w:gridCol w:w="809"/>
        <w:gridCol w:w="839"/>
        <w:gridCol w:w="752"/>
      </w:tblGrid>
      <w:tr w:rsidR="00A32067">
        <w:trPr>
          <w:trHeight w:val="420"/>
          <w:jc w:val="center"/>
        </w:trPr>
        <w:tc>
          <w:tcPr>
            <w:tcW w:w="9526" w:type="dxa"/>
            <w:gridSpan w:val="17"/>
            <w:tcBorders>
              <w:top w:val="nil"/>
              <w:left w:val="nil"/>
              <w:bottom w:val="nil"/>
              <w:right w:val="nil"/>
            </w:tcBorders>
          </w:tcPr>
          <w:p w:rsidR="00A32067" w:rsidRDefault="00A32067">
            <w:pPr>
              <w:spacing w:before="100" w:beforeAutospacing="1" w:after="100" w:afterAutospacing="1" w:line="360" w:lineRule="auto"/>
              <w:jc w:val="left"/>
              <w:rPr>
                <w:b/>
                <w:bCs/>
                <w:color w:val="000000"/>
                <w:sz w:val="28"/>
                <w:szCs w:val="28"/>
              </w:rPr>
            </w:pPr>
            <w:r>
              <w:rPr>
                <w:rFonts w:cs="宋体" w:hint="eastAsia"/>
                <w:color w:val="000000"/>
                <w:sz w:val="24"/>
                <w:szCs w:val="24"/>
              </w:rPr>
              <w:t>附件：</w:t>
            </w:r>
          </w:p>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唐山市城市基础设施配套费收费标准</w:t>
            </w:r>
          </w:p>
        </w:tc>
      </w:tr>
      <w:tr w:rsidR="00A32067">
        <w:trPr>
          <w:trHeight w:val="330"/>
          <w:jc w:val="center"/>
        </w:trPr>
        <w:tc>
          <w:tcPr>
            <w:tcW w:w="709" w:type="dxa"/>
            <w:tcBorders>
              <w:top w:val="nil"/>
              <w:left w:val="nil"/>
              <w:bottom w:val="nil"/>
              <w:right w:val="nil"/>
            </w:tcBorders>
          </w:tcPr>
          <w:p w:rsidR="00A32067" w:rsidRDefault="00A32067" w:rsidP="00A32067">
            <w:pPr>
              <w:ind w:firstLineChars="100" w:firstLine="31680"/>
              <w:rPr>
                <w:color w:val="000000"/>
                <w:sz w:val="18"/>
                <w:szCs w:val="18"/>
              </w:rPr>
            </w:pPr>
          </w:p>
        </w:tc>
        <w:tc>
          <w:tcPr>
            <w:tcW w:w="1399" w:type="dxa"/>
            <w:tcBorders>
              <w:top w:val="nil"/>
              <w:left w:val="nil"/>
              <w:bottom w:val="nil"/>
              <w:right w:val="nil"/>
            </w:tcBorders>
          </w:tcPr>
          <w:p w:rsidR="00A32067" w:rsidRDefault="00A32067" w:rsidP="00A32067">
            <w:pPr>
              <w:ind w:firstLineChars="100" w:firstLine="31680"/>
              <w:rPr>
                <w:color w:val="000000"/>
                <w:sz w:val="18"/>
                <w:szCs w:val="18"/>
              </w:rPr>
            </w:pPr>
          </w:p>
        </w:tc>
        <w:tc>
          <w:tcPr>
            <w:tcW w:w="907" w:type="dxa"/>
            <w:gridSpan w:val="2"/>
            <w:tcBorders>
              <w:top w:val="nil"/>
              <w:left w:val="nil"/>
              <w:bottom w:val="single" w:sz="8" w:space="0" w:color="auto"/>
              <w:right w:val="nil"/>
            </w:tcBorders>
          </w:tcPr>
          <w:p w:rsidR="00A32067" w:rsidRDefault="00A32067" w:rsidP="00A32067">
            <w:pPr>
              <w:ind w:firstLineChars="100" w:firstLine="31680"/>
              <w:rPr>
                <w:color w:val="000000"/>
                <w:sz w:val="18"/>
                <w:szCs w:val="18"/>
              </w:rPr>
            </w:pPr>
            <w:r>
              <w:rPr>
                <w:rFonts w:cs="宋体" w:hint="eastAsia"/>
                <w:color w:val="000000"/>
                <w:sz w:val="18"/>
                <w:szCs w:val="18"/>
              </w:rPr>
              <w:t xml:space="preserve">　</w:t>
            </w:r>
          </w:p>
        </w:tc>
        <w:tc>
          <w:tcPr>
            <w:tcW w:w="818" w:type="dxa"/>
            <w:gridSpan w:val="2"/>
            <w:tcBorders>
              <w:top w:val="nil"/>
              <w:left w:val="nil"/>
              <w:bottom w:val="nil"/>
              <w:right w:val="nil"/>
            </w:tcBorders>
          </w:tcPr>
          <w:p w:rsidR="00A32067" w:rsidRDefault="00A32067" w:rsidP="00A32067">
            <w:pPr>
              <w:ind w:firstLineChars="100" w:firstLine="31680"/>
              <w:rPr>
                <w:color w:val="000000"/>
                <w:sz w:val="18"/>
                <w:szCs w:val="18"/>
              </w:rPr>
            </w:pPr>
          </w:p>
        </w:tc>
        <w:tc>
          <w:tcPr>
            <w:tcW w:w="824" w:type="dxa"/>
            <w:gridSpan w:val="2"/>
            <w:tcBorders>
              <w:top w:val="nil"/>
              <w:left w:val="nil"/>
              <w:bottom w:val="nil"/>
              <w:right w:val="nil"/>
            </w:tcBorders>
          </w:tcPr>
          <w:p w:rsidR="00A32067" w:rsidRDefault="00A32067" w:rsidP="00A32067">
            <w:pPr>
              <w:ind w:firstLineChars="100" w:firstLine="31680"/>
              <w:rPr>
                <w:color w:val="000000"/>
                <w:sz w:val="18"/>
                <w:szCs w:val="18"/>
              </w:rPr>
            </w:pPr>
          </w:p>
        </w:tc>
        <w:tc>
          <w:tcPr>
            <w:tcW w:w="823" w:type="dxa"/>
            <w:gridSpan w:val="2"/>
            <w:tcBorders>
              <w:top w:val="nil"/>
              <w:left w:val="nil"/>
              <w:bottom w:val="nil"/>
              <w:right w:val="nil"/>
            </w:tcBorders>
          </w:tcPr>
          <w:p w:rsidR="00A32067" w:rsidRDefault="00A32067" w:rsidP="00A32067">
            <w:pPr>
              <w:ind w:firstLineChars="100" w:firstLine="31680"/>
              <w:rPr>
                <w:color w:val="000000"/>
                <w:sz w:val="18"/>
                <w:szCs w:val="18"/>
              </w:rPr>
            </w:pPr>
          </w:p>
        </w:tc>
        <w:tc>
          <w:tcPr>
            <w:tcW w:w="824" w:type="dxa"/>
            <w:gridSpan w:val="2"/>
            <w:tcBorders>
              <w:top w:val="nil"/>
              <w:left w:val="nil"/>
              <w:bottom w:val="nil"/>
              <w:right w:val="nil"/>
            </w:tcBorders>
          </w:tcPr>
          <w:p w:rsidR="00A32067" w:rsidRDefault="00A32067" w:rsidP="00A32067">
            <w:pPr>
              <w:ind w:firstLineChars="100" w:firstLine="31680"/>
              <w:rPr>
                <w:color w:val="000000"/>
                <w:sz w:val="18"/>
                <w:szCs w:val="18"/>
              </w:rPr>
            </w:pPr>
          </w:p>
        </w:tc>
        <w:tc>
          <w:tcPr>
            <w:tcW w:w="822" w:type="dxa"/>
            <w:gridSpan w:val="2"/>
            <w:tcBorders>
              <w:top w:val="nil"/>
              <w:left w:val="nil"/>
              <w:bottom w:val="nil"/>
              <w:right w:val="nil"/>
            </w:tcBorders>
          </w:tcPr>
          <w:p w:rsidR="00A32067" w:rsidRDefault="00A32067" w:rsidP="00A32067">
            <w:pPr>
              <w:ind w:firstLineChars="100" w:firstLine="31680"/>
              <w:rPr>
                <w:color w:val="000000"/>
                <w:sz w:val="18"/>
                <w:szCs w:val="18"/>
              </w:rPr>
            </w:pPr>
          </w:p>
        </w:tc>
        <w:tc>
          <w:tcPr>
            <w:tcW w:w="2400" w:type="dxa"/>
            <w:gridSpan w:val="3"/>
            <w:tcBorders>
              <w:top w:val="nil"/>
              <w:left w:val="nil"/>
              <w:bottom w:val="single" w:sz="8" w:space="0" w:color="auto"/>
              <w:right w:val="nil"/>
            </w:tcBorders>
          </w:tcPr>
          <w:p w:rsidR="00A32067" w:rsidRDefault="00A32067" w:rsidP="00A32067">
            <w:pPr>
              <w:ind w:firstLineChars="100" w:firstLine="31680"/>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360"/>
          <w:jc w:val="center"/>
        </w:trPr>
        <w:tc>
          <w:tcPr>
            <w:tcW w:w="709" w:type="dxa"/>
            <w:vMerge w:val="restart"/>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r>
              <w:rPr>
                <w:rFonts w:cs="宋体" w:hint="eastAsia"/>
                <w:color w:val="000000"/>
              </w:rPr>
              <w:t>序号</w:t>
            </w:r>
          </w:p>
        </w:tc>
        <w:tc>
          <w:tcPr>
            <w:tcW w:w="1399" w:type="dxa"/>
            <w:vMerge w:val="restart"/>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r>
              <w:rPr>
                <w:rFonts w:cs="宋体" w:hint="eastAsia"/>
                <w:color w:val="000000"/>
              </w:rPr>
              <w:t>地区</w:t>
            </w:r>
          </w:p>
        </w:tc>
        <w:tc>
          <w:tcPr>
            <w:tcW w:w="6666" w:type="dxa"/>
            <w:gridSpan w:val="14"/>
            <w:tcBorders>
              <w:top w:val="single" w:sz="8" w:space="0" w:color="auto"/>
              <w:left w:val="nil"/>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配套费执行标准</w:t>
            </w:r>
          </w:p>
        </w:tc>
        <w:tc>
          <w:tcPr>
            <w:tcW w:w="752" w:type="dxa"/>
            <w:vMerge w:val="restart"/>
            <w:tcBorders>
              <w:top w:val="nil"/>
              <w:left w:val="nil"/>
              <w:bottom w:val="single" w:sz="8" w:space="0" w:color="000000"/>
              <w:right w:val="single" w:sz="8" w:space="0" w:color="auto"/>
            </w:tcBorders>
            <w:vAlign w:val="center"/>
          </w:tcPr>
          <w:p w:rsidR="00A32067" w:rsidRDefault="00A32067">
            <w:pPr>
              <w:spacing w:line="330" w:lineRule="exact"/>
              <w:jc w:val="center"/>
              <w:rPr>
                <w:color w:val="000000"/>
              </w:rPr>
            </w:pPr>
            <w:r>
              <w:rPr>
                <w:rFonts w:cs="宋体" w:hint="eastAsia"/>
                <w:color w:val="000000"/>
              </w:rPr>
              <w:t>备注</w:t>
            </w:r>
          </w:p>
        </w:tc>
      </w:tr>
      <w:tr w:rsidR="00A32067">
        <w:trPr>
          <w:trHeight w:val="360"/>
          <w:jc w:val="center"/>
        </w:trPr>
        <w:tc>
          <w:tcPr>
            <w:tcW w:w="709" w:type="dxa"/>
            <w:vMerge/>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p>
        </w:tc>
        <w:tc>
          <w:tcPr>
            <w:tcW w:w="1399" w:type="dxa"/>
            <w:vMerge/>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p>
        </w:tc>
        <w:tc>
          <w:tcPr>
            <w:tcW w:w="1665" w:type="dxa"/>
            <w:gridSpan w:val="3"/>
            <w:tcBorders>
              <w:top w:val="single" w:sz="8" w:space="0" w:color="auto"/>
              <w:left w:val="nil"/>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设区市</w:t>
            </w:r>
          </w:p>
        </w:tc>
        <w:tc>
          <w:tcPr>
            <w:tcW w:w="1665" w:type="dxa"/>
            <w:gridSpan w:val="4"/>
            <w:tcBorders>
              <w:top w:val="single" w:sz="8" w:space="0" w:color="auto"/>
              <w:left w:val="nil"/>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县级市</w:t>
            </w:r>
          </w:p>
        </w:tc>
        <w:tc>
          <w:tcPr>
            <w:tcW w:w="1665" w:type="dxa"/>
            <w:gridSpan w:val="4"/>
            <w:tcBorders>
              <w:top w:val="single" w:sz="8" w:space="0" w:color="auto"/>
              <w:left w:val="nil"/>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县城</w:t>
            </w:r>
          </w:p>
        </w:tc>
        <w:tc>
          <w:tcPr>
            <w:tcW w:w="1671" w:type="dxa"/>
            <w:gridSpan w:val="3"/>
            <w:tcBorders>
              <w:top w:val="single" w:sz="8" w:space="0" w:color="auto"/>
              <w:left w:val="nil"/>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建制镇</w:t>
            </w:r>
          </w:p>
        </w:tc>
        <w:tc>
          <w:tcPr>
            <w:tcW w:w="752" w:type="dxa"/>
            <w:vMerge/>
            <w:tcBorders>
              <w:top w:val="nil"/>
              <w:left w:val="nil"/>
              <w:bottom w:val="single" w:sz="8" w:space="0" w:color="000000"/>
              <w:right w:val="single" w:sz="8" w:space="0" w:color="auto"/>
            </w:tcBorders>
            <w:vAlign w:val="center"/>
          </w:tcPr>
          <w:p w:rsidR="00A32067" w:rsidRDefault="00A32067">
            <w:pPr>
              <w:spacing w:line="330" w:lineRule="exact"/>
              <w:jc w:val="center"/>
              <w:rPr>
                <w:color w:val="000000"/>
              </w:rPr>
            </w:pPr>
          </w:p>
        </w:tc>
      </w:tr>
      <w:tr w:rsidR="00A32067">
        <w:trPr>
          <w:trHeight w:val="360"/>
          <w:jc w:val="center"/>
        </w:trPr>
        <w:tc>
          <w:tcPr>
            <w:tcW w:w="709" w:type="dxa"/>
            <w:vMerge/>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p>
        </w:tc>
        <w:tc>
          <w:tcPr>
            <w:tcW w:w="1399" w:type="dxa"/>
            <w:vMerge/>
            <w:tcBorders>
              <w:top w:val="single" w:sz="8" w:space="0" w:color="auto"/>
              <w:left w:val="single" w:sz="8" w:space="0" w:color="auto"/>
              <w:bottom w:val="single" w:sz="8" w:space="0" w:color="000000"/>
              <w:right w:val="single" w:sz="8" w:space="0" w:color="auto"/>
            </w:tcBorders>
            <w:vAlign w:val="center"/>
          </w:tcPr>
          <w:p w:rsidR="00A32067" w:rsidRDefault="00A32067">
            <w:pPr>
              <w:spacing w:line="330" w:lineRule="exact"/>
              <w:jc w:val="center"/>
              <w:rPr>
                <w:color w:val="000000"/>
              </w:rPr>
            </w:pPr>
          </w:p>
        </w:tc>
        <w:tc>
          <w:tcPr>
            <w:tcW w:w="832"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住宅</w:t>
            </w:r>
          </w:p>
        </w:tc>
        <w:tc>
          <w:tcPr>
            <w:tcW w:w="833" w:type="dxa"/>
            <w:gridSpan w:val="2"/>
            <w:tcBorders>
              <w:top w:val="single" w:sz="8" w:space="0" w:color="auto"/>
              <w:left w:val="nil"/>
              <w:bottom w:val="single" w:sz="8" w:space="0" w:color="auto"/>
              <w:right w:val="single" w:sz="8" w:space="0" w:color="000000"/>
            </w:tcBorders>
            <w:vAlign w:val="center"/>
          </w:tcPr>
          <w:p w:rsidR="00A32067" w:rsidRDefault="00A32067">
            <w:pPr>
              <w:spacing w:line="330" w:lineRule="exact"/>
              <w:jc w:val="center"/>
              <w:rPr>
                <w:color w:val="000000"/>
              </w:rPr>
            </w:pPr>
            <w:r>
              <w:rPr>
                <w:rFonts w:cs="宋体" w:hint="eastAsia"/>
                <w:color w:val="000000"/>
              </w:rPr>
              <w:t>非住宅</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住宅</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非住宅</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住宅</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非住宅</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住宅</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rFonts w:cs="宋体" w:hint="eastAsia"/>
                <w:color w:val="000000"/>
              </w:rPr>
              <w:t>非住宅</w:t>
            </w:r>
          </w:p>
        </w:tc>
        <w:tc>
          <w:tcPr>
            <w:tcW w:w="752" w:type="dxa"/>
            <w:vMerge/>
            <w:tcBorders>
              <w:top w:val="nil"/>
              <w:left w:val="nil"/>
              <w:bottom w:val="single" w:sz="8" w:space="0" w:color="000000"/>
              <w:right w:val="single" w:sz="8" w:space="0" w:color="auto"/>
            </w:tcBorders>
            <w:vAlign w:val="center"/>
          </w:tcPr>
          <w:p w:rsidR="00A32067" w:rsidRDefault="00A32067">
            <w:pPr>
              <w:spacing w:line="330" w:lineRule="exact"/>
              <w:jc w:val="center"/>
              <w:rPr>
                <w:color w:val="000000"/>
              </w:rPr>
            </w:pP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1</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市区</w:t>
            </w:r>
          </w:p>
        </w:tc>
        <w:tc>
          <w:tcPr>
            <w:tcW w:w="832" w:type="dxa"/>
            <w:tcBorders>
              <w:top w:val="single" w:sz="8" w:space="0" w:color="auto"/>
              <w:left w:val="single" w:sz="8" w:space="0" w:color="auto"/>
              <w:bottom w:val="single" w:sz="8" w:space="0" w:color="auto"/>
              <w:right w:val="single" w:sz="8" w:space="0" w:color="000000"/>
            </w:tcBorders>
            <w:vAlign w:val="center"/>
          </w:tcPr>
          <w:p w:rsidR="00A32067" w:rsidRDefault="00A32067">
            <w:pPr>
              <w:spacing w:line="330" w:lineRule="exact"/>
              <w:jc w:val="center"/>
              <w:rPr>
                <w:color w:val="000000"/>
              </w:rPr>
            </w:pPr>
            <w:r>
              <w:rPr>
                <w:color w:val="000000"/>
              </w:rPr>
              <w:t>148</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118</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9"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2</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曹妃甸区</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3</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海港区</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4</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汉沽开发区</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20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20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5</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芦台开发区</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40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20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20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6</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迁安市</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7</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遵化市</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30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30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8</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玉田县</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9</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滦县</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10</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滦南县</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11</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乐亭县</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r w:rsidR="00A32067">
        <w:trPr>
          <w:trHeight w:hRule="exact" w:val="680"/>
          <w:jc w:val="center"/>
        </w:trPr>
        <w:tc>
          <w:tcPr>
            <w:tcW w:w="709" w:type="dxa"/>
            <w:tcBorders>
              <w:top w:val="nil"/>
              <w:left w:val="single" w:sz="8" w:space="0" w:color="auto"/>
              <w:bottom w:val="single" w:sz="8" w:space="0" w:color="auto"/>
              <w:right w:val="single" w:sz="8" w:space="0" w:color="auto"/>
            </w:tcBorders>
            <w:vAlign w:val="center"/>
          </w:tcPr>
          <w:p w:rsidR="00A32067" w:rsidRDefault="00A32067">
            <w:pPr>
              <w:jc w:val="center"/>
              <w:rPr>
                <w:color w:val="000000"/>
              </w:rPr>
            </w:pPr>
            <w:r>
              <w:rPr>
                <w:color w:val="000000"/>
              </w:rPr>
              <w:t>12</w:t>
            </w:r>
          </w:p>
        </w:tc>
        <w:tc>
          <w:tcPr>
            <w:tcW w:w="1399" w:type="dxa"/>
            <w:tcBorders>
              <w:top w:val="nil"/>
              <w:left w:val="nil"/>
              <w:bottom w:val="single" w:sz="8" w:space="0" w:color="auto"/>
              <w:right w:val="nil"/>
            </w:tcBorders>
            <w:vAlign w:val="center"/>
          </w:tcPr>
          <w:p w:rsidR="00A32067" w:rsidRDefault="00A32067">
            <w:pPr>
              <w:spacing w:line="330" w:lineRule="exact"/>
              <w:jc w:val="center"/>
              <w:rPr>
                <w:color w:val="000000"/>
              </w:rPr>
            </w:pPr>
            <w:r>
              <w:rPr>
                <w:rFonts w:cs="宋体" w:hint="eastAsia"/>
                <w:color w:val="000000"/>
              </w:rPr>
              <w:t>迁西县</w:t>
            </w:r>
          </w:p>
        </w:tc>
        <w:tc>
          <w:tcPr>
            <w:tcW w:w="832" w:type="dxa"/>
            <w:tcBorders>
              <w:top w:val="single" w:sz="8" w:space="0" w:color="auto"/>
              <w:left w:val="single" w:sz="8" w:space="0" w:color="auto"/>
              <w:bottom w:val="single" w:sz="8" w:space="0" w:color="auto"/>
              <w:right w:val="single" w:sz="8" w:space="0" w:color="000000"/>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3" w:type="dxa"/>
            <w:gridSpan w:val="2"/>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90</w:t>
            </w:r>
          </w:p>
        </w:tc>
        <w:tc>
          <w:tcPr>
            <w:tcW w:w="833"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60</w:t>
            </w:r>
          </w:p>
        </w:tc>
        <w:tc>
          <w:tcPr>
            <w:tcW w:w="832" w:type="dxa"/>
            <w:gridSpan w:val="2"/>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839" w:type="dxa"/>
            <w:tcBorders>
              <w:top w:val="nil"/>
              <w:left w:val="nil"/>
              <w:bottom w:val="single" w:sz="8" w:space="0" w:color="auto"/>
              <w:right w:val="single" w:sz="8" w:space="0" w:color="auto"/>
            </w:tcBorders>
            <w:vAlign w:val="center"/>
          </w:tcPr>
          <w:p w:rsidR="00A32067" w:rsidRDefault="00A32067">
            <w:pPr>
              <w:spacing w:line="330" w:lineRule="exact"/>
              <w:jc w:val="center"/>
              <w:rPr>
                <w:color w:val="000000"/>
              </w:rPr>
            </w:pPr>
            <w:r>
              <w:rPr>
                <w:color w:val="000000"/>
              </w:rPr>
              <w:t>50</w:t>
            </w:r>
          </w:p>
        </w:tc>
        <w:tc>
          <w:tcPr>
            <w:tcW w:w="752" w:type="dxa"/>
            <w:tcBorders>
              <w:top w:val="nil"/>
              <w:left w:val="nil"/>
              <w:bottom w:val="single" w:sz="8" w:space="0" w:color="auto"/>
              <w:right w:val="single" w:sz="8" w:space="0" w:color="auto"/>
            </w:tcBorders>
          </w:tcPr>
          <w:p w:rsidR="00A32067" w:rsidRDefault="00A32067">
            <w:pPr>
              <w:spacing w:line="330" w:lineRule="exact"/>
              <w:jc w:val="center"/>
              <w:rPr>
                <w:color w:val="000000"/>
              </w:rPr>
            </w:pPr>
            <w:r>
              <w:rPr>
                <w:rFonts w:cs="宋体" w:hint="eastAsia"/>
                <w:color w:val="000000"/>
              </w:rPr>
              <w:t xml:space="preserve">　</w:t>
            </w:r>
          </w:p>
        </w:tc>
      </w:tr>
    </w:tbl>
    <w:p w:rsidR="00A32067" w:rsidRDefault="00A32067" w:rsidP="00A32067">
      <w:pPr>
        <w:pStyle w:val="NormalWeb"/>
        <w:shd w:val="clear" w:color="auto" w:fill="FFFFFF"/>
        <w:spacing w:before="0" w:beforeAutospacing="0" w:after="0" w:afterAutospacing="0" w:line="600" w:lineRule="exact"/>
        <w:ind w:firstLineChars="200" w:firstLine="31680"/>
        <w:rPr>
          <w:rFonts w:ascii="Times New Roman" w:eastAsia="微软雅黑" w:hAnsi="Times New Roman" w:cs="Times New Roman"/>
        </w:rPr>
      </w:pPr>
    </w:p>
    <w:p w:rsidR="00A32067" w:rsidRDefault="00A32067">
      <w:pPr>
        <w:spacing w:line="220" w:lineRule="atLeast"/>
        <w:rPr>
          <w:sz w:val="24"/>
          <w:szCs w:val="24"/>
        </w:rPr>
      </w:pPr>
      <w:r>
        <w:br w:type="page"/>
      </w:r>
    </w:p>
    <w:p w:rsidR="00A32067" w:rsidRDefault="00A32067">
      <w:pPr>
        <w:spacing w:line="360" w:lineRule="auto"/>
        <w:jc w:val="center"/>
        <w:outlineLvl w:val="2"/>
        <w:rPr>
          <w:b/>
          <w:bCs/>
          <w:sz w:val="44"/>
          <w:szCs w:val="44"/>
        </w:rPr>
      </w:pPr>
      <w:bookmarkStart w:id="82" w:name="_Toc519872310"/>
      <w:r>
        <w:rPr>
          <w:rFonts w:cs="宋体" w:hint="eastAsia"/>
          <w:b/>
          <w:bCs/>
          <w:sz w:val="44"/>
          <w:szCs w:val="44"/>
        </w:rPr>
        <w:t>河北省财政厅关于邯郸市城市基础设施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冀财税（</w:t>
      </w:r>
      <w:r>
        <w:rPr>
          <w:color w:val="000000"/>
          <w:sz w:val="22"/>
          <w:szCs w:val="22"/>
        </w:rPr>
        <w:t xml:space="preserve"> 2017</w:t>
      </w:r>
      <w:r>
        <w:rPr>
          <w:rFonts w:cs="宋体" w:hint="eastAsia"/>
          <w:color w:val="000000"/>
          <w:sz w:val="22"/>
          <w:szCs w:val="22"/>
        </w:rPr>
        <w:t>）</w:t>
      </w:r>
      <w:r>
        <w:rPr>
          <w:color w:val="000000"/>
          <w:sz w:val="22"/>
          <w:szCs w:val="22"/>
        </w:rPr>
        <w:t>22</w:t>
      </w:r>
      <w:r>
        <w:rPr>
          <w:rFonts w:cs="宋体" w:hint="eastAsia"/>
          <w:color w:val="000000"/>
          <w:sz w:val="22"/>
          <w:szCs w:val="22"/>
        </w:rPr>
        <w:t>号</w:t>
      </w:r>
      <w:bookmarkEnd w:id="82"/>
    </w:p>
    <w:p w:rsidR="00A32067" w:rsidRDefault="00A32067">
      <w:pPr>
        <w:jc w:val="center"/>
        <w:outlineLvl w:val="0"/>
        <w:rPr>
          <w:b/>
          <w:bCs/>
          <w:sz w:val="44"/>
          <w:szCs w:val="44"/>
        </w:rPr>
      </w:pPr>
    </w:p>
    <w:p w:rsidR="00A32067" w:rsidRDefault="00A32067">
      <w:pPr>
        <w:spacing w:line="360" w:lineRule="auto"/>
        <w:jc w:val="left"/>
        <w:rPr>
          <w:spacing w:val="24"/>
          <w:sz w:val="22"/>
          <w:szCs w:val="22"/>
        </w:rPr>
      </w:pPr>
      <w:r>
        <w:rPr>
          <w:rFonts w:cs="宋体" w:hint="eastAsia"/>
          <w:spacing w:val="24"/>
          <w:sz w:val="22"/>
          <w:szCs w:val="22"/>
        </w:rPr>
        <w:t>邯郸市财政局：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你市《关于上报城市基础设施配套费收费标准调整意见的报告》邯财综〔</w:t>
      </w:r>
      <w:r>
        <w:rPr>
          <w:spacing w:val="24"/>
          <w:sz w:val="22"/>
          <w:szCs w:val="22"/>
        </w:rPr>
        <w:t>2017</w:t>
      </w:r>
      <w:r>
        <w:rPr>
          <w:rFonts w:cs="宋体" w:hint="eastAsia"/>
          <w:spacing w:val="24"/>
          <w:sz w:val="22"/>
          <w:szCs w:val="22"/>
        </w:rPr>
        <w:t>〕</w:t>
      </w:r>
      <w:r>
        <w:rPr>
          <w:spacing w:val="24"/>
          <w:sz w:val="22"/>
          <w:szCs w:val="22"/>
        </w:rPr>
        <w:t xml:space="preserve"> 4</w:t>
      </w:r>
      <w:r>
        <w:rPr>
          <w:rFonts w:cs="宋体" w:hint="eastAsia"/>
          <w:spacing w:val="24"/>
          <w:sz w:val="22"/>
          <w:szCs w:val="22"/>
        </w:rPr>
        <w:t>号）收悉，经认真研究并报请省政府批准，现对你市（含市、区、县）申请调整城市基础设施配套费（以下简称配套费）收费标准等事项批复如下</w:t>
      </w:r>
      <w:r>
        <w:rPr>
          <w:spacing w:val="24"/>
          <w:sz w:val="22"/>
          <w:szCs w:val="22"/>
        </w:rPr>
        <w:t>:</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w:t>
      </w:r>
      <w:r>
        <w:rPr>
          <w:spacing w:val="24"/>
          <w:sz w:val="22"/>
          <w:szCs w:val="22"/>
        </w:rPr>
        <w:t>)</w:t>
      </w:r>
      <w:r>
        <w:rPr>
          <w:rFonts w:cs="宋体" w:hint="eastAsia"/>
          <w:spacing w:val="24"/>
          <w:sz w:val="22"/>
          <w:szCs w:val="22"/>
        </w:rPr>
        <w:t>、区、建制镇，具体标准见附件。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三、配套费实行政府性基金管理。县级（含县级</w:t>
      </w:r>
      <w:r>
        <w:rPr>
          <w:spacing w:val="24"/>
          <w:sz w:val="22"/>
          <w:szCs w:val="22"/>
        </w:rPr>
        <w:t>)</w:t>
      </w:r>
      <w:r>
        <w:rPr>
          <w:rFonts w:cs="宋体" w:hint="eastAsia"/>
          <w:spacing w:val="24"/>
          <w:sz w:val="22"/>
          <w:szCs w:val="22"/>
        </w:rPr>
        <w:t>以上玫府住房和城乡建设行政主管部门为配套费执收单位，使用财政票据，将收入全额缴入地方国库，纳入地方政府基金预算。在政府收支分类科目中收入列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 xml:space="preserve">” </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附件：邯郸市城市基础设施配套费收费标准。</w:t>
      </w:r>
    </w:p>
    <w:p w:rsidR="00A32067" w:rsidRDefault="00A32067" w:rsidP="005431C7">
      <w:pPr>
        <w:spacing w:line="360" w:lineRule="auto"/>
        <w:ind w:right="264" w:firstLineChars="200" w:firstLine="31680"/>
        <w:jc w:val="right"/>
        <w:rPr>
          <w:spacing w:val="24"/>
          <w:sz w:val="24"/>
          <w:szCs w:val="24"/>
        </w:rPr>
      </w:pPr>
    </w:p>
    <w:p w:rsidR="00A32067" w:rsidRDefault="00A32067" w:rsidP="005431C7">
      <w:pPr>
        <w:spacing w:line="360" w:lineRule="auto"/>
        <w:ind w:right="264" w:firstLineChars="200" w:firstLine="31680"/>
        <w:jc w:val="right"/>
        <w:rPr>
          <w:spacing w:val="24"/>
          <w:sz w:val="24"/>
          <w:szCs w:val="24"/>
        </w:rPr>
      </w:pPr>
    </w:p>
    <w:p w:rsidR="00A32067" w:rsidRDefault="00A32067" w:rsidP="005431C7">
      <w:pPr>
        <w:spacing w:line="360" w:lineRule="auto"/>
        <w:ind w:right="264" w:firstLineChars="200" w:firstLine="31680"/>
        <w:jc w:val="right"/>
        <w:rPr>
          <w:spacing w:val="24"/>
          <w:sz w:val="24"/>
          <w:szCs w:val="24"/>
        </w:rPr>
      </w:pPr>
      <w:r>
        <w:rPr>
          <w:rFonts w:cs="宋体" w:hint="eastAsia"/>
          <w:spacing w:val="24"/>
          <w:sz w:val="24"/>
          <w:szCs w:val="24"/>
        </w:rPr>
        <w:t>河北省财政厅</w:t>
      </w:r>
    </w:p>
    <w:p w:rsidR="00A32067" w:rsidRDefault="00A32067" w:rsidP="005431C7">
      <w:pPr>
        <w:spacing w:line="360" w:lineRule="auto"/>
        <w:ind w:firstLineChars="200" w:firstLine="31680"/>
        <w:jc w:val="right"/>
        <w:rPr>
          <w:spacing w:val="24"/>
          <w:sz w:val="24"/>
          <w:szCs w:val="24"/>
        </w:rPr>
      </w:pPr>
      <w:r>
        <w:rPr>
          <w:spacing w:val="24"/>
          <w:sz w:val="24"/>
          <w:szCs w:val="24"/>
        </w:rPr>
        <w:t>2017</w:t>
      </w:r>
      <w:r>
        <w:rPr>
          <w:rFonts w:cs="宋体" w:hint="eastAsia"/>
          <w:spacing w:val="24"/>
          <w:sz w:val="24"/>
          <w:szCs w:val="24"/>
        </w:rPr>
        <w:t>年</w:t>
      </w:r>
      <w:r>
        <w:rPr>
          <w:spacing w:val="24"/>
          <w:sz w:val="24"/>
          <w:szCs w:val="24"/>
        </w:rPr>
        <w:t>3</w:t>
      </w:r>
      <w:r>
        <w:rPr>
          <w:rFonts w:cs="宋体" w:hint="eastAsia"/>
          <w:spacing w:val="24"/>
          <w:sz w:val="24"/>
          <w:szCs w:val="24"/>
        </w:rPr>
        <w:t>月</w:t>
      </w:r>
      <w:r>
        <w:rPr>
          <w:spacing w:val="24"/>
          <w:sz w:val="24"/>
          <w:szCs w:val="24"/>
        </w:rPr>
        <w:t>21</w:t>
      </w:r>
      <w:r>
        <w:rPr>
          <w:rFonts w:cs="宋体" w:hint="eastAsia"/>
          <w:spacing w:val="24"/>
          <w:sz w:val="24"/>
          <w:szCs w:val="24"/>
        </w:rPr>
        <w:t>日</w:t>
      </w:r>
    </w:p>
    <w:p w:rsidR="00A32067" w:rsidRDefault="00A32067">
      <w:pPr>
        <w:spacing w:before="100" w:beforeAutospacing="1" w:after="100" w:afterAutospacing="1" w:line="360" w:lineRule="auto"/>
        <w:jc w:val="left"/>
        <w:rPr>
          <w:rFonts w:eastAsia="黑体"/>
          <w:color w:val="000000"/>
          <w:sz w:val="24"/>
          <w:szCs w:val="24"/>
        </w:rPr>
      </w:pPr>
    </w:p>
    <w:p w:rsidR="00A32067" w:rsidRDefault="00A32067">
      <w:pPr>
        <w:spacing w:before="100" w:beforeAutospacing="1" w:after="100" w:afterAutospacing="1" w:line="360" w:lineRule="auto"/>
        <w:jc w:val="left"/>
        <w:rPr>
          <w:rFonts w:eastAsia="黑体"/>
          <w:color w:val="000000"/>
          <w:sz w:val="24"/>
          <w:szCs w:val="24"/>
        </w:rPr>
      </w:pPr>
    </w:p>
    <w:p w:rsidR="00A32067" w:rsidRDefault="00A32067">
      <w:pPr>
        <w:spacing w:before="100" w:beforeAutospacing="1" w:after="100" w:afterAutospacing="1" w:line="360" w:lineRule="auto"/>
        <w:jc w:val="left"/>
        <w:rPr>
          <w:rFonts w:eastAsia="黑体"/>
          <w:color w:val="000000"/>
          <w:sz w:val="24"/>
          <w:szCs w:val="24"/>
        </w:rPr>
      </w:pPr>
    </w:p>
    <w:p w:rsidR="00A32067" w:rsidRDefault="00A32067">
      <w:pPr>
        <w:spacing w:before="100" w:beforeAutospacing="1" w:after="100" w:afterAutospacing="1" w:line="360" w:lineRule="auto"/>
        <w:jc w:val="left"/>
        <w:rPr>
          <w:color w:val="000000"/>
          <w:sz w:val="24"/>
          <w:szCs w:val="24"/>
        </w:rPr>
        <w:sectPr w:rsidR="00A32067">
          <w:pgSz w:w="11907" w:h="16840"/>
          <w:pgMar w:top="1134" w:right="1077" w:bottom="1134" w:left="1077" w:header="794" w:footer="567" w:gutter="284"/>
          <w:cols w:space="720"/>
          <w:docGrid w:linePitch="312"/>
        </w:sectPr>
      </w:pPr>
    </w:p>
    <w:p w:rsidR="00A32067" w:rsidRDefault="00A32067">
      <w:pPr>
        <w:spacing w:before="100" w:beforeAutospacing="1" w:after="100" w:afterAutospacing="1" w:line="360" w:lineRule="auto"/>
        <w:jc w:val="left"/>
        <w:rPr>
          <w:rFonts w:eastAsia="微软雅黑"/>
          <w:b/>
          <w:bCs/>
          <w:color w:val="000000"/>
          <w:sz w:val="28"/>
          <w:szCs w:val="28"/>
        </w:rPr>
      </w:pPr>
      <w:r>
        <w:rPr>
          <w:rFonts w:cs="宋体" w:hint="eastAsia"/>
          <w:color w:val="000000"/>
          <w:sz w:val="24"/>
          <w:szCs w:val="24"/>
        </w:rPr>
        <w:t>附件</w:t>
      </w:r>
      <w:r>
        <w:rPr>
          <w:rFonts w:eastAsia="黑体" w:cs="黑体" w:hint="eastAsia"/>
          <w:color w:val="000000"/>
          <w:sz w:val="24"/>
          <w:szCs w:val="24"/>
        </w:rPr>
        <w:t>：</w:t>
      </w:r>
    </w:p>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邯郸市城市基础设施配套费收费标准</w:t>
      </w:r>
    </w:p>
    <w:p w:rsidR="00A32067" w:rsidRDefault="00A32067">
      <w:pPr>
        <w:wordWrap w:val="0"/>
        <w:spacing w:line="280" w:lineRule="exact"/>
        <w:jc w:val="right"/>
        <w:rPr>
          <w:rFonts w:eastAsia="微软雅黑"/>
          <w:b/>
          <w:bCs/>
          <w:color w:val="000000"/>
          <w:sz w:val="24"/>
          <w:szCs w:val="24"/>
        </w:rPr>
      </w:pPr>
      <w:r>
        <w:rPr>
          <w:rFonts w:cs="宋体" w:hint="eastAsia"/>
          <w:b/>
          <w:bCs/>
          <w:color w:val="000000"/>
          <w:sz w:val="24"/>
          <w:szCs w:val="24"/>
        </w:rPr>
        <w:t>单位：元</w:t>
      </w:r>
      <w:r>
        <w:rPr>
          <w:b/>
          <w:bCs/>
          <w:color w:val="000000"/>
          <w:sz w:val="24"/>
          <w:szCs w:val="24"/>
        </w:rPr>
        <w:t>/</w:t>
      </w:r>
      <w:r>
        <w:rPr>
          <w:rFonts w:cs="宋体" w:hint="eastAsia"/>
          <w:b/>
          <w:bCs/>
          <w:color w:val="000000"/>
          <w:sz w:val="24"/>
          <w:szCs w:val="24"/>
        </w:rPr>
        <w:t>平方米</w:t>
      </w:r>
    </w:p>
    <w:tbl>
      <w:tblPr>
        <w:tblW w:w="9420" w:type="dxa"/>
        <w:tblInd w:w="2" w:type="dxa"/>
        <w:tblLayout w:type="fixed"/>
        <w:tblLook w:val="00A0"/>
      </w:tblPr>
      <w:tblGrid>
        <w:gridCol w:w="614"/>
        <w:gridCol w:w="2066"/>
        <w:gridCol w:w="770"/>
        <w:gridCol w:w="771"/>
        <w:gridCol w:w="770"/>
        <w:gridCol w:w="771"/>
        <w:gridCol w:w="770"/>
        <w:gridCol w:w="771"/>
        <w:gridCol w:w="770"/>
        <w:gridCol w:w="777"/>
        <w:gridCol w:w="570"/>
      </w:tblGrid>
      <w:tr w:rsidR="00A32067">
        <w:trPr>
          <w:trHeight w:val="505"/>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2066" w:type="dxa"/>
            <w:vMerge w:val="restart"/>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地区</w:t>
            </w:r>
          </w:p>
        </w:tc>
        <w:tc>
          <w:tcPr>
            <w:tcW w:w="6170" w:type="dxa"/>
            <w:gridSpan w:val="8"/>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配套费执行标准</w:t>
            </w:r>
          </w:p>
        </w:tc>
        <w:tc>
          <w:tcPr>
            <w:tcW w:w="570"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485"/>
        </w:trPr>
        <w:tc>
          <w:tcPr>
            <w:tcW w:w="614"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2066" w:type="dxa"/>
            <w:vMerge/>
            <w:tcBorders>
              <w:top w:val="single" w:sz="4" w:space="0" w:color="auto"/>
              <w:left w:val="nil"/>
              <w:bottom w:val="single" w:sz="4" w:space="0" w:color="auto"/>
              <w:right w:val="single" w:sz="4" w:space="0" w:color="auto"/>
            </w:tcBorders>
            <w:vAlign w:val="center"/>
          </w:tcPr>
          <w:p w:rsidR="00A32067" w:rsidRDefault="00A32067">
            <w:pPr>
              <w:jc w:val="center"/>
            </w:pPr>
          </w:p>
        </w:tc>
        <w:tc>
          <w:tcPr>
            <w:tcW w:w="1541" w:type="dxa"/>
            <w:gridSpan w:val="2"/>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设区市</w:t>
            </w:r>
          </w:p>
        </w:tc>
        <w:tc>
          <w:tcPr>
            <w:tcW w:w="1541" w:type="dxa"/>
            <w:gridSpan w:val="2"/>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县级市</w:t>
            </w:r>
          </w:p>
        </w:tc>
        <w:tc>
          <w:tcPr>
            <w:tcW w:w="1541" w:type="dxa"/>
            <w:gridSpan w:val="2"/>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县城</w:t>
            </w:r>
          </w:p>
        </w:tc>
        <w:tc>
          <w:tcPr>
            <w:tcW w:w="1547" w:type="dxa"/>
            <w:gridSpan w:val="2"/>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建制镇</w:t>
            </w:r>
          </w:p>
        </w:tc>
        <w:tc>
          <w:tcPr>
            <w:tcW w:w="570"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val="767"/>
        </w:trPr>
        <w:tc>
          <w:tcPr>
            <w:tcW w:w="614"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2066" w:type="dxa"/>
            <w:vMerge/>
            <w:tcBorders>
              <w:top w:val="single" w:sz="4" w:space="0" w:color="auto"/>
              <w:left w:val="nil"/>
              <w:bottom w:val="single" w:sz="4" w:space="0" w:color="auto"/>
              <w:right w:val="single" w:sz="4" w:space="0" w:color="auto"/>
            </w:tcBorders>
            <w:vAlign w:val="center"/>
          </w:tcPr>
          <w:p w:rsidR="00A32067" w:rsidRDefault="00A32067">
            <w:pPr>
              <w:jc w:val="cente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570"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市区（含峰峰矿区、冀南新区、开发区）</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148</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148</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2</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永年区</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80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3</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武安市</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120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90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4</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涉县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40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5</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鸡泽县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70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6</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邱县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40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45</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22.5</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7</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曲周县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65</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55</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35</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25</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8</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魏县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40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9</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大名县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70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35</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25</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10</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成安县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40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11</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磁县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81.37</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81.37</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20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12</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广平县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90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90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13</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临漳县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68</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68</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38</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38</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rPr>
            </w:pPr>
            <w:r>
              <w:rPr>
                <w:color w:val="000000"/>
              </w:rPr>
              <w:t>14</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肥乡县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50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color w:val="000000"/>
              </w:rPr>
              <w:t>30</w:t>
            </w:r>
          </w:p>
        </w:tc>
        <w:tc>
          <w:tcPr>
            <w:tcW w:w="570" w:type="dxa"/>
            <w:tcBorders>
              <w:top w:val="nil"/>
              <w:left w:val="nil"/>
              <w:bottom w:val="single" w:sz="4" w:space="0" w:color="auto"/>
              <w:right w:val="single" w:sz="4" w:space="0" w:color="auto"/>
            </w:tcBorders>
            <w:vAlign w:val="center"/>
          </w:tcPr>
          <w:p w:rsidR="00A32067" w:rsidRDefault="00A32067">
            <w:pPr>
              <w:spacing w:line="330" w:lineRule="exact"/>
              <w:jc w:val="center"/>
              <w:rPr>
                <w:color w:val="000000"/>
              </w:rPr>
            </w:pPr>
          </w:p>
        </w:tc>
      </w:tr>
      <w:tr w:rsidR="00A32067">
        <w:trPr>
          <w:trHeight w:hRule="exact" w:val="680"/>
        </w:trPr>
        <w:tc>
          <w:tcPr>
            <w:tcW w:w="614"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15</w:t>
            </w:r>
          </w:p>
        </w:tc>
        <w:tc>
          <w:tcPr>
            <w:tcW w:w="2066"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馆陶县</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000000"/>
              </w:rPr>
            </w:pP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rPr>
                <w:color w:val="000000"/>
              </w:rPr>
            </w:pP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t>50</w:t>
            </w:r>
          </w:p>
        </w:tc>
        <w:tc>
          <w:tcPr>
            <w:tcW w:w="771" w:type="dxa"/>
            <w:tcBorders>
              <w:top w:val="nil"/>
              <w:left w:val="nil"/>
              <w:bottom w:val="single" w:sz="4" w:space="0" w:color="auto"/>
              <w:right w:val="single" w:sz="4" w:space="0" w:color="auto"/>
            </w:tcBorders>
            <w:shd w:val="clear" w:color="000000" w:fill="FFFFFF"/>
            <w:vAlign w:val="center"/>
          </w:tcPr>
          <w:p w:rsidR="00A32067" w:rsidRDefault="00A32067">
            <w:pPr>
              <w:jc w:val="center"/>
            </w:pPr>
            <w:r>
              <w:t>S0</w:t>
            </w:r>
          </w:p>
        </w:tc>
        <w:tc>
          <w:tcPr>
            <w:tcW w:w="770" w:type="dxa"/>
            <w:tcBorders>
              <w:top w:val="nil"/>
              <w:left w:val="nil"/>
              <w:bottom w:val="single" w:sz="4" w:space="0" w:color="auto"/>
              <w:right w:val="single" w:sz="4" w:space="0" w:color="auto"/>
            </w:tcBorders>
            <w:shd w:val="clear" w:color="000000" w:fill="FFFFFF"/>
            <w:vAlign w:val="center"/>
          </w:tcPr>
          <w:p w:rsidR="00A32067" w:rsidRDefault="00A32067">
            <w:pPr>
              <w:jc w:val="center"/>
            </w:pPr>
            <w:r>
              <w:t>30</w:t>
            </w:r>
          </w:p>
        </w:tc>
        <w:tc>
          <w:tcPr>
            <w:tcW w:w="777" w:type="dxa"/>
            <w:tcBorders>
              <w:top w:val="nil"/>
              <w:left w:val="nil"/>
              <w:bottom w:val="single" w:sz="4" w:space="0" w:color="auto"/>
              <w:right w:val="single" w:sz="4" w:space="0" w:color="auto"/>
            </w:tcBorders>
            <w:shd w:val="clear" w:color="000000" w:fill="FFFFFF"/>
            <w:vAlign w:val="center"/>
          </w:tcPr>
          <w:p w:rsidR="00A32067" w:rsidRDefault="00A32067">
            <w:pPr>
              <w:jc w:val="center"/>
            </w:pPr>
            <w:r>
              <w:t>30</w:t>
            </w:r>
          </w:p>
        </w:tc>
        <w:tc>
          <w:tcPr>
            <w:tcW w:w="570" w:type="dxa"/>
            <w:tcBorders>
              <w:top w:val="nil"/>
              <w:left w:val="nil"/>
              <w:bottom w:val="single" w:sz="4" w:space="0" w:color="auto"/>
              <w:right w:val="single" w:sz="4" w:space="0" w:color="auto"/>
            </w:tcBorders>
            <w:vAlign w:val="center"/>
          </w:tcPr>
          <w:p w:rsidR="00A32067" w:rsidRDefault="00A32067">
            <w:pPr>
              <w:jc w:val="center"/>
            </w:pPr>
          </w:p>
        </w:tc>
      </w:tr>
    </w:tbl>
    <w:p w:rsidR="00A32067" w:rsidRDefault="00A32067">
      <w:pPr>
        <w:rPr>
          <w:color w:val="000000"/>
          <w:spacing w:val="50"/>
          <w:sz w:val="29"/>
          <w:szCs w:val="29"/>
          <w:lang w:val="zh-TW"/>
        </w:rPr>
      </w:pPr>
    </w:p>
    <w:p w:rsidR="00A32067" w:rsidRDefault="00A32067">
      <w:pPr>
        <w:spacing w:line="360" w:lineRule="auto"/>
        <w:jc w:val="center"/>
        <w:outlineLvl w:val="2"/>
        <w:rPr>
          <w:b/>
          <w:bCs/>
          <w:sz w:val="44"/>
          <w:szCs w:val="44"/>
        </w:rPr>
      </w:pPr>
      <w:bookmarkStart w:id="83" w:name="_Toc519872311"/>
      <w:r>
        <w:rPr>
          <w:rFonts w:cs="宋体" w:hint="eastAsia"/>
          <w:b/>
          <w:bCs/>
          <w:sz w:val="44"/>
          <w:szCs w:val="44"/>
        </w:rPr>
        <w:t>河北省财政厅关于张家口市城市基础设施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25</w:t>
      </w:r>
      <w:r>
        <w:rPr>
          <w:rFonts w:cs="宋体" w:hint="eastAsia"/>
          <w:color w:val="000000"/>
          <w:sz w:val="22"/>
          <w:szCs w:val="22"/>
        </w:rPr>
        <w:t>号</w:t>
      </w:r>
      <w:bookmarkEnd w:id="83"/>
    </w:p>
    <w:p w:rsidR="00A32067" w:rsidRDefault="00A32067">
      <w:pPr>
        <w:jc w:val="center"/>
        <w:outlineLvl w:val="0"/>
        <w:rPr>
          <w:b/>
          <w:bCs/>
          <w:sz w:val="44"/>
          <w:szCs w:val="44"/>
        </w:rPr>
      </w:pPr>
    </w:p>
    <w:p w:rsidR="00A32067" w:rsidRDefault="00A32067">
      <w:pPr>
        <w:spacing w:line="360" w:lineRule="auto"/>
        <w:jc w:val="left"/>
        <w:rPr>
          <w:spacing w:val="24"/>
          <w:sz w:val="22"/>
          <w:szCs w:val="22"/>
        </w:rPr>
      </w:pPr>
      <w:r>
        <w:rPr>
          <w:rFonts w:cs="宋体" w:hint="eastAsia"/>
          <w:spacing w:val="24"/>
          <w:sz w:val="22"/>
          <w:szCs w:val="22"/>
        </w:rPr>
        <w:t>张家口市财政局：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你市《关于调整城市基础设施配套费收费标准的请示》</w:t>
      </w:r>
      <w:r>
        <w:rPr>
          <w:spacing w:val="24"/>
          <w:sz w:val="22"/>
          <w:szCs w:val="22"/>
        </w:rPr>
        <w:t>(</w:t>
      </w:r>
      <w:r>
        <w:rPr>
          <w:rFonts w:cs="宋体" w:hint="eastAsia"/>
          <w:spacing w:val="24"/>
          <w:sz w:val="22"/>
          <w:szCs w:val="22"/>
        </w:rPr>
        <w:t>张财请字〔</w:t>
      </w:r>
      <w:r>
        <w:rPr>
          <w:spacing w:val="24"/>
          <w:sz w:val="22"/>
          <w:szCs w:val="22"/>
        </w:rPr>
        <w:t>2017</w:t>
      </w:r>
      <w:r>
        <w:rPr>
          <w:rFonts w:cs="宋体" w:hint="eastAsia"/>
          <w:spacing w:val="24"/>
          <w:sz w:val="22"/>
          <w:szCs w:val="22"/>
        </w:rPr>
        <w:t>〕</w:t>
      </w:r>
      <w:r>
        <w:rPr>
          <w:spacing w:val="24"/>
          <w:sz w:val="22"/>
          <w:szCs w:val="22"/>
        </w:rPr>
        <w:t>12</w:t>
      </w:r>
      <w:r>
        <w:rPr>
          <w:rFonts w:cs="宋体" w:hint="eastAsia"/>
          <w:spacing w:val="24"/>
          <w:sz w:val="22"/>
          <w:szCs w:val="22"/>
        </w:rPr>
        <w:t>号）收悉，经认其研究并报请省玫府批准，现对你市（含市、区、县）调整城市基础设施配套费（以下简称配套费）收费标准等事项批复如下：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w:t>
      </w:r>
      <w:r>
        <w:rPr>
          <w:spacing w:val="24"/>
          <w:sz w:val="22"/>
          <w:szCs w:val="22"/>
        </w:rPr>
        <w:t>)</w:t>
      </w:r>
      <w:r>
        <w:rPr>
          <w:rFonts w:cs="宋体" w:hint="eastAsia"/>
          <w:spacing w:val="24"/>
          <w:sz w:val="22"/>
          <w:szCs w:val="22"/>
        </w:rPr>
        <w:t>，区，建制镇，具体本准见附件。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r>
        <w:rPr>
          <w:spacing w:val="24"/>
          <w:sz w:val="22"/>
          <w:szCs w:val="22"/>
        </w:rPr>
        <w:t>.</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三、配套费实行玫府性基金管理。县级（含县敦）以上政府住房和城乡建设行政主管部门为配套费执收单位，使用财政票据，将收入全额缴入地方国库，纳入地方政府基金预算</w:t>
      </w:r>
      <w:r>
        <w:rPr>
          <w:spacing w:val="24"/>
          <w:sz w:val="22"/>
          <w:szCs w:val="22"/>
        </w:rPr>
        <w:t>.</w:t>
      </w:r>
      <w:r>
        <w:rPr>
          <w:rFonts w:cs="宋体" w:hint="eastAsia"/>
          <w:spacing w:val="24"/>
          <w:sz w:val="22"/>
          <w:szCs w:val="22"/>
        </w:rPr>
        <w:t>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 xml:space="preserve">” </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曰。</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附件：张家口市城市基础设施配套费收费标准。</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jc w:val="right"/>
        <w:rPr>
          <w:spacing w:val="24"/>
          <w:sz w:val="22"/>
          <w:szCs w:val="22"/>
        </w:rPr>
      </w:pPr>
      <w:r>
        <w:rPr>
          <w:rFonts w:cs="宋体" w:hint="eastAsia"/>
          <w:spacing w:val="24"/>
          <w:sz w:val="22"/>
          <w:szCs w:val="22"/>
        </w:rPr>
        <w:t>河北省财政厅</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21</w:t>
      </w:r>
      <w:r>
        <w:rPr>
          <w:rFonts w:cs="宋体" w:hint="eastAsia"/>
          <w:spacing w:val="24"/>
          <w:sz w:val="22"/>
          <w:szCs w:val="22"/>
        </w:rPr>
        <w:t>日</w:t>
      </w:r>
    </w:p>
    <w:tbl>
      <w:tblPr>
        <w:tblW w:w="9594" w:type="dxa"/>
        <w:tblInd w:w="2" w:type="dxa"/>
        <w:tblLayout w:type="fixed"/>
        <w:tblLook w:val="00A0"/>
      </w:tblPr>
      <w:tblGrid>
        <w:gridCol w:w="704"/>
        <w:gridCol w:w="1169"/>
        <w:gridCol w:w="743"/>
        <w:gridCol w:w="121"/>
        <w:gridCol w:w="764"/>
        <w:gridCol w:w="102"/>
        <w:gridCol w:w="779"/>
        <w:gridCol w:w="86"/>
        <w:gridCol w:w="799"/>
        <w:gridCol w:w="67"/>
        <w:gridCol w:w="814"/>
        <w:gridCol w:w="51"/>
        <w:gridCol w:w="834"/>
        <w:gridCol w:w="32"/>
        <w:gridCol w:w="849"/>
        <w:gridCol w:w="16"/>
        <w:gridCol w:w="872"/>
        <w:gridCol w:w="792"/>
      </w:tblGrid>
      <w:tr w:rsidR="00A32067">
        <w:trPr>
          <w:trHeight w:val="420"/>
        </w:trPr>
        <w:tc>
          <w:tcPr>
            <w:tcW w:w="1873" w:type="dxa"/>
            <w:gridSpan w:val="2"/>
            <w:tcBorders>
              <w:top w:val="nil"/>
              <w:left w:val="nil"/>
              <w:bottom w:val="nil"/>
              <w:right w:val="nil"/>
            </w:tcBorders>
            <w:vAlign w:val="center"/>
          </w:tcPr>
          <w:p w:rsidR="00A32067" w:rsidRDefault="00A32067">
            <w:pPr>
              <w:rPr>
                <w:color w:val="000000"/>
                <w:sz w:val="24"/>
                <w:szCs w:val="24"/>
              </w:rPr>
            </w:pPr>
            <w:r>
              <w:rPr>
                <w:rFonts w:cs="宋体" w:hint="eastAsia"/>
                <w:color w:val="000000"/>
                <w:sz w:val="24"/>
                <w:szCs w:val="24"/>
              </w:rPr>
              <w:t>附件：</w:t>
            </w:r>
          </w:p>
        </w:tc>
        <w:tc>
          <w:tcPr>
            <w:tcW w:w="743" w:type="dxa"/>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8" w:type="dxa"/>
            <w:gridSpan w:val="2"/>
            <w:tcBorders>
              <w:top w:val="nil"/>
              <w:left w:val="nil"/>
              <w:bottom w:val="nil"/>
              <w:right w:val="nil"/>
            </w:tcBorders>
            <w:vAlign w:val="center"/>
          </w:tcPr>
          <w:p w:rsidR="00A32067" w:rsidRDefault="00A32067">
            <w:pPr>
              <w:rPr>
                <w:color w:val="000000"/>
              </w:rPr>
            </w:pPr>
          </w:p>
        </w:tc>
        <w:tc>
          <w:tcPr>
            <w:tcW w:w="792" w:type="dxa"/>
            <w:tcBorders>
              <w:top w:val="nil"/>
              <w:left w:val="nil"/>
              <w:bottom w:val="nil"/>
              <w:right w:val="nil"/>
            </w:tcBorders>
            <w:vAlign w:val="center"/>
          </w:tcPr>
          <w:p w:rsidR="00A32067" w:rsidRDefault="00A32067">
            <w:pPr>
              <w:rPr>
                <w:color w:val="000000"/>
              </w:rPr>
            </w:pPr>
          </w:p>
          <w:p w:rsidR="00A32067" w:rsidRDefault="00A32067">
            <w:pPr>
              <w:rPr>
                <w:color w:val="000000"/>
              </w:rPr>
            </w:pPr>
          </w:p>
        </w:tc>
      </w:tr>
      <w:tr w:rsidR="00A32067">
        <w:trPr>
          <w:trHeight w:val="825"/>
        </w:trPr>
        <w:tc>
          <w:tcPr>
            <w:tcW w:w="9594" w:type="dxa"/>
            <w:gridSpan w:val="18"/>
            <w:tcBorders>
              <w:top w:val="nil"/>
              <w:left w:val="nil"/>
              <w:bottom w:val="nil"/>
              <w:right w:val="nil"/>
            </w:tcBorders>
            <w:vAlign w:val="center"/>
          </w:tcPr>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张家口市城市基础设施配套费收费标准</w:t>
            </w:r>
          </w:p>
        </w:tc>
      </w:tr>
      <w:tr w:rsidR="00A32067">
        <w:trPr>
          <w:trHeight w:val="495"/>
        </w:trPr>
        <w:tc>
          <w:tcPr>
            <w:tcW w:w="704" w:type="dxa"/>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1169" w:type="dxa"/>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743" w:type="dxa"/>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885" w:type="dxa"/>
            <w:gridSpan w:val="2"/>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881" w:type="dxa"/>
            <w:gridSpan w:val="2"/>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885" w:type="dxa"/>
            <w:gridSpan w:val="2"/>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881" w:type="dxa"/>
            <w:gridSpan w:val="2"/>
            <w:tcBorders>
              <w:top w:val="nil"/>
              <w:left w:val="nil"/>
              <w:bottom w:val="single" w:sz="4" w:space="0" w:color="auto"/>
              <w:right w:val="nil"/>
            </w:tcBorders>
            <w:vAlign w:val="center"/>
          </w:tcPr>
          <w:p w:rsidR="00A32067" w:rsidRDefault="00A32067">
            <w:pPr>
              <w:jc w:val="center"/>
              <w:rPr>
                <w:b/>
                <w:bCs/>
                <w:color w:val="000000"/>
                <w:sz w:val="36"/>
                <w:szCs w:val="36"/>
              </w:rPr>
            </w:pPr>
            <w:r>
              <w:rPr>
                <w:rFonts w:cs="宋体" w:hint="eastAsia"/>
                <w:b/>
                <w:bCs/>
                <w:color w:val="000000"/>
                <w:sz w:val="36"/>
                <w:szCs w:val="36"/>
              </w:rPr>
              <w:t xml:space="preserve">　</w:t>
            </w:r>
          </w:p>
        </w:tc>
        <w:tc>
          <w:tcPr>
            <w:tcW w:w="885" w:type="dxa"/>
            <w:gridSpan w:val="2"/>
            <w:tcBorders>
              <w:top w:val="nil"/>
              <w:left w:val="nil"/>
              <w:bottom w:val="single" w:sz="4" w:space="0" w:color="auto"/>
              <w:right w:val="nil"/>
            </w:tcBorders>
            <w:vAlign w:val="center"/>
          </w:tcPr>
          <w:p w:rsidR="00A32067" w:rsidRDefault="00A32067">
            <w:pPr>
              <w:jc w:val="center"/>
              <w:rPr>
                <w:b/>
                <w:bCs/>
                <w:color w:val="000000"/>
                <w:sz w:val="24"/>
                <w:szCs w:val="24"/>
              </w:rPr>
            </w:pPr>
            <w:r>
              <w:rPr>
                <w:rFonts w:cs="宋体" w:hint="eastAsia"/>
                <w:b/>
                <w:bCs/>
                <w:color w:val="000000"/>
                <w:sz w:val="24"/>
                <w:szCs w:val="24"/>
              </w:rPr>
              <w:t xml:space="preserve">　</w:t>
            </w:r>
          </w:p>
        </w:tc>
        <w:tc>
          <w:tcPr>
            <w:tcW w:w="2561" w:type="dxa"/>
            <w:gridSpan w:val="5"/>
            <w:tcBorders>
              <w:top w:val="nil"/>
              <w:left w:val="nil"/>
              <w:bottom w:val="single" w:sz="4" w:space="0" w:color="auto"/>
              <w:right w:val="nil"/>
            </w:tcBorders>
            <w:vAlign w:val="center"/>
          </w:tcPr>
          <w:p w:rsidR="00A32067" w:rsidRDefault="00A32067">
            <w:pPr>
              <w:spacing w:before="100" w:beforeAutospacing="1" w:after="100" w:afterAutospacing="1" w:line="360" w:lineRule="auto"/>
              <w:jc w:val="center"/>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465"/>
        </w:trPr>
        <w:tc>
          <w:tcPr>
            <w:tcW w:w="704" w:type="dxa"/>
            <w:vMerge w:val="restart"/>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169" w:type="dxa"/>
            <w:vMerge w:val="restart"/>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地区</w:t>
            </w:r>
          </w:p>
        </w:tc>
        <w:tc>
          <w:tcPr>
            <w:tcW w:w="6929" w:type="dxa"/>
            <w:gridSpan w:val="15"/>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配套费执行标准</w:t>
            </w:r>
          </w:p>
        </w:tc>
        <w:tc>
          <w:tcPr>
            <w:tcW w:w="792" w:type="dxa"/>
            <w:vMerge w:val="restart"/>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450"/>
        </w:trPr>
        <w:tc>
          <w:tcPr>
            <w:tcW w:w="704"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169"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730"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设区市</w:t>
            </w:r>
          </w:p>
        </w:tc>
        <w:tc>
          <w:tcPr>
            <w:tcW w:w="1731"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县级市</w:t>
            </w:r>
          </w:p>
        </w:tc>
        <w:tc>
          <w:tcPr>
            <w:tcW w:w="1731"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1737" w:type="dxa"/>
            <w:gridSpan w:val="3"/>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建制镇</w:t>
            </w:r>
          </w:p>
        </w:tc>
        <w:tc>
          <w:tcPr>
            <w:tcW w:w="792"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val="480"/>
        </w:trPr>
        <w:tc>
          <w:tcPr>
            <w:tcW w:w="704"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169"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86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72"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2" w:type="dxa"/>
            <w:vMerge/>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val="751"/>
        </w:trPr>
        <w:tc>
          <w:tcPr>
            <w:tcW w:w="704"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w:t>
            </w:r>
          </w:p>
        </w:tc>
        <w:tc>
          <w:tcPr>
            <w:tcW w:w="1169"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市区（含经开区）</w:t>
            </w:r>
          </w:p>
        </w:tc>
        <w:tc>
          <w:tcPr>
            <w:tcW w:w="86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160</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72"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792"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r>
      <w:tr w:rsidR="00A32067">
        <w:trPr>
          <w:trHeight w:val="407"/>
        </w:trPr>
        <w:tc>
          <w:tcPr>
            <w:tcW w:w="704"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w:t>
            </w:r>
          </w:p>
        </w:tc>
        <w:tc>
          <w:tcPr>
            <w:tcW w:w="1169"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怀来县</w:t>
            </w:r>
          </w:p>
        </w:tc>
        <w:tc>
          <w:tcPr>
            <w:tcW w:w="86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872"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792"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r>
      <w:tr w:rsidR="00A32067">
        <w:trPr>
          <w:trHeight w:val="427"/>
        </w:trPr>
        <w:tc>
          <w:tcPr>
            <w:tcW w:w="704"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3</w:t>
            </w:r>
          </w:p>
        </w:tc>
        <w:tc>
          <w:tcPr>
            <w:tcW w:w="1169"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86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65</w:t>
            </w:r>
          </w:p>
        </w:tc>
        <w:tc>
          <w:tcPr>
            <w:tcW w:w="8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65</w:t>
            </w:r>
          </w:p>
        </w:tc>
        <w:tc>
          <w:tcPr>
            <w:tcW w:w="86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872"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792"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 xml:space="preserve">　</w:t>
            </w:r>
          </w:p>
        </w:tc>
      </w:tr>
    </w:tbl>
    <w:p w:rsidR="00A32067" w:rsidRDefault="00A32067">
      <w:pPr>
        <w:spacing w:line="360" w:lineRule="auto"/>
        <w:jc w:val="center"/>
        <w:outlineLvl w:val="2"/>
        <w:rPr>
          <w:b/>
          <w:bCs/>
          <w:sz w:val="44"/>
          <w:szCs w:val="44"/>
        </w:rPr>
      </w:pPr>
      <w:bookmarkStart w:id="84" w:name="_Toc519872312"/>
      <w:r>
        <w:rPr>
          <w:rFonts w:cs="宋体" w:hint="eastAsia"/>
          <w:b/>
          <w:bCs/>
          <w:sz w:val="44"/>
          <w:szCs w:val="44"/>
        </w:rPr>
        <w:t>河北省财政厅关于保定市城市基础设施</w:t>
      </w:r>
      <w:r>
        <w:rPr>
          <w:b/>
          <w:bCs/>
          <w:sz w:val="44"/>
          <w:szCs w:val="44"/>
        </w:rPr>
        <w:br/>
      </w:r>
      <w:r>
        <w:rPr>
          <w:rFonts w:cs="宋体" w:hint="eastAsia"/>
          <w:b/>
          <w:bCs/>
          <w:sz w:val="44"/>
          <w:szCs w:val="44"/>
        </w:rPr>
        <w:t>配套费标准的通知</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21</w:t>
      </w:r>
      <w:r>
        <w:rPr>
          <w:rFonts w:cs="宋体" w:hint="eastAsia"/>
          <w:color w:val="000000"/>
          <w:sz w:val="22"/>
          <w:szCs w:val="22"/>
        </w:rPr>
        <w:t>号</w:t>
      </w:r>
      <w:bookmarkEnd w:id="84"/>
    </w:p>
    <w:p w:rsidR="00A32067" w:rsidRDefault="00A32067">
      <w:pPr>
        <w:jc w:val="center"/>
        <w:rPr>
          <w:rFonts w:eastAsia="微软雅黑"/>
          <w:b/>
          <w:bCs/>
          <w:color w:val="000000"/>
          <w:sz w:val="24"/>
          <w:szCs w:val="24"/>
          <w:lang w:val="zh-TW"/>
        </w:rPr>
      </w:pPr>
    </w:p>
    <w:p w:rsidR="00A32067" w:rsidRDefault="00A32067">
      <w:pPr>
        <w:spacing w:line="360" w:lineRule="auto"/>
        <w:jc w:val="left"/>
        <w:rPr>
          <w:spacing w:val="24"/>
          <w:sz w:val="22"/>
          <w:szCs w:val="22"/>
        </w:rPr>
      </w:pPr>
      <w:r>
        <w:rPr>
          <w:rFonts w:cs="宋体" w:hint="eastAsia"/>
          <w:spacing w:val="24"/>
          <w:sz w:val="22"/>
          <w:szCs w:val="22"/>
        </w:rPr>
        <w:t>保定市财政局：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你市《关于城市基础设施配套费标准调整意见的报告》（保财〔</w:t>
      </w:r>
      <w:r>
        <w:rPr>
          <w:spacing w:val="24"/>
          <w:sz w:val="22"/>
          <w:szCs w:val="22"/>
        </w:rPr>
        <w:t>2017</w:t>
      </w:r>
      <w:r>
        <w:rPr>
          <w:rFonts w:cs="宋体" w:hint="eastAsia"/>
          <w:spacing w:val="24"/>
          <w:sz w:val="22"/>
          <w:szCs w:val="22"/>
        </w:rPr>
        <w:t>〕</w:t>
      </w:r>
      <w:r>
        <w:rPr>
          <w:spacing w:val="24"/>
          <w:sz w:val="22"/>
          <w:szCs w:val="22"/>
        </w:rPr>
        <w:t>28</w:t>
      </w:r>
      <w:r>
        <w:rPr>
          <w:rFonts w:cs="宋体" w:hint="eastAsia"/>
          <w:spacing w:val="24"/>
          <w:sz w:val="22"/>
          <w:szCs w:val="22"/>
        </w:rPr>
        <w:t>号）收悉，经认真研究并报请省政府批准，现对你市（含市、区、县）申请调整城市基础设施配套费（以下简称配套费）收费标准等事项批复如下：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一、配套费收费标准含市、县（市）、区、建制镇，具体标准见附件。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二、调标后的配套费资金增量部分，在水价调整补偿期内用于引水价补贴、城镇供水管网改造、新建供水设施，做到专款专用。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三、配套费实行政府性基金管理。县级（含县级）以上政府住房和城乡建设行政主管部门为配套费执收单位，使用财政票据，将收入全额缴入地方国库，纳入地方政府基金预算。在政府收支分类科目中收入列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附件：保定市城市基础设施配套费收费标准</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right="402" w:firstLineChars="200" w:firstLine="31680"/>
        <w:jc w:val="right"/>
        <w:rPr>
          <w:spacing w:val="24"/>
          <w:sz w:val="22"/>
          <w:szCs w:val="22"/>
        </w:rPr>
      </w:pPr>
      <w:r>
        <w:rPr>
          <w:spacing w:val="24"/>
          <w:sz w:val="22"/>
          <w:szCs w:val="22"/>
        </w:rPr>
        <w:t> </w:t>
      </w:r>
      <w:r>
        <w:rPr>
          <w:rFonts w:cs="宋体" w:hint="eastAsia"/>
          <w:spacing w:val="24"/>
          <w:sz w:val="22"/>
          <w:szCs w:val="22"/>
        </w:rPr>
        <w:t>河北省财政厅</w:t>
      </w:r>
    </w:p>
    <w:p w:rsidR="00A32067" w:rsidRDefault="00A32067" w:rsidP="005431C7">
      <w:pPr>
        <w:spacing w:line="360" w:lineRule="auto"/>
        <w:ind w:firstLineChars="200" w:firstLine="31680"/>
        <w:rPr>
          <w:spacing w:val="24"/>
          <w:sz w:val="22"/>
          <w:szCs w:val="22"/>
        </w:rPr>
      </w:pPr>
      <w:r>
        <w:rPr>
          <w:spacing w:val="24"/>
          <w:sz w:val="22"/>
          <w:szCs w:val="22"/>
        </w:rPr>
        <w:t>                           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pPr>
        <w:rPr>
          <w:rFonts w:eastAsia="黑体"/>
          <w:color w:val="000000"/>
          <w:sz w:val="24"/>
          <w:szCs w:val="24"/>
        </w:rPr>
        <w:sectPr w:rsidR="00A32067">
          <w:pgSz w:w="11907" w:h="16840"/>
          <w:pgMar w:top="1134" w:right="1077" w:bottom="1134" w:left="1077" w:header="794" w:footer="567" w:gutter="284"/>
          <w:cols w:space="720"/>
          <w:docGrid w:linePitch="312"/>
        </w:sectPr>
      </w:pPr>
    </w:p>
    <w:tbl>
      <w:tblPr>
        <w:tblW w:w="9480" w:type="dxa"/>
        <w:tblInd w:w="2" w:type="dxa"/>
        <w:tblLayout w:type="fixed"/>
        <w:tblLook w:val="00A0"/>
      </w:tblPr>
      <w:tblGrid>
        <w:gridCol w:w="587"/>
        <w:gridCol w:w="1230"/>
        <w:gridCol w:w="164"/>
        <w:gridCol w:w="717"/>
        <w:gridCol w:w="595"/>
        <w:gridCol w:w="290"/>
        <w:gridCol w:w="510"/>
        <w:gridCol w:w="371"/>
        <w:gridCol w:w="422"/>
        <w:gridCol w:w="463"/>
        <w:gridCol w:w="331"/>
        <w:gridCol w:w="550"/>
        <w:gridCol w:w="244"/>
        <w:gridCol w:w="641"/>
        <w:gridCol w:w="152"/>
        <w:gridCol w:w="729"/>
        <w:gridCol w:w="65"/>
        <w:gridCol w:w="794"/>
        <w:gridCol w:w="26"/>
        <w:gridCol w:w="599"/>
      </w:tblGrid>
      <w:tr w:rsidR="00A32067">
        <w:trPr>
          <w:trHeight w:val="420"/>
        </w:trPr>
        <w:tc>
          <w:tcPr>
            <w:tcW w:w="1817" w:type="dxa"/>
            <w:gridSpan w:val="2"/>
            <w:tcBorders>
              <w:top w:val="nil"/>
              <w:left w:val="nil"/>
              <w:bottom w:val="nil"/>
              <w:right w:val="nil"/>
            </w:tcBorders>
            <w:vAlign w:val="center"/>
          </w:tcPr>
          <w:p w:rsidR="00A32067" w:rsidRDefault="00A32067">
            <w:pPr>
              <w:rPr>
                <w:rFonts w:eastAsia="黑体"/>
                <w:color w:val="000000"/>
                <w:sz w:val="24"/>
                <w:szCs w:val="24"/>
              </w:rPr>
            </w:pPr>
            <w:r>
              <w:rPr>
                <w:rFonts w:eastAsia="黑体" w:cs="黑体" w:hint="eastAsia"/>
                <w:color w:val="000000"/>
                <w:sz w:val="24"/>
                <w:szCs w:val="24"/>
              </w:rPr>
              <w:t>附件：</w:t>
            </w: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3"/>
            <w:tcBorders>
              <w:top w:val="nil"/>
              <w:left w:val="nil"/>
              <w:bottom w:val="nil"/>
              <w:right w:val="nil"/>
            </w:tcBorders>
            <w:vAlign w:val="center"/>
          </w:tcPr>
          <w:p w:rsidR="00A32067" w:rsidRDefault="00A32067">
            <w:pPr>
              <w:rPr>
                <w:color w:val="000000"/>
              </w:rPr>
            </w:pPr>
          </w:p>
        </w:tc>
        <w:tc>
          <w:tcPr>
            <w:tcW w:w="599" w:type="dxa"/>
            <w:tcBorders>
              <w:top w:val="nil"/>
              <w:left w:val="nil"/>
              <w:bottom w:val="nil"/>
              <w:right w:val="nil"/>
            </w:tcBorders>
            <w:vAlign w:val="center"/>
          </w:tcPr>
          <w:p w:rsidR="00A32067" w:rsidRDefault="00A32067">
            <w:pPr>
              <w:rPr>
                <w:color w:val="000000"/>
              </w:rPr>
            </w:pPr>
          </w:p>
        </w:tc>
      </w:tr>
      <w:tr w:rsidR="00A32067">
        <w:trPr>
          <w:trHeight w:val="825"/>
        </w:trPr>
        <w:tc>
          <w:tcPr>
            <w:tcW w:w="9480" w:type="dxa"/>
            <w:gridSpan w:val="20"/>
            <w:tcBorders>
              <w:top w:val="nil"/>
              <w:left w:val="nil"/>
              <w:bottom w:val="nil"/>
              <w:right w:val="nil"/>
            </w:tcBorders>
            <w:vAlign w:val="center"/>
          </w:tcPr>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保定市城市基础设施配套费收费标准</w:t>
            </w:r>
          </w:p>
          <w:p w:rsidR="00A32067" w:rsidRDefault="00A32067">
            <w:pPr>
              <w:spacing w:before="100" w:beforeAutospacing="1" w:after="100" w:afterAutospacing="1" w:line="360" w:lineRule="auto"/>
              <w:jc w:val="right"/>
              <w:rPr>
                <w:b/>
                <w:bCs/>
                <w:color w:val="000000"/>
                <w:sz w:val="24"/>
                <w:szCs w:val="24"/>
              </w:rPr>
            </w:pPr>
            <w:r>
              <w:rPr>
                <w:rFonts w:cs="宋体" w:hint="eastAsia"/>
                <w:b/>
                <w:bCs/>
                <w:color w:val="000000"/>
                <w:sz w:val="24"/>
                <w:szCs w:val="24"/>
              </w:rPr>
              <w:t>单位：元</w:t>
            </w:r>
            <w:r>
              <w:rPr>
                <w:b/>
                <w:bCs/>
                <w:color w:val="000000"/>
                <w:sz w:val="24"/>
                <w:szCs w:val="24"/>
              </w:rPr>
              <w:t>/</w:t>
            </w:r>
            <w:r>
              <w:rPr>
                <w:rFonts w:cs="宋体" w:hint="eastAsia"/>
                <w:b/>
                <w:bCs/>
                <w:color w:val="000000"/>
                <w:sz w:val="24"/>
                <w:szCs w:val="24"/>
              </w:rPr>
              <w:t>平方米</w:t>
            </w:r>
          </w:p>
        </w:tc>
      </w:tr>
      <w:tr w:rsidR="00A32067">
        <w:trPr>
          <w:trHeight w:val="545"/>
        </w:trPr>
        <w:tc>
          <w:tcPr>
            <w:tcW w:w="587"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394" w:type="dxa"/>
            <w:gridSpan w:val="2"/>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地区</w:t>
            </w:r>
          </w:p>
        </w:tc>
        <w:tc>
          <w:tcPr>
            <w:tcW w:w="6874" w:type="dxa"/>
            <w:gridSpan w:val="15"/>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配套费执行标准</w:t>
            </w:r>
          </w:p>
        </w:tc>
        <w:tc>
          <w:tcPr>
            <w:tcW w:w="625" w:type="dxa"/>
            <w:gridSpan w:val="2"/>
            <w:vMerge w:val="restart"/>
            <w:tcBorders>
              <w:top w:val="single" w:sz="4" w:space="0" w:color="auto"/>
              <w:left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550"/>
        </w:trPr>
        <w:tc>
          <w:tcPr>
            <w:tcW w:w="587"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2112"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设区市</w:t>
            </w:r>
          </w:p>
        </w:tc>
        <w:tc>
          <w:tcPr>
            <w:tcW w:w="158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县级市</w:t>
            </w:r>
          </w:p>
        </w:tc>
        <w:tc>
          <w:tcPr>
            <w:tcW w:w="158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1588" w:type="dxa"/>
            <w:gridSpan w:val="3"/>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建制镇</w:t>
            </w:r>
          </w:p>
        </w:tc>
        <w:tc>
          <w:tcPr>
            <w:tcW w:w="625" w:type="dxa"/>
            <w:gridSpan w:val="2"/>
            <w:vMerge/>
            <w:tcBorders>
              <w:left w:val="single" w:sz="4" w:space="0" w:color="auto"/>
              <w:bottom w:val="single" w:sz="4" w:space="0" w:color="auto"/>
              <w:right w:val="single" w:sz="4" w:space="0" w:color="auto"/>
            </w:tcBorders>
            <w:vAlign w:val="center"/>
          </w:tcPr>
          <w:p w:rsidR="00A32067" w:rsidRDefault="00A32067">
            <w:pPr>
              <w:rPr>
                <w:color w:val="000000"/>
              </w:rPr>
            </w:pPr>
          </w:p>
        </w:tc>
      </w:tr>
      <w:tr w:rsidR="00A32067">
        <w:trPr>
          <w:trHeight w:val="345"/>
        </w:trPr>
        <w:tc>
          <w:tcPr>
            <w:tcW w:w="587"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1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625" w:type="dxa"/>
            <w:gridSpan w:val="2"/>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市区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148</w:t>
            </w: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148</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满城区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3</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清苑区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70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4</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徐水区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70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5</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涿州市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113</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87</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6</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高碑店市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110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85</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7</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安国市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100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100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8</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白沟</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70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9</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安新县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10</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雄县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45</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45</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11</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容城县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12</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博野县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60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60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13</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蠡县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40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14</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高阳县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15</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定兴县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70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794" w:type="dxa"/>
            <w:tcBorders>
              <w:top w:val="nil"/>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62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16</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涞源县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17</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涞水县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18</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易县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65</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65</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35</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35</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19</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望都县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90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70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20</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顺平县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21</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曲阳县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22</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唐县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25</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454"/>
        </w:trPr>
        <w:tc>
          <w:tcPr>
            <w:tcW w:w="587"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23</w:t>
            </w:r>
          </w:p>
        </w:tc>
        <w:tc>
          <w:tcPr>
            <w:tcW w:w="13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阜平县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3"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50</w:t>
            </w:r>
          </w:p>
        </w:tc>
        <w:tc>
          <w:tcPr>
            <w:tcW w:w="794" w:type="dxa"/>
            <w:gridSpan w:val="2"/>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30</w:t>
            </w:r>
          </w:p>
        </w:tc>
        <w:tc>
          <w:tcPr>
            <w:tcW w:w="794" w:type="dxa"/>
            <w:tcBorders>
              <w:top w:val="single" w:sz="4" w:space="0" w:color="auto"/>
              <w:left w:val="nil"/>
              <w:bottom w:val="single" w:sz="4" w:space="0" w:color="auto"/>
              <w:right w:val="single" w:sz="4" w:space="0" w:color="auto"/>
            </w:tcBorders>
            <w:vAlign w:val="center"/>
          </w:tcPr>
          <w:p w:rsidR="00A32067" w:rsidRDefault="00A32067">
            <w:pPr>
              <w:jc w:val="center"/>
              <w:rPr>
                <w:rFonts w:eastAsia="微软雅黑"/>
                <w:color w:val="000000"/>
              </w:rPr>
            </w:pPr>
            <w:r>
              <w:rPr>
                <w:rFonts w:eastAsia="微软雅黑"/>
                <w:color w:val="000000"/>
              </w:rPr>
              <w:t>30</w:t>
            </w:r>
          </w:p>
        </w:tc>
        <w:tc>
          <w:tcPr>
            <w:tcW w:w="625"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r>
    </w:tbl>
    <w:p w:rsidR="00A32067" w:rsidRDefault="00A32067">
      <w:pPr>
        <w:spacing w:line="360" w:lineRule="auto"/>
        <w:jc w:val="center"/>
        <w:outlineLvl w:val="0"/>
        <w:rPr>
          <w:rFonts w:eastAsia="微软雅黑"/>
          <w:b/>
          <w:bCs/>
          <w:color w:val="000000"/>
          <w:spacing w:val="20"/>
          <w:sz w:val="44"/>
          <w:szCs w:val="44"/>
          <w:lang w:val="zh-TW"/>
        </w:rPr>
      </w:pPr>
    </w:p>
    <w:p w:rsidR="00A32067" w:rsidRDefault="00A32067">
      <w:pPr>
        <w:spacing w:line="360" w:lineRule="auto"/>
        <w:jc w:val="center"/>
        <w:outlineLvl w:val="2"/>
        <w:rPr>
          <w:b/>
          <w:bCs/>
          <w:sz w:val="44"/>
          <w:szCs w:val="44"/>
        </w:rPr>
      </w:pPr>
      <w:bookmarkStart w:id="85" w:name="_Toc519872313"/>
      <w:r>
        <w:rPr>
          <w:rFonts w:cs="宋体" w:hint="eastAsia"/>
          <w:b/>
          <w:bCs/>
          <w:sz w:val="44"/>
          <w:szCs w:val="44"/>
        </w:rPr>
        <w:t>河北省财政厅关于沧州市城市基础设施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20</w:t>
      </w:r>
      <w:r>
        <w:rPr>
          <w:rFonts w:cs="宋体" w:hint="eastAsia"/>
          <w:color w:val="000000"/>
          <w:sz w:val="22"/>
          <w:szCs w:val="22"/>
        </w:rPr>
        <w:t>号</w:t>
      </w:r>
      <w:bookmarkEnd w:id="85"/>
    </w:p>
    <w:p w:rsidR="00A32067" w:rsidRDefault="00A32067">
      <w:pPr>
        <w:spacing w:line="360" w:lineRule="auto"/>
        <w:jc w:val="left"/>
        <w:rPr>
          <w:spacing w:val="24"/>
          <w:sz w:val="22"/>
          <w:szCs w:val="22"/>
        </w:rPr>
      </w:pPr>
      <w:r>
        <w:rPr>
          <w:rFonts w:cs="宋体" w:hint="eastAsia"/>
          <w:spacing w:val="24"/>
          <w:sz w:val="22"/>
          <w:szCs w:val="22"/>
        </w:rPr>
        <w:t>沧州市财政局：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你市《关于调整城市基础设施配套费收费标准的请示》</w:t>
      </w:r>
      <w:r>
        <w:rPr>
          <w:spacing w:val="24"/>
          <w:sz w:val="22"/>
          <w:szCs w:val="22"/>
        </w:rPr>
        <w:t>(</w:t>
      </w:r>
      <w:r>
        <w:rPr>
          <w:rFonts w:cs="宋体" w:hint="eastAsia"/>
          <w:spacing w:val="24"/>
          <w:sz w:val="22"/>
          <w:szCs w:val="22"/>
        </w:rPr>
        <w:t>沧市财预〔</w:t>
      </w:r>
      <w:r>
        <w:rPr>
          <w:spacing w:val="24"/>
          <w:sz w:val="22"/>
          <w:szCs w:val="22"/>
        </w:rPr>
        <w:t>2017</w:t>
      </w:r>
      <w:r>
        <w:rPr>
          <w:rFonts w:cs="宋体" w:hint="eastAsia"/>
          <w:spacing w:val="24"/>
          <w:sz w:val="22"/>
          <w:szCs w:val="22"/>
        </w:rPr>
        <w:t>〕</w:t>
      </w:r>
      <w:r>
        <w:rPr>
          <w:spacing w:val="24"/>
          <w:sz w:val="22"/>
          <w:szCs w:val="22"/>
        </w:rPr>
        <w:t>4</w:t>
      </w:r>
      <w:r>
        <w:rPr>
          <w:rFonts w:cs="宋体" w:hint="eastAsia"/>
          <w:spacing w:val="24"/>
          <w:sz w:val="22"/>
          <w:szCs w:val="22"/>
        </w:rPr>
        <w:t>号）收悉，经认其研究并报请省玫府批准，现对你市（含市、区、县）调整城市基础设施配套费（以下简称配套费）收费标准等事项批复如下：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w:t>
      </w:r>
      <w:r>
        <w:rPr>
          <w:spacing w:val="24"/>
          <w:sz w:val="22"/>
          <w:szCs w:val="22"/>
        </w:rPr>
        <w:t>)</w:t>
      </w:r>
      <w:r>
        <w:rPr>
          <w:rFonts w:cs="宋体" w:hint="eastAsia"/>
          <w:spacing w:val="24"/>
          <w:sz w:val="22"/>
          <w:szCs w:val="22"/>
        </w:rPr>
        <w:t>，区，建制镇，具体本准见附件。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r>
        <w:rPr>
          <w:spacing w:val="24"/>
          <w:sz w:val="22"/>
          <w:szCs w:val="22"/>
        </w:rPr>
        <w:t>.</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三、配套费实行玫府性基金管理。县级（含县敦）以上政府住房和城乡建设行政主管部门为配套费执收单位，使用财政票据，将收入全额缴入地方国库，纳入地方政府基金预算</w:t>
      </w:r>
      <w:r>
        <w:rPr>
          <w:spacing w:val="24"/>
          <w:sz w:val="22"/>
          <w:szCs w:val="22"/>
        </w:rPr>
        <w:t>.</w:t>
      </w:r>
      <w:r>
        <w:rPr>
          <w:rFonts w:cs="宋体" w:hint="eastAsia"/>
          <w:spacing w:val="24"/>
          <w:sz w:val="22"/>
          <w:szCs w:val="22"/>
        </w:rPr>
        <w:t>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 xml:space="preserve">” </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曰。</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附件：沧州市城市基础设施配套费收费标准。</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right="268" w:firstLineChars="200" w:firstLine="31680"/>
        <w:jc w:val="right"/>
        <w:rPr>
          <w:spacing w:val="24"/>
          <w:sz w:val="22"/>
          <w:szCs w:val="22"/>
        </w:rPr>
      </w:pPr>
      <w:r>
        <w:rPr>
          <w:rFonts w:cs="宋体" w:hint="eastAsia"/>
          <w:spacing w:val="24"/>
          <w:sz w:val="22"/>
          <w:szCs w:val="22"/>
        </w:rPr>
        <w:t>河北省财政厅</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21</w:t>
      </w:r>
      <w:r>
        <w:rPr>
          <w:rFonts w:cs="宋体" w:hint="eastAsia"/>
          <w:spacing w:val="24"/>
          <w:sz w:val="22"/>
          <w:szCs w:val="22"/>
        </w:rPr>
        <w:t>日</w:t>
      </w: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pPr>
        <w:rPr>
          <w:rFonts w:eastAsia="黑体"/>
          <w:color w:val="000000"/>
          <w:sz w:val="24"/>
          <w:szCs w:val="24"/>
        </w:rPr>
        <w:sectPr w:rsidR="00A32067">
          <w:pgSz w:w="11907" w:h="16840"/>
          <w:pgMar w:top="1134" w:right="1077" w:bottom="1134" w:left="1077" w:header="794" w:footer="567" w:gutter="284"/>
          <w:cols w:space="720"/>
          <w:docGrid w:linePitch="312"/>
        </w:sectPr>
      </w:pPr>
    </w:p>
    <w:tbl>
      <w:tblPr>
        <w:tblW w:w="9510" w:type="dxa"/>
        <w:tblInd w:w="2" w:type="dxa"/>
        <w:tblLayout w:type="fixed"/>
        <w:tblLook w:val="00A0"/>
      </w:tblPr>
      <w:tblGrid>
        <w:gridCol w:w="557"/>
        <w:gridCol w:w="1230"/>
        <w:gridCol w:w="164"/>
        <w:gridCol w:w="717"/>
        <w:gridCol w:w="595"/>
        <w:gridCol w:w="290"/>
        <w:gridCol w:w="510"/>
        <w:gridCol w:w="371"/>
        <w:gridCol w:w="422"/>
        <w:gridCol w:w="463"/>
        <w:gridCol w:w="331"/>
        <w:gridCol w:w="550"/>
        <w:gridCol w:w="244"/>
        <w:gridCol w:w="641"/>
        <w:gridCol w:w="152"/>
        <w:gridCol w:w="729"/>
        <w:gridCol w:w="65"/>
        <w:gridCol w:w="794"/>
        <w:gridCol w:w="26"/>
        <w:gridCol w:w="659"/>
      </w:tblGrid>
      <w:tr w:rsidR="00A32067">
        <w:trPr>
          <w:trHeight w:val="420"/>
        </w:trPr>
        <w:tc>
          <w:tcPr>
            <w:tcW w:w="1787" w:type="dxa"/>
            <w:gridSpan w:val="2"/>
            <w:tcBorders>
              <w:top w:val="nil"/>
              <w:left w:val="nil"/>
              <w:bottom w:val="nil"/>
              <w:right w:val="nil"/>
            </w:tcBorders>
            <w:vAlign w:val="center"/>
          </w:tcPr>
          <w:p w:rsidR="00A32067" w:rsidRDefault="00A32067">
            <w:pPr>
              <w:rPr>
                <w:rFonts w:eastAsia="黑体"/>
                <w:color w:val="000000"/>
                <w:sz w:val="24"/>
                <w:szCs w:val="24"/>
              </w:rPr>
            </w:pPr>
            <w:r>
              <w:rPr>
                <w:rFonts w:eastAsia="黑体" w:cs="黑体" w:hint="eastAsia"/>
                <w:color w:val="000000"/>
                <w:sz w:val="24"/>
                <w:szCs w:val="24"/>
              </w:rPr>
              <w:t>附件：</w:t>
            </w:r>
          </w:p>
        </w:tc>
        <w:tc>
          <w:tcPr>
            <w:tcW w:w="881"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5"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1"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5"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1"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5"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1" w:type="dxa"/>
            <w:gridSpan w:val="2"/>
            <w:tcBorders>
              <w:top w:val="nil"/>
              <w:left w:val="nil"/>
              <w:bottom w:val="nil"/>
              <w:right w:val="nil"/>
            </w:tcBorders>
            <w:vAlign w:val="center"/>
          </w:tcPr>
          <w:p w:rsidR="00A32067" w:rsidRDefault="00A32067">
            <w:pPr>
              <w:rPr>
                <w:rFonts w:eastAsia="黑体"/>
                <w:color w:val="000000"/>
                <w:sz w:val="24"/>
                <w:szCs w:val="24"/>
              </w:rPr>
            </w:pPr>
          </w:p>
        </w:tc>
        <w:tc>
          <w:tcPr>
            <w:tcW w:w="885" w:type="dxa"/>
            <w:gridSpan w:val="3"/>
            <w:tcBorders>
              <w:top w:val="nil"/>
              <w:left w:val="nil"/>
              <w:bottom w:val="nil"/>
              <w:right w:val="nil"/>
            </w:tcBorders>
            <w:vAlign w:val="center"/>
          </w:tcPr>
          <w:p w:rsidR="00A32067" w:rsidRDefault="00A32067">
            <w:pPr>
              <w:rPr>
                <w:rFonts w:eastAsia="黑体"/>
                <w:color w:val="000000"/>
                <w:sz w:val="24"/>
                <w:szCs w:val="24"/>
              </w:rPr>
            </w:pPr>
          </w:p>
        </w:tc>
        <w:tc>
          <w:tcPr>
            <w:tcW w:w="659" w:type="dxa"/>
            <w:tcBorders>
              <w:top w:val="nil"/>
              <w:left w:val="nil"/>
              <w:bottom w:val="nil"/>
              <w:right w:val="nil"/>
            </w:tcBorders>
            <w:vAlign w:val="center"/>
          </w:tcPr>
          <w:p w:rsidR="00A32067" w:rsidRDefault="00A32067">
            <w:pPr>
              <w:rPr>
                <w:rFonts w:eastAsia="黑体"/>
                <w:color w:val="000000"/>
                <w:sz w:val="24"/>
                <w:szCs w:val="24"/>
              </w:rPr>
            </w:pPr>
          </w:p>
        </w:tc>
      </w:tr>
      <w:tr w:rsidR="00A32067">
        <w:trPr>
          <w:trHeight w:val="825"/>
        </w:trPr>
        <w:tc>
          <w:tcPr>
            <w:tcW w:w="9510" w:type="dxa"/>
            <w:gridSpan w:val="20"/>
            <w:tcBorders>
              <w:top w:val="nil"/>
              <w:left w:val="nil"/>
              <w:bottom w:val="nil"/>
              <w:right w:val="nil"/>
            </w:tcBorders>
            <w:vAlign w:val="center"/>
          </w:tcPr>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沧州市城市基础设施配套费收费标准</w:t>
            </w:r>
          </w:p>
          <w:p w:rsidR="00A32067" w:rsidRDefault="00A32067">
            <w:pPr>
              <w:spacing w:before="100" w:beforeAutospacing="1" w:after="100" w:afterAutospacing="1" w:line="360" w:lineRule="auto"/>
              <w:jc w:val="right"/>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545"/>
        </w:trPr>
        <w:tc>
          <w:tcPr>
            <w:tcW w:w="557"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394" w:type="dxa"/>
            <w:gridSpan w:val="2"/>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地区</w:t>
            </w:r>
          </w:p>
        </w:tc>
        <w:tc>
          <w:tcPr>
            <w:tcW w:w="6874" w:type="dxa"/>
            <w:gridSpan w:val="15"/>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配套费执行标准</w:t>
            </w:r>
          </w:p>
        </w:tc>
        <w:tc>
          <w:tcPr>
            <w:tcW w:w="685" w:type="dxa"/>
            <w:gridSpan w:val="2"/>
            <w:vMerge w:val="restart"/>
            <w:tcBorders>
              <w:top w:val="single" w:sz="4" w:space="0" w:color="auto"/>
              <w:left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550"/>
        </w:trPr>
        <w:tc>
          <w:tcPr>
            <w:tcW w:w="557"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2112"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设区市</w:t>
            </w:r>
          </w:p>
        </w:tc>
        <w:tc>
          <w:tcPr>
            <w:tcW w:w="158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县级市</w:t>
            </w:r>
          </w:p>
        </w:tc>
        <w:tc>
          <w:tcPr>
            <w:tcW w:w="158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1588" w:type="dxa"/>
            <w:gridSpan w:val="3"/>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建制镇</w:t>
            </w:r>
          </w:p>
        </w:tc>
        <w:tc>
          <w:tcPr>
            <w:tcW w:w="685" w:type="dxa"/>
            <w:gridSpan w:val="2"/>
            <w:vMerge/>
            <w:tcBorders>
              <w:left w:val="single" w:sz="4" w:space="0" w:color="auto"/>
              <w:bottom w:val="single" w:sz="4" w:space="0" w:color="auto"/>
              <w:right w:val="single" w:sz="4" w:space="0" w:color="auto"/>
            </w:tcBorders>
            <w:vAlign w:val="center"/>
          </w:tcPr>
          <w:p w:rsidR="00A32067" w:rsidRDefault="00A32067">
            <w:pPr>
              <w:rPr>
                <w:color w:val="000000"/>
              </w:rPr>
            </w:pPr>
          </w:p>
        </w:tc>
      </w:tr>
      <w:tr w:rsidR="00A32067">
        <w:trPr>
          <w:trHeight w:val="345"/>
        </w:trPr>
        <w:tc>
          <w:tcPr>
            <w:tcW w:w="557"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1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00"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685" w:type="dxa"/>
            <w:gridSpan w:val="2"/>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市区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color w:val="000000"/>
              </w:rPr>
              <w:t>148</w:t>
            </w: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148</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渤海新区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3</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河间区</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4</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任丘市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5</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黄骅市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6</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泊头市</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7</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沧县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8</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青县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9</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肃宁县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10</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献县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11</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南皮县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12</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东光县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13</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吴桥县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14</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孟村县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15</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盐山县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557"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16</w:t>
            </w:r>
          </w:p>
        </w:tc>
        <w:tc>
          <w:tcPr>
            <w:tcW w:w="13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海兴县</w:t>
            </w:r>
          </w:p>
        </w:tc>
        <w:tc>
          <w:tcPr>
            <w:tcW w:w="131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800"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9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4"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85"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r>
    </w:tbl>
    <w:p w:rsidR="00A32067" w:rsidRDefault="00A32067" w:rsidP="00A32067">
      <w:pPr>
        <w:spacing w:line="360" w:lineRule="auto"/>
        <w:ind w:firstLineChars="200" w:firstLine="31680"/>
        <w:rPr>
          <w:spacing w:val="24"/>
          <w:sz w:val="24"/>
          <w:szCs w:val="24"/>
        </w:rPr>
      </w:pPr>
    </w:p>
    <w:p w:rsidR="00A32067" w:rsidRDefault="00A32067">
      <w:pPr>
        <w:jc w:val="center"/>
        <w:outlineLvl w:val="0"/>
        <w:rPr>
          <w:b/>
          <w:bCs/>
          <w:color w:val="000000"/>
          <w:spacing w:val="20"/>
          <w:sz w:val="44"/>
          <w:szCs w:val="44"/>
          <w:lang w:val="zh-TW"/>
        </w:rPr>
      </w:pPr>
    </w:p>
    <w:p w:rsidR="00A32067" w:rsidRDefault="00A32067">
      <w:pPr>
        <w:jc w:val="center"/>
        <w:outlineLvl w:val="0"/>
        <w:rPr>
          <w:b/>
          <w:bCs/>
          <w:color w:val="000000"/>
          <w:spacing w:val="20"/>
          <w:sz w:val="44"/>
          <w:szCs w:val="44"/>
          <w:lang w:val="zh-TW"/>
        </w:rPr>
      </w:pPr>
    </w:p>
    <w:p w:rsidR="00A32067" w:rsidRDefault="00A32067">
      <w:pPr>
        <w:spacing w:line="360" w:lineRule="auto"/>
        <w:jc w:val="center"/>
        <w:outlineLvl w:val="2"/>
        <w:rPr>
          <w:b/>
          <w:bCs/>
          <w:sz w:val="44"/>
          <w:szCs w:val="44"/>
        </w:rPr>
      </w:pPr>
      <w:bookmarkStart w:id="86" w:name="_Toc519872314"/>
      <w:r>
        <w:rPr>
          <w:rFonts w:cs="宋体" w:hint="eastAsia"/>
          <w:b/>
          <w:bCs/>
          <w:sz w:val="44"/>
          <w:szCs w:val="44"/>
        </w:rPr>
        <w:t>秦皇岛市财政局关于调整城市基础设施</w:t>
      </w:r>
      <w:r>
        <w:rPr>
          <w:b/>
          <w:bCs/>
          <w:sz w:val="44"/>
          <w:szCs w:val="44"/>
        </w:rPr>
        <w:br/>
      </w:r>
      <w:r>
        <w:rPr>
          <w:rFonts w:cs="宋体" w:hint="eastAsia"/>
          <w:b/>
          <w:bCs/>
          <w:sz w:val="44"/>
          <w:szCs w:val="44"/>
        </w:rPr>
        <w:t>配套费收费标准的通知</w:t>
      </w:r>
      <w:r>
        <w:rPr>
          <w:b/>
          <w:bCs/>
          <w:sz w:val="44"/>
          <w:szCs w:val="44"/>
        </w:rPr>
        <w:br/>
      </w:r>
      <w:r>
        <w:rPr>
          <w:rFonts w:cs="宋体" w:hint="eastAsia"/>
          <w:color w:val="000000"/>
          <w:sz w:val="22"/>
          <w:szCs w:val="22"/>
        </w:rPr>
        <w:t>秦财税〔</w:t>
      </w:r>
      <w:r>
        <w:rPr>
          <w:color w:val="000000"/>
          <w:sz w:val="22"/>
          <w:szCs w:val="22"/>
        </w:rPr>
        <w:t>2017</w:t>
      </w:r>
      <w:r>
        <w:rPr>
          <w:rFonts w:cs="宋体" w:hint="eastAsia"/>
          <w:color w:val="000000"/>
          <w:sz w:val="22"/>
          <w:szCs w:val="22"/>
        </w:rPr>
        <w:t>〕</w:t>
      </w:r>
      <w:r>
        <w:rPr>
          <w:color w:val="000000"/>
          <w:sz w:val="22"/>
          <w:szCs w:val="22"/>
        </w:rPr>
        <w:t>3</w:t>
      </w:r>
      <w:r>
        <w:rPr>
          <w:rFonts w:cs="宋体" w:hint="eastAsia"/>
          <w:color w:val="000000"/>
          <w:sz w:val="22"/>
          <w:szCs w:val="22"/>
        </w:rPr>
        <w:t>号</w:t>
      </w:r>
      <w:bookmarkEnd w:id="86"/>
    </w:p>
    <w:p w:rsidR="00A32067" w:rsidRDefault="00A32067">
      <w:pPr>
        <w:jc w:val="center"/>
        <w:outlineLvl w:val="0"/>
        <w:rPr>
          <w:b/>
          <w:bCs/>
          <w:sz w:val="44"/>
          <w:szCs w:val="44"/>
        </w:rPr>
      </w:pPr>
    </w:p>
    <w:p w:rsidR="00A32067" w:rsidRDefault="00A32067">
      <w:pPr>
        <w:spacing w:line="360" w:lineRule="auto"/>
        <w:jc w:val="left"/>
        <w:rPr>
          <w:spacing w:val="24"/>
          <w:sz w:val="22"/>
          <w:szCs w:val="22"/>
        </w:rPr>
      </w:pPr>
      <w:r>
        <w:rPr>
          <w:rFonts w:cs="宋体" w:hint="eastAsia"/>
          <w:spacing w:val="24"/>
          <w:sz w:val="22"/>
          <w:szCs w:val="22"/>
        </w:rPr>
        <w:t>市城乡规划局、各县（区）财政局：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按照河北省财政厅《关于秦皇岛市城市基础设施配套费收费标准的批复》（冀财税〔</w:t>
      </w:r>
      <w:r>
        <w:rPr>
          <w:spacing w:val="24"/>
          <w:sz w:val="22"/>
          <w:szCs w:val="22"/>
        </w:rPr>
        <w:t>2017</w:t>
      </w:r>
      <w:r>
        <w:rPr>
          <w:rFonts w:cs="宋体" w:hint="eastAsia"/>
          <w:spacing w:val="24"/>
          <w:sz w:val="22"/>
          <w:szCs w:val="22"/>
        </w:rPr>
        <w:t>〕</w:t>
      </w:r>
      <w:r>
        <w:rPr>
          <w:spacing w:val="24"/>
          <w:sz w:val="22"/>
          <w:szCs w:val="22"/>
        </w:rPr>
        <w:t>13</w:t>
      </w:r>
      <w:r>
        <w:rPr>
          <w:rFonts w:cs="宋体" w:hint="eastAsia"/>
          <w:spacing w:val="24"/>
          <w:sz w:val="22"/>
          <w:szCs w:val="22"/>
        </w:rPr>
        <w:t>号），现对各县（区）调整城市基础设施配套费（以下简称配套费）收费标准等事项通知如下：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三、配套费实行政府性基金管理。县（区）政府住房和城乡建设行政主管部门为配套费执收单位，使用财政票据，将收入全额缴入地方国库，纳入地方政府基金预算。在政府收支分类科目中收入列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曰。</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附件：各相关县（区）城市基础设施配套费收费标准</w:t>
      </w:r>
    </w:p>
    <w:p w:rsidR="00A32067" w:rsidRDefault="00A32067" w:rsidP="005431C7">
      <w:pPr>
        <w:spacing w:line="360" w:lineRule="auto"/>
        <w:ind w:firstLineChars="200" w:firstLine="31680"/>
        <w:rPr>
          <w:spacing w:val="24"/>
          <w:sz w:val="24"/>
          <w:szCs w:val="24"/>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outlineLvl w:val="0"/>
        <w:rPr>
          <w:b/>
          <w:bCs/>
          <w:color w:val="000000"/>
          <w:spacing w:val="20"/>
          <w:sz w:val="44"/>
          <w:szCs w:val="44"/>
          <w:lang w:val="zh-TW"/>
        </w:rPr>
      </w:pPr>
    </w:p>
    <w:p w:rsidR="00A32067" w:rsidRDefault="00A32067">
      <w:pPr>
        <w:spacing w:line="220" w:lineRule="atLeast"/>
        <w:rPr>
          <w:spacing w:val="24"/>
          <w:sz w:val="24"/>
          <w:szCs w:val="24"/>
        </w:rPr>
      </w:pPr>
    </w:p>
    <w:p w:rsidR="00A32067" w:rsidRDefault="00A32067">
      <w:pPr>
        <w:rPr>
          <w:rFonts w:eastAsia="黑体"/>
          <w:color w:val="000000"/>
          <w:sz w:val="24"/>
          <w:szCs w:val="24"/>
        </w:rPr>
      </w:pPr>
      <w:r>
        <w:rPr>
          <w:rFonts w:eastAsia="黑体" w:cs="黑体" w:hint="eastAsia"/>
          <w:color w:val="000000"/>
          <w:sz w:val="24"/>
          <w:szCs w:val="24"/>
        </w:rPr>
        <w:t>附件</w:t>
      </w:r>
      <w:r>
        <w:rPr>
          <w:rFonts w:eastAsia="黑体"/>
          <w:color w:val="000000"/>
          <w:sz w:val="24"/>
          <w:szCs w:val="24"/>
        </w:rPr>
        <w:t>:</w:t>
      </w:r>
    </w:p>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各县（区）城市基础设施配套费收费标准</w:t>
      </w:r>
    </w:p>
    <w:p w:rsidR="00A32067" w:rsidRDefault="00A32067">
      <w:pPr>
        <w:spacing w:line="220" w:lineRule="atLeast"/>
        <w:jc w:val="right"/>
        <w:rPr>
          <w:b/>
          <w:bCs/>
          <w:color w:val="000000"/>
        </w:rPr>
      </w:pPr>
      <w:r>
        <w:rPr>
          <w:rFonts w:cs="宋体" w:hint="eastAsia"/>
          <w:b/>
          <w:bCs/>
          <w:color w:val="000000"/>
        </w:rPr>
        <w:t>单位：元</w:t>
      </w:r>
      <w:r>
        <w:rPr>
          <w:b/>
          <w:bCs/>
          <w:color w:val="000000"/>
        </w:rPr>
        <w:t>/</w:t>
      </w:r>
      <w:r>
        <w:rPr>
          <w:rFonts w:cs="宋体" w:hint="eastAsia"/>
          <w:b/>
          <w:bCs/>
          <w:color w:val="000000"/>
        </w:rPr>
        <w:t>平方米</w:t>
      </w:r>
    </w:p>
    <w:tbl>
      <w:tblPr>
        <w:tblpPr w:leftFromText="180" w:rightFromText="180" w:vertAnchor="page" w:horzAnchor="margin" w:tblpXSpec="center" w:tblpY="3244"/>
        <w:tblW w:w="9401" w:type="dxa"/>
        <w:tblLayout w:type="fixed"/>
        <w:tblCellMar>
          <w:left w:w="0" w:type="dxa"/>
          <w:right w:w="0" w:type="dxa"/>
        </w:tblCellMar>
        <w:tblLook w:val="00A0"/>
      </w:tblPr>
      <w:tblGrid>
        <w:gridCol w:w="728"/>
        <w:gridCol w:w="1320"/>
        <w:gridCol w:w="1034"/>
        <w:gridCol w:w="1134"/>
        <w:gridCol w:w="992"/>
        <w:gridCol w:w="992"/>
        <w:gridCol w:w="1134"/>
        <w:gridCol w:w="1134"/>
        <w:gridCol w:w="933"/>
      </w:tblGrid>
      <w:tr w:rsidR="00A32067">
        <w:trPr>
          <w:trHeight w:val="545"/>
        </w:trPr>
        <w:tc>
          <w:tcPr>
            <w:tcW w:w="72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序号</w:t>
            </w:r>
          </w:p>
        </w:tc>
        <w:tc>
          <w:tcPr>
            <w:tcW w:w="132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地区</w:t>
            </w:r>
          </w:p>
        </w:tc>
        <w:tc>
          <w:tcPr>
            <w:tcW w:w="6420" w:type="dxa"/>
            <w:gridSpan w:val="6"/>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配套费执行标准</w:t>
            </w:r>
          </w:p>
        </w:tc>
        <w:tc>
          <w:tcPr>
            <w:tcW w:w="93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备注</w:t>
            </w:r>
          </w:p>
        </w:tc>
      </w:tr>
      <w:tr w:rsidR="00A32067">
        <w:trPr>
          <w:trHeight w:val="451"/>
        </w:trPr>
        <w:tc>
          <w:tcPr>
            <w:tcW w:w="728"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2168"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设区市</w:t>
            </w:r>
          </w:p>
        </w:tc>
        <w:tc>
          <w:tcPr>
            <w:tcW w:w="1984"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县城</w:t>
            </w:r>
          </w:p>
        </w:tc>
        <w:tc>
          <w:tcPr>
            <w:tcW w:w="2268"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建制镇</w:t>
            </w:r>
          </w:p>
        </w:tc>
        <w:tc>
          <w:tcPr>
            <w:tcW w:w="933"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val="522"/>
        </w:trPr>
        <w:tc>
          <w:tcPr>
            <w:tcW w:w="728"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034"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住宅</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非住宅</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住宅</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非住宅</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住宅</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r>
              <w:rPr>
                <w:rFonts w:cs="宋体" w:hint="eastAsia"/>
                <w:color w:val="000000"/>
              </w:rPr>
              <w:t>非住宅</w:t>
            </w:r>
          </w:p>
        </w:tc>
        <w:tc>
          <w:tcPr>
            <w:tcW w:w="933"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1</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山海关区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2</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海港区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3</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北戴河区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4</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秦皇岛经济技术开发区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5</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北戴河新区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6</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抚宁区</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148</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97</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7</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卢龙县</w:t>
            </w:r>
          </w:p>
        </w:tc>
        <w:tc>
          <w:tcPr>
            <w:tcW w:w="103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61</w:t>
            </w:r>
          </w:p>
        </w:tc>
        <w:tc>
          <w:tcPr>
            <w:tcW w:w="992"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40</w:t>
            </w:r>
          </w:p>
        </w:tc>
        <w:tc>
          <w:tcPr>
            <w:tcW w:w="113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30. 5</w:t>
            </w:r>
          </w:p>
        </w:tc>
        <w:tc>
          <w:tcPr>
            <w:tcW w:w="113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20</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68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color w:val="000000"/>
              </w:rPr>
              <w:t>8</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昌黎县</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61</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40</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30. 5</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20</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r w:rsidR="00A32067">
        <w:trPr>
          <w:trHeight w:hRule="exact" w:val="720"/>
        </w:trPr>
        <w:tc>
          <w:tcPr>
            <w:tcW w:w="728"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noProof/>
              </w:rPr>
              <w:pict>
                <v:shape id="_x0000_s1084" type="#_x0000_t32" style="position:absolute;left:0;text-align:left;margin-left:.1pt;margin-top:34.6pt;width:474.9pt;height:0;z-index:251663360;mso-position-horizontal-relative:text;mso-position-vertical-relative:text" o:connectortype="straight">
                  <w10:anchorlock/>
                </v:shape>
              </w:pict>
            </w:r>
            <w:r>
              <w:rPr>
                <w:color w:val="000000"/>
              </w:rPr>
              <w:t>9</w:t>
            </w:r>
          </w:p>
        </w:tc>
        <w:tc>
          <w:tcPr>
            <w:tcW w:w="132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color w:val="000000"/>
              </w:rPr>
            </w:pPr>
            <w:r>
              <w:rPr>
                <w:rFonts w:cs="宋体" w:hint="eastAsia"/>
                <w:color w:val="000000"/>
              </w:rPr>
              <w:t>青龙县</w:t>
            </w:r>
          </w:p>
        </w:tc>
        <w:tc>
          <w:tcPr>
            <w:tcW w:w="10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60</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40</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30</w:t>
            </w: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A32067" w:rsidRDefault="00A32067">
            <w:pPr>
              <w:jc w:val="center"/>
              <w:rPr>
                <w:rFonts w:eastAsia="微软雅黑"/>
                <w:color w:val="000000"/>
              </w:rPr>
            </w:pPr>
            <w:r>
              <w:rPr>
                <w:rFonts w:eastAsia="微软雅黑"/>
                <w:color w:val="000000"/>
              </w:rPr>
              <w:t>20</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A32067" w:rsidRDefault="00A32067">
            <w:pPr>
              <w:jc w:val="center"/>
              <w:rPr>
                <w:color w:val="000000"/>
              </w:rPr>
            </w:pPr>
          </w:p>
        </w:tc>
      </w:tr>
    </w:tbl>
    <w:p w:rsidR="00A32067" w:rsidRDefault="00A32067">
      <w:pPr>
        <w:spacing w:line="360" w:lineRule="auto"/>
        <w:jc w:val="center"/>
        <w:outlineLvl w:val="0"/>
        <w:rPr>
          <w:b/>
          <w:bCs/>
          <w:sz w:val="44"/>
          <w:szCs w:val="44"/>
        </w:rPr>
      </w:pPr>
      <w:r>
        <w:rPr>
          <w:spacing w:val="24"/>
        </w:rPr>
        <w:br w:type="page"/>
      </w:r>
      <w:bookmarkStart w:id="87" w:name="_Toc519872315"/>
      <w:r>
        <w:rPr>
          <w:rFonts w:cs="宋体" w:hint="eastAsia"/>
          <w:b/>
          <w:bCs/>
          <w:sz w:val="44"/>
          <w:szCs w:val="44"/>
        </w:rPr>
        <w:t>河北省财政厅关于邢台市城市基础设施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18</w:t>
      </w:r>
      <w:r>
        <w:rPr>
          <w:rFonts w:cs="宋体" w:hint="eastAsia"/>
          <w:color w:val="000000"/>
          <w:sz w:val="22"/>
          <w:szCs w:val="22"/>
        </w:rPr>
        <w:t>号</w:t>
      </w:r>
      <w:bookmarkEnd w:id="87"/>
    </w:p>
    <w:p w:rsidR="00A32067" w:rsidRDefault="00A32067">
      <w:pPr>
        <w:spacing w:line="360" w:lineRule="auto"/>
        <w:jc w:val="center"/>
        <w:outlineLvl w:val="0"/>
        <w:rPr>
          <w:b/>
          <w:bCs/>
          <w:sz w:val="44"/>
          <w:szCs w:val="44"/>
        </w:rPr>
      </w:pPr>
    </w:p>
    <w:p w:rsidR="00A32067" w:rsidRDefault="00A32067">
      <w:pPr>
        <w:spacing w:line="360" w:lineRule="auto"/>
        <w:jc w:val="left"/>
        <w:rPr>
          <w:spacing w:val="24"/>
          <w:sz w:val="22"/>
          <w:szCs w:val="22"/>
        </w:rPr>
      </w:pPr>
      <w:r>
        <w:rPr>
          <w:rFonts w:cs="宋体" w:hint="eastAsia"/>
          <w:spacing w:val="24"/>
          <w:sz w:val="22"/>
          <w:szCs w:val="22"/>
        </w:rPr>
        <w:t>邢台市财政局：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你市《关于上报我市城市基础设施配套费收费标准调整意见的报告》</w:t>
      </w:r>
      <w:r>
        <w:rPr>
          <w:spacing w:val="24"/>
          <w:sz w:val="22"/>
          <w:szCs w:val="22"/>
        </w:rPr>
        <w:t>(</w:t>
      </w:r>
      <w:r>
        <w:rPr>
          <w:rFonts w:cs="宋体" w:hint="eastAsia"/>
          <w:spacing w:val="24"/>
          <w:sz w:val="22"/>
          <w:szCs w:val="22"/>
        </w:rPr>
        <w:t>邢市财预〔</w:t>
      </w:r>
      <w:r>
        <w:rPr>
          <w:spacing w:val="24"/>
          <w:sz w:val="22"/>
          <w:szCs w:val="22"/>
        </w:rPr>
        <w:t>2017</w:t>
      </w:r>
      <w:r>
        <w:rPr>
          <w:rFonts w:cs="宋体" w:hint="eastAsia"/>
          <w:spacing w:val="24"/>
          <w:sz w:val="22"/>
          <w:szCs w:val="22"/>
        </w:rPr>
        <w:t>〕</w:t>
      </w:r>
      <w:r>
        <w:rPr>
          <w:spacing w:val="24"/>
          <w:sz w:val="22"/>
          <w:szCs w:val="22"/>
        </w:rPr>
        <w:t>4</w:t>
      </w:r>
      <w:r>
        <w:rPr>
          <w:rFonts w:cs="宋体" w:hint="eastAsia"/>
          <w:spacing w:val="24"/>
          <w:sz w:val="22"/>
          <w:szCs w:val="22"/>
        </w:rPr>
        <w:t>号）收悉，经认其研究并报请省政府批准，现对你市（含市、区、县）调整城市基础设施配套费（以下简称配套费）收费标准等事项批复如下：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w:t>
      </w:r>
      <w:r>
        <w:rPr>
          <w:spacing w:val="24"/>
          <w:sz w:val="22"/>
          <w:szCs w:val="22"/>
        </w:rPr>
        <w:t>)</w:t>
      </w:r>
      <w:r>
        <w:rPr>
          <w:rFonts w:cs="宋体" w:hint="eastAsia"/>
          <w:spacing w:val="24"/>
          <w:sz w:val="22"/>
          <w:szCs w:val="22"/>
        </w:rPr>
        <w:t>，区，建制镇，具体本准见附件。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r>
        <w:rPr>
          <w:spacing w:val="24"/>
          <w:sz w:val="22"/>
          <w:szCs w:val="22"/>
        </w:rPr>
        <w:t>.</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三、配套费实行玫府性基金管理。县级（含县敦）以上政府住房和城乡建设行政主管部门为配套费执收单位，使用财政票据，将收入全额缴入地方国库，纳入地方政府基金预算</w:t>
      </w:r>
      <w:r>
        <w:rPr>
          <w:spacing w:val="24"/>
          <w:sz w:val="22"/>
          <w:szCs w:val="22"/>
        </w:rPr>
        <w:t>.</w:t>
      </w:r>
      <w:r>
        <w:rPr>
          <w:rFonts w:cs="宋体" w:hint="eastAsia"/>
          <w:spacing w:val="24"/>
          <w:sz w:val="22"/>
          <w:szCs w:val="22"/>
        </w:rPr>
        <w:t>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 xml:space="preserve">” </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曰。</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附件：邢台市城市基础设施配套费收费标准。</w:t>
      </w:r>
    </w:p>
    <w:p w:rsidR="00A32067" w:rsidRDefault="00A32067" w:rsidP="005431C7">
      <w:pPr>
        <w:spacing w:line="360" w:lineRule="auto"/>
        <w:ind w:right="134" w:firstLineChars="200" w:firstLine="31680"/>
        <w:jc w:val="right"/>
        <w:rPr>
          <w:spacing w:val="24"/>
          <w:sz w:val="22"/>
          <w:szCs w:val="22"/>
        </w:rPr>
      </w:pPr>
    </w:p>
    <w:p w:rsidR="00A32067" w:rsidRDefault="00A32067" w:rsidP="005431C7">
      <w:pPr>
        <w:spacing w:line="360" w:lineRule="auto"/>
        <w:ind w:right="134" w:firstLineChars="200" w:firstLine="31680"/>
        <w:jc w:val="right"/>
        <w:rPr>
          <w:spacing w:val="24"/>
          <w:sz w:val="22"/>
          <w:szCs w:val="22"/>
        </w:rPr>
      </w:pPr>
    </w:p>
    <w:p w:rsidR="00A32067" w:rsidRDefault="00A32067" w:rsidP="005431C7">
      <w:pPr>
        <w:spacing w:line="360" w:lineRule="auto"/>
        <w:ind w:right="134" w:firstLineChars="200" w:firstLine="31680"/>
        <w:jc w:val="right"/>
        <w:rPr>
          <w:spacing w:val="24"/>
          <w:sz w:val="22"/>
          <w:szCs w:val="22"/>
        </w:rPr>
      </w:pPr>
      <w:r>
        <w:rPr>
          <w:rFonts w:cs="宋体" w:hint="eastAsia"/>
          <w:spacing w:val="24"/>
          <w:sz w:val="22"/>
          <w:szCs w:val="22"/>
        </w:rPr>
        <w:t>河北省财政厅</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21</w:t>
      </w:r>
      <w:r>
        <w:rPr>
          <w:rFonts w:cs="宋体" w:hint="eastAsia"/>
          <w:spacing w:val="24"/>
          <w:sz w:val="22"/>
          <w:szCs w:val="22"/>
        </w:rPr>
        <w:t>日</w:t>
      </w: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rsidP="005431C7">
      <w:pPr>
        <w:spacing w:line="360" w:lineRule="auto"/>
        <w:ind w:firstLineChars="200" w:firstLine="31680"/>
        <w:jc w:val="right"/>
        <w:rPr>
          <w:spacing w:val="24"/>
          <w:sz w:val="22"/>
          <w:szCs w:val="22"/>
        </w:rPr>
      </w:pPr>
    </w:p>
    <w:p w:rsidR="00A32067" w:rsidRDefault="00A32067">
      <w:pPr>
        <w:rPr>
          <w:color w:val="000000"/>
          <w:sz w:val="24"/>
          <w:szCs w:val="24"/>
        </w:rPr>
        <w:sectPr w:rsidR="00A32067">
          <w:pgSz w:w="11907" w:h="16840"/>
          <w:pgMar w:top="1134" w:right="1077" w:bottom="1134" w:left="1077" w:header="794" w:footer="567" w:gutter="284"/>
          <w:cols w:space="720"/>
          <w:docGrid w:linePitch="312"/>
        </w:sectPr>
      </w:pPr>
    </w:p>
    <w:tbl>
      <w:tblPr>
        <w:tblW w:w="9478" w:type="dxa"/>
        <w:jc w:val="center"/>
        <w:tblLayout w:type="fixed"/>
        <w:tblLook w:val="00A0"/>
      </w:tblPr>
      <w:tblGrid>
        <w:gridCol w:w="492"/>
        <w:gridCol w:w="983"/>
        <w:gridCol w:w="884"/>
        <w:gridCol w:w="126"/>
        <w:gridCol w:w="759"/>
        <w:gridCol w:w="39"/>
        <w:gridCol w:w="799"/>
        <w:gridCol w:w="44"/>
        <w:gridCol w:w="754"/>
        <w:gridCol w:w="131"/>
        <w:gridCol w:w="668"/>
        <w:gridCol w:w="213"/>
        <w:gridCol w:w="585"/>
        <w:gridCol w:w="301"/>
        <w:gridCol w:w="498"/>
        <w:gridCol w:w="383"/>
        <w:gridCol w:w="415"/>
        <w:gridCol w:w="470"/>
        <w:gridCol w:w="334"/>
        <w:gridCol w:w="600"/>
      </w:tblGrid>
      <w:tr w:rsidR="00A32067">
        <w:trPr>
          <w:trHeight w:val="420"/>
          <w:jc w:val="center"/>
        </w:trPr>
        <w:tc>
          <w:tcPr>
            <w:tcW w:w="1475" w:type="dxa"/>
            <w:gridSpan w:val="2"/>
            <w:tcBorders>
              <w:top w:val="nil"/>
              <w:left w:val="nil"/>
              <w:bottom w:val="nil"/>
              <w:right w:val="nil"/>
            </w:tcBorders>
            <w:vAlign w:val="center"/>
          </w:tcPr>
          <w:p w:rsidR="00A32067" w:rsidRDefault="00A32067">
            <w:pPr>
              <w:rPr>
                <w:color w:val="000000"/>
                <w:sz w:val="24"/>
                <w:szCs w:val="24"/>
              </w:rPr>
            </w:pPr>
            <w:r>
              <w:rPr>
                <w:rFonts w:cs="宋体" w:hint="eastAsia"/>
                <w:color w:val="000000"/>
                <w:sz w:val="24"/>
                <w:szCs w:val="24"/>
              </w:rPr>
              <w:t>附件：</w:t>
            </w:r>
          </w:p>
        </w:tc>
        <w:tc>
          <w:tcPr>
            <w:tcW w:w="884" w:type="dxa"/>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2" w:type="dxa"/>
            <w:gridSpan w:val="3"/>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6"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934" w:type="dxa"/>
            <w:gridSpan w:val="2"/>
            <w:tcBorders>
              <w:top w:val="nil"/>
              <w:left w:val="nil"/>
              <w:bottom w:val="nil"/>
              <w:right w:val="nil"/>
            </w:tcBorders>
            <w:vAlign w:val="center"/>
          </w:tcPr>
          <w:p w:rsidR="00A32067" w:rsidRDefault="00A32067">
            <w:pPr>
              <w:rPr>
                <w:color w:val="000000"/>
              </w:rPr>
            </w:pPr>
          </w:p>
        </w:tc>
      </w:tr>
      <w:tr w:rsidR="00A32067">
        <w:trPr>
          <w:trHeight w:val="825"/>
          <w:jc w:val="center"/>
        </w:trPr>
        <w:tc>
          <w:tcPr>
            <w:tcW w:w="9478" w:type="dxa"/>
            <w:gridSpan w:val="20"/>
            <w:tcBorders>
              <w:top w:val="nil"/>
              <w:left w:val="nil"/>
              <w:bottom w:val="nil"/>
              <w:right w:val="nil"/>
            </w:tcBorders>
            <w:vAlign w:val="center"/>
          </w:tcPr>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邢台市城市基础设施配套费收费标准</w:t>
            </w:r>
          </w:p>
          <w:p w:rsidR="00A32067" w:rsidRDefault="00A32067">
            <w:pPr>
              <w:spacing w:before="100" w:beforeAutospacing="1" w:after="100" w:afterAutospacing="1" w:line="360" w:lineRule="auto"/>
              <w:jc w:val="right"/>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545"/>
          <w:jc w:val="center"/>
        </w:trPr>
        <w:tc>
          <w:tcPr>
            <w:tcW w:w="492"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993" w:type="dxa"/>
            <w:gridSpan w:val="3"/>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地区</w:t>
            </w:r>
          </w:p>
        </w:tc>
        <w:tc>
          <w:tcPr>
            <w:tcW w:w="6393" w:type="dxa"/>
            <w:gridSpan w:val="15"/>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配套费执行标准</w:t>
            </w:r>
          </w:p>
        </w:tc>
        <w:tc>
          <w:tcPr>
            <w:tcW w:w="600" w:type="dxa"/>
            <w:vMerge w:val="restart"/>
            <w:tcBorders>
              <w:top w:val="single" w:sz="4" w:space="0" w:color="auto"/>
              <w:left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550"/>
          <w:jc w:val="center"/>
        </w:trPr>
        <w:tc>
          <w:tcPr>
            <w:tcW w:w="492"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993" w:type="dxa"/>
            <w:gridSpan w:val="3"/>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597" w:type="dxa"/>
            <w:gridSpan w:val="3"/>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设区市</w:t>
            </w:r>
          </w:p>
        </w:tc>
        <w:tc>
          <w:tcPr>
            <w:tcW w:w="159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县级市</w:t>
            </w:r>
          </w:p>
        </w:tc>
        <w:tc>
          <w:tcPr>
            <w:tcW w:w="1597"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1602"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建制镇</w:t>
            </w:r>
          </w:p>
        </w:tc>
        <w:tc>
          <w:tcPr>
            <w:tcW w:w="600" w:type="dxa"/>
            <w:vMerge/>
            <w:tcBorders>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val="345"/>
          <w:jc w:val="center"/>
        </w:trPr>
        <w:tc>
          <w:tcPr>
            <w:tcW w:w="492"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993" w:type="dxa"/>
            <w:gridSpan w:val="3"/>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9" w:type="dxa"/>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600" w:type="dxa"/>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r>
      <w:tr w:rsidR="00A32067">
        <w:trPr>
          <w:trHeight w:hRule="exact" w:val="1276"/>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市区（含邢台县环城五镇、羊范、南石门镇、会宁、黄寺和晏家屯）</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37"/>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大曹庄</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3</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沙河市</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4</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南宫市</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5</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威县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6</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巨鹿县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7</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临城县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8</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任县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9</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广宗县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10</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清河县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70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11</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南和县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12</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隆尧县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62</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65</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35</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13</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柏乡县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45</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25</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14</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内邱县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15</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临西县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60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16</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宁晋县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30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17</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平乡县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18</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新河县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r w:rsidR="00A32067">
        <w:trPr>
          <w:trHeight w:hRule="exact" w:val="510"/>
          <w:jc w:val="center"/>
        </w:trPr>
        <w:tc>
          <w:tcPr>
            <w:tcW w:w="492"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19</w:t>
            </w:r>
          </w:p>
        </w:tc>
        <w:tc>
          <w:tcPr>
            <w:tcW w:w="1993" w:type="dxa"/>
            <w:gridSpan w:val="3"/>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邢台县</w:t>
            </w:r>
          </w:p>
        </w:tc>
        <w:tc>
          <w:tcPr>
            <w:tcW w:w="798"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99"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9"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98"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804"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20</w:t>
            </w:r>
          </w:p>
        </w:tc>
        <w:tc>
          <w:tcPr>
            <w:tcW w:w="600" w:type="dxa"/>
            <w:tcBorders>
              <w:top w:val="nil"/>
              <w:left w:val="nil"/>
              <w:bottom w:val="single" w:sz="4" w:space="0" w:color="auto"/>
              <w:right w:val="single" w:sz="4" w:space="0" w:color="auto"/>
            </w:tcBorders>
            <w:vAlign w:val="center"/>
          </w:tcPr>
          <w:p w:rsidR="00A32067" w:rsidRDefault="00A32067">
            <w:pPr>
              <w:jc w:val="center"/>
              <w:rPr>
                <w:color w:val="000000"/>
              </w:rPr>
            </w:pPr>
          </w:p>
        </w:tc>
      </w:tr>
    </w:tbl>
    <w:p w:rsidR="00A32067" w:rsidRDefault="00A32067">
      <w:pPr>
        <w:spacing w:line="360" w:lineRule="auto"/>
        <w:jc w:val="center"/>
        <w:outlineLvl w:val="1"/>
      </w:pPr>
      <w:r>
        <w:br w:type="page"/>
      </w:r>
    </w:p>
    <w:p w:rsidR="00A32067" w:rsidRDefault="00A32067">
      <w:pPr>
        <w:spacing w:line="360" w:lineRule="auto"/>
        <w:jc w:val="center"/>
        <w:outlineLvl w:val="1"/>
      </w:pPr>
    </w:p>
    <w:p w:rsidR="00A32067" w:rsidRDefault="00A32067">
      <w:pPr>
        <w:spacing w:line="360" w:lineRule="auto"/>
        <w:jc w:val="center"/>
        <w:outlineLvl w:val="1"/>
      </w:pPr>
    </w:p>
    <w:p w:rsidR="00A32067" w:rsidRDefault="00A32067">
      <w:pPr>
        <w:spacing w:line="360" w:lineRule="auto"/>
        <w:jc w:val="center"/>
        <w:outlineLvl w:val="1"/>
      </w:pPr>
    </w:p>
    <w:p w:rsidR="00A32067" w:rsidRDefault="00A32067">
      <w:pPr>
        <w:spacing w:line="360" w:lineRule="auto"/>
        <w:jc w:val="center"/>
        <w:outlineLvl w:val="2"/>
        <w:rPr>
          <w:b/>
          <w:bCs/>
          <w:sz w:val="44"/>
          <w:szCs w:val="44"/>
        </w:rPr>
      </w:pPr>
      <w:bookmarkStart w:id="88" w:name="_Toc519872316"/>
      <w:r>
        <w:rPr>
          <w:rFonts w:cs="宋体" w:hint="eastAsia"/>
          <w:b/>
          <w:bCs/>
          <w:sz w:val="44"/>
          <w:szCs w:val="44"/>
        </w:rPr>
        <w:t>河北省财政厅关于廊坊市城市基础设施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冀财税〔</w:t>
      </w:r>
      <w:r>
        <w:rPr>
          <w:color w:val="000000"/>
          <w:sz w:val="22"/>
          <w:szCs w:val="22"/>
        </w:rPr>
        <w:t>2017</w:t>
      </w:r>
      <w:r>
        <w:rPr>
          <w:rFonts w:cs="宋体" w:hint="eastAsia"/>
          <w:color w:val="000000"/>
          <w:sz w:val="22"/>
          <w:szCs w:val="22"/>
        </w:rPr>
        <w:t>〕</w:t>
      </w:r>
      <w:r>
        <w:rPr>
          <w:color w:val="000000"/>
          <w:sz w:val="22"/>
          <w:szCs w:val="22"/>
        </w:rPr>
        <w:t>24</w:t>
      </w:r>
      <w:r>
        <w:rPr>
          <w:rFonts w:cs="宋体" w:hint="eastAsia"/>
          <w:color w:val="000000"/>
          <w:sz w:val="22"/>
          <w:szCs w:val="22"/>
        </w:rPr>
        <w:t>号</w:t>
      </w:r>
      <w:bookmarkEnd w:id="88"/>
    </w:p>
    <w:p w:rsidR="00A32067" w:rsidRDefault="00A32067">
      <w:pPr>
        <w:jc w:val="center"/>
        <w:outlineLvl w:val="0"/>
        <w:rPr>
          <w:b/>
          <w:bCs/>
          <w:sz w:val="44"/>
          <w:szCs w:val="44"/>
        </w:rPr>
      </w:pPr>
    </w:p>
    <w:p w:rsidR="00A32067" w:rsidRDefault="00A32067">
      <w:pPr>
        <w:spacing w:line="360" w:lineRule="auto"/>
        <w:jc w:val="left"/>
        <w:rPr>
          <w:spacing w:val="24"/>
          <w:sz w:val="22"/>
          <w:szCs w:val="22"/>
        </w:rPr>
      </w:pPr>
      <w:r>
        <w:rPr>
          <w:rFonts w:cs="宋体" w:hint="eastAsia"/>
          <w:spacing w:val="24"/>
          <w:sz w:val="22"/>
          <w:szCs w:val="22"/>
        </w:rPr>
        <w:t>廊坊市财政局：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你市《关于调整城市基础设施配套费收费标准的请示》</w:t>
      </w:r>
      <w:r>
        <w:rPr>
          <w:spacing w:val="24"/>
          <w:sz w:val="22"/>
          <w:szCs w:val="22"/>
        </w:rPr>
        <w:t>(</w:t>
      </w:r>
      <w:r>
        <w:rPr>
          <w:rFonts w:cs="宋体" w:hint="eastAsia"/>
          <w:spacing w:val="24"/>
          <w:sz w:val="22"/>
          <w:szCs w:val="22"/>
        </w:rPr>
        <w:t>廊财〔</w:t>
      </w:r>
      <w:r>
        <w:rPr>
          <w:spacing w:val="24"/>
          <w:sz w:val="22"/>
          <w:szCs w:val="22"/>
        </w:rPr>
        <w:t>2017</w:t>
      </w:r>
      <w:r>
        <w:rPr>
          <w:rFonts w:cs="宋体" w:hint="eastAsia"/>
          <w:spacing w:val="24"/>
          <w:sz w:val="22"/>
          <w:szCs w:val="22"/>
        </w:rPr>
        <w:t>〕</w:t>
      </w:r>
      <w:r>
        <w:rPr>
          <w:spacing w:val="24"/>
          <w:sz w:val="22"/>
          <w:szCs w:val="22"/>
        </w:rPr>
        <w:t>8</w:t>
      </w:r>
      <w:r>
        <w:rPr>
          <w:rFonts w:cs="宋体" w:hint="eastAsia"/>
          <w:spacing w:val="24"/>
          <w:sz w:val="22"/>
          <w:szCs w:val="22"/>
        </w:rPr>
        <w:t>号）收悉，经认其研究并报请省政府批准，现对你市（含市、区、县）调整城市基础设施配套费（以下简称配套费）收费标准等事项批复如下：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一、配套费收费标准含市、县（市</w:t>
      </w:r>
      <w:r>
        <w:rPr>
          <w:spacing w:val="24"/>
          <w:sz w:val="22"/>
          <w:szCs w:val="22"/>
        </w:rPr>
        <w:t>)</w:t>
      </w:r>
      <w:r>
        <w:rPr>
          <w:rFonts w:cs="宋体" w:hint="eastAsia"/>
          <w:spacing w:val="24"/>
          <w:sz w:val="22"/>
          <w:szCs w:val="22"/>
        </w:rPr>
        <w:t>，区，建制镇，具体本准见附件。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r>
        <w:rPr>
          <w:spacing w:val="24"/>
          <w:sz w:val="22"/>
          <w:szCs w:val="22"/>
        </w:rPr>
        <w:t>.</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三、配套费实行玫府性基金管理。县级（含县敦）以上政府住房和城乡建设行政主管部门为配套费执收单位，使用财政票据，将收入全额缴入地方国库，纳入地方政府基金预算</w:t>
      </w:r>
      <w:r>
        <w:rPr>
          <w:spacing w:val="24"/>
          <w:sz w:val="22"/>
          <w:szCs w:val="22"/>
        </w:rPr>
        <w:t>.</w:t>
      </w:r>
      <w:r>
        <w:rPr>
          <w:rFonts w:cs="宋体" w:hint="eastAsia"/>
          <w:spacing w:val="24"/>
          <w:sz w:val="22"/>
          <w:szCs w:val="22"/>
        </w:rPr>
        <w:t>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 xml:space="preserve">” </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曰。</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附件：廊坊市城市基础设施配套费收费标准。</w:t>
      </w:r>
    </w:p>
    <w:p w:rsidR="00A32067" w:rsidRDefault="00A32067" w:rsidP="005431C7">
      <w:pPr>
        <w:spacing w:line="360" w:lineRule="auto"/>
        <w:ind w:right="134" w:firstLineChars="200" w:firstLine="31680"/>
        <w:jc w:val="right"/>
        <w:rPr>
          <w:spacing w:val="24"/>
          <w:sz w:val="22"/>
          <w:szCs w:val="22"/>
        </w:rPr>
      </w:pPr>
    </w:p>
    <w:p w:rsidR="00A32067" w:rsidRDefault="00A32067" w:rsidP="005431C7">
      <w:pPr>
        <w:spacing w:line="360" w:lineRule="auto"/>
        <w:ind w:right="134" w:firstLineChars="200" w:firstLine="31680"/>
        <w:jc w:val="right"/>
        <w:rPr>
          <w:spacing w:val="24"/>
          <w:sz w:val="22"/>
          <w:szCs w:val="22"/>
        </w:rPr>
      </w:pPr>
    </w:p>
    <w:p w:rsidR="00A32067" w:rsidRDefault="00A32067" w:rsidP="005431C7">
      <w:pPr>
        <w:spacing w:line="360" w:lineRule="auto"/>
        <w:ind w:right="134" w:firstLineChars="200" w:firstLine="31680"/>
        <w:jc w:val="right"/>
        <w:rPr>
          <w:spacing w:val="24"/>
          <w:sz w:val="22"/>
          <w:szCs w:val="22"/>
        </w:rPr>
      </w:pPr>
      <w:r>
        <w:rPr>
          <w:rFonts w:cs="宋体" w:hint="eastAsia"/>
          <w:spacing w:val="24"/>
          <w:sz w:val="22"/>
          <w:szCs w:val="22"/>
        </w:rPr>
        <w:t>河北省财政厅</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21</w:t>
      </w:r>
      <w:r>
        <w:rPr>
          <w:rFonts w:cs="宋体" w:hint="eastAsia"/>
          <w:spacing w:val="24"/>
          <w:sz w:val="22"/>
          <w:szCs w:val="22"/>
        </w:rPr>
        <w:t>日</w:t>
      </w:r>
    </w:p>
    <w:p w:rsidR="00A32067" w:rsidRDefault="00A32067" w:rsidP="005431C7">
      <w:pPr>
        <w:spacing w:line="360" w:lineRule="auto"/>
        <w:ind w:firstLineChars="200" w:firstLine="31680"/>
        <w:jc w:val="right"/>
        <w:rPr>
          <w:rFonts w:eastAsia="微软雅黑"/>
          <w:spacing w:val="24"/>
          <w:sz w:val="24"/>
          <w:szCs w:val="24"/>
        </w:rPr>
      </w:pPr>
    </w:p>
    <w:p w:rsidR="00A32067" w:rsidRDefault="00A32067" w:rsidP="005431C7">
      <w:pPr>
        <w:spacing w:line="360" w:lineRule="auto"/>
        <w:ind w:firstLineChars="200" w:firstLine="31680"/>
        <w:jc w:val="right"/>
        <w:rPr>
          <w:rFonts w:eastAsia="微软雅黑"/>
          <w:spacing w:val="24"/>
          <w:sz w:val="24"/>
          <w:szCs w:val="24"/>
        </w:rPr>
      </w:pPr>
    </w:p>
    <w:p w:rsidR="00A32067" w:rsidRDefault="00A32067" w:rsidP="005431C7">
      <w:pPr>
        <w:spacing w:line="360" w:lineRule="auto"/>
        <w:ind w:firstLineChars="200" w:firstLine="31680"/>
        <w:jc w:val="right"/>
        <w:rPr>
          <w:rFonts w:eastAsia="微软雅黑"/>
          <w:spacing w:val="24"/>
          <w:sz w:val="24"/>
          <w:szCs w:val="24"/>
        </w:rPr>
      </w:pPr>
    </w:p>
    <w:p w:rsidR="00A32067" w:rsidRDefault="00A32067" w:rsidP="005431C7">
      <w:pPr>
        <w:spacing w:line="360" w:lineRule="auto"/>
        <w:ind w:firstLineChars="200" w:firstLine="31680"/>
        <w:jc w:val="right"/>
        <w:rPr>
          <w:rFonts w:eastAsia="微软雅黑"/>
          <w:spacing w:val="24"/>
          <w:sz w:val="24"/>
          <w:szCs w:val="24"/>
        </w:rPr>
      </w:pPr>
    </w:p>
    <w:p w:rsidR="00A32067" w:rsidRDefault="00A32067" w:rsidP="005431C7">
      <w:pPr>
        <w:spacing w:line="360" w:lineRule="auto"/>
        <w:ind w:firstLineChars="200" w:firstLine="31680"/>
        <w:jc w:val="right"/>
        <w:rPr>
          <w:rFonts w:eastAsia="微软雅黑"/>
          <w:spacing w:val="24"/>
          <w:sz w:val="24"/>
          <w:szCs w:val="24"/>
        </w:rPr>
      </w:pPr>
    </w:p>
    <w:p w:rsidR="00A32067" w:rsidRDefault="00A32067">
      <w:pPr>
        <w:rPr>
          <w:color w:val="000000"/>
          <w:sz w:val="24"/>
          <w:szCs w:val="24"/>
        </w:rPr>
        <w:sectPr w:rsidR="00A32067">
          <w:pgSz w:w="11907" w:h="16840"/>
          <w:pgMar w:top="1134" w:right="1077" w:bottom="1134" w:left="1077" w:header="794" w:footer="567" w:gutter="284"/>
          <w:cols w:space="720"/>
          <w:docGrid w:linePitch="312"/>
        </w:sectPr>
      </w:pPr>
    </w:p>
    <w:tbl>
      <w:tblPr>
        <w:tblW w:w="9315" w:type="dxa"/>
        <w:tblInd w:w="2" w:type="dxa"/>
        <w:tblLayout w:type="fixed"/>
        <w:tblLook w:val="00A0"/>
      </w:tblPr>
      <w:tblGrid>
        <w:gridCol w:w="719"/>
        <w:gridCol w:w="1094"/>
        <w:gridCol w:w="479"/>
        <w:gridCol w:w="405"/>
        <w:gridCol w:w="357"/>
        <w:gridCol w:w="528"/>
        <w:gridCol w:w="235"/>
        <w:gridCol w:w="646"/>
        <w:gridCol w:w="116"/>
        <w:gridCol w:w="763"/>
        <w:gridCol w:w="6"/>
        <w:gridCol w:w="756"/>
        <w:gridCol w:w="123"/>
        <w:gridCol w:w="640"/>
        <w:gridCol w:w="245"/>
        <w:gridCol w:w="517"/>
        <w:gridCol w:w="362"/>
        <w:gridCol w:w="404"/>
        <w:gridCol w:w="481"/>
        <w:gridCol w:w="439"/>
      </w:tblGrid>
      <w:tr w:rsidR="00A32067">
        <w:trPr>
          <w:trHeight w:val="420"/>
        </w:trPr>
        <w:tc>
          <w:tcPr>
            <w:tcW w:w="1813" w:type="dxa"/>
            <w:gridSpan w:val="2"/>
            <w:tcBorders>
              <w:top w:val="nil"/>
              <w:left w:val="nil"/>
              <w:bottom w:val="nil"/>
              <w:right w:val="nil"/>
            </w:tcBorders>
            <w:vAlign w:val="center"/>
          </w:tcPr>
          <w:p w:rsidR="00A32067" w:rsidRDefault="00A32067">
            <w:pPr>
              <w:rPr>
                <w:color w:val="000000"/>
                <w:sz w:val="24"/>
                <w:szCs w:val="24"/>
              </w:rPr>
            </w:pPr>
            <w:r>
              <w:rPr>
                <w:rFonts w:cs="宋体" w:hint="eastAsia"/>
                <w:color w:val="000000"/>
                <w:sz w:val="24"/>
                <w:szCs w:val="24"/>
              </w:rPr>
              <w:t>附件：</w:t>
            </w:r>
          </w:p>
        </w:tc>
        <w:tc>
          <w:tcPr>
            <w:tcW w:w="884"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81" w:type="dxa"/>
            <w:gridSpan w:val="2"/>
            <w:tcBorders>
              <w:top w:val="nil"/>
              <w:left w:val="nil"/>
              <w:bottom w:val="nil"/>
              <w:right w:val="nil"/>
            </w:tcBorders>
            <w:vAlign w:val="center"/>
          </w:tcPr>
          <w:p w:rsidR="00A32067" w:rsidRDefault="00A32067">
            <w:pPr>
              <w:rPr>
                <w:color w:val="000000"/>
              </w:rPr>
            </w:pPr>
          </w:p>
        </w:tc>
        <w:tc>
          <w:tcPr>
            <w:tcW w:w="885" w:type="dxa"/>
            <w:gridSpan w:val="3"/>
            <w:tcBorders>
              <w:top w:val="nil"/>
              <w:left w:val="nil"/>
              <w:bottom w:val="nil"/>
              <w:right w:val="nil"/>
            </w:tcBorders>
            <w:vAlign w:val="center"/>
          </w:tcPr>
          <w:p w:rsidR="00A32067" w:rsidRDefault="00A32067">
            <w:pPr>
              <w:rPr>
                <w:color w:val="000000"/>
              </w:rPr>
            </w:pPr>
          </w:p>
        </w:tc>
        <w:tc>
          <w:tcPr>
            <w:tcW w:w="879"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879" w:type="dxa"/>
            <w:gridSpan w:val="2"/>
            <w:tcBorders>
              <w:top w:val="nil"/>
              <w:left w:val="nil"/>
              <w:bottom w:val="nil"/>
              <w:right w:val="nil"/>
            </w:tcBorders>
            <w:vAlign w:val="center"/>
          </w:tcPr>
          <w:p w:rsidR="00A32067" w:rsidRDefault="00A32067">
            <w:pPr>
              <w:rPr>
                <w:color w:val="000000"/>
              </w:rPr>
            </w:pPr>
          </w:p>
        </w:tc>
        <w:tc>
          <w:tcPr>
            <w:tcW w:w="885" w:type="dxa"/>
            <w:gridSpan w:val="2"/>
            <w:tcBorders>
              <w:top w:val="nil"/>
              <w:left w:val="nil"/>
              <w:bottom w:val="nil"/>
              <w:right w:val="nil"/>
            </w:tcBorders>
            <w:vAlign w:val="center"/>
          </w:tcPr>
          <w:p w:rsidR="00A32067" w:rsidRDefault="00A32067">
            <w:pPr>
              <w:rPr>
                <w:color w:val="000000"/>
              </w:rPr>
            </w:pPr>
          </w:p>
        </w:tc>
        <w:tc>
          <w:tcPr>
            <w:tcW w:w="439" w:type="dxa"/>
            <w:tcBorders>
              <w:top w:val="nil"/>
              <w:left w:val="nil"/>
              <w:bottom w:val="nil"/>
              <w:right w:val="nil"/>
            </w:tcBorders>
            <w:vAlign w:val="center"/>
          </w:tcPr>
          <w:p w:rsidR="00A32067" w:rsidRDefault="00A32067">
            <w:pPr>
              <w:rPr>
                <w:color w:val="000000"/>
              </w:rPr>
            </w:pPr>
          </w:p>
        </w:tc>
      </w:tr>
      <w:tr w:rsidR="00A32067">
        <w:trPr>
          <w:trHeight w:val="825"/>
        </w:trPr>
        <w:tc>
          <w:tcPr>
            <w:tcW w:w="9315" w:type="dxa"/>
            <w:gridSpan w:val="20"/>
            <w:tcBorders>
              <w:top w:val="nil"/>
              <w:left w:val="nil"/>
              <w:bottom w:val="nil"/>
              <w:right w:val="nil"/>
            </w:tcBorders>
            <w:vAlign w:val="center"/>
          </w:tcPr>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廊坊市城市基础设施配套费收费标准</w:t>
            </w:r>
          </w:p>
          <w:p w:rsidR="00A32067" w:rsidRDefault="00A32067">
            <w:pPr>
              <w:spacing w:before="100" w:beforeAutospacing="1" w:after="100" w:afterAutospacing="1" w:line="360" w:lineRule="auto"/>
              <w:jc w:val="right"/>
              <w:rPr>
                <w:b/>
                <w:bCs/>
                <w:color w:val="000000"/>
              </w:rPr>
            </w:pPr>
            <w:r>
              <w:rPr>
                <w:rFonts w:cs="宋体" w:hint="eastAsia"/>
                <w:b/>
                <w:bCs/>
                <w:color w:val="000000"/>
              </w:rPr>
              <w:t>单位：元</w:t>
            </w:r>
            <w:r>
              <w:rPr>
                <w:b/>
                <w:bCs/>
                <w:color w:val="000000"/>
              </w:rPr>
              <w:t>/</w:t>
            </w:r>
            <w:r>
              <w:rPr>
                <w:rFonts w:cs="宋体" w:hint="eastAsia"/>
                <w:b/>
                <w:bCs/>
                <w:color w:val="000000"/>
              </w:rPr>
              <w:t>平方米</w:t>
            </w:r>
          </w:p>
        </w:tc>
      </w:tr>
      <w:tr w:rsidR="00A32067">
        <w:trPr>
          <w:trHeight w:val="633"/>
        </w:trPr>
        <w:tc>
          <w:tcPr>
            <w:tcW w:w="719"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573" w:type="dxa"/>
            <w:gridSpan w:val="2"/>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地区</w:t>
            </w:r>
          </w:p>
        </w:tc>
        <w:tc>
          <w:tcPr>
            <w:tcW w:w="6103" w:type="dxa"/>
            <w:gridSpan w:val="15"/>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配套费执行标准</w:t>
            </w:r>
          </w:p>
        </w:tc>
        <w:tc>
          <w:tcPr>
            <w:tcW w:w="920" w:type="dxa"/>
            <w:gridSpan w:val="2"/>
            <w:vMerge w:val="restart"/>
            <w:tcBorders>
              <w:top w:val="single" w:sz="4" w:space="0" w:color="auto"/>
              <w:left w:val="single" w:sz="4" w:space="0" w:color="auto"/>
              <w:right w:val="single" w:sz="4" w:space="0" w:color="auto"/>
            </w:tcBorders>
            <w:vAlign w:val="center"/>
          </w:tcPr>
          <w:p w:rsidR="00A32067" w:rsidRDefault="00A32067">
            <w:pPr>
              <w:jc w:val="center"/>
              <w:rPr>
                <w:color w:val="000000"/>
              </w:rPr>
            </w:pPr>
            <w:r>
              <w:rPr>
                <w:rFonts w:cs="宋体" w:hint="eastAsia"/>
                <w:color w:val="000000"/>
              </w:rPr>
              <w:t>备注</w:t>
            </w:r>
          </w:p>
        </w:tc>
      </w:tr>
      <w:tr w:rsidR="00A32067">
        <w:trPr>
          <w:trHeight w:val="633"/>
        </w:trPr>
        <w:tc>
          <w:tcPr>
            <w:tcW w:w="719"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573"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525"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设区市</w:t>
            </w:r>
          </w:p>
        </w:tc>
        <w:tc>
          <w:tcPr>
            <w:tcW w:w="1525" w:type="dxa"/>
            <w:gridSpan w:val="3"/>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县级市</w:t>
            </w:r>
          </w:p>
        </w:tc>
        <w:tc>
          <w:tcPr>
            <w:tcW w:w="1525"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县城</w:t>
            </w:r>
          </w:p>
        </w:tc>
        <w:tc>
          <w:tcPr>
            <w:tcW w:w="1528" w:type="dxa"/>
            <w:gridSpan w:val="4"/>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建制镇</w:t>
            </w:r>
          </w:p>
        </w:tc>
        <w:tc>
          <w:tcPr>
            <w:tcW w:w="920" w:type="dxa"/>
            <w:gridSpan w:val="2"/>
            <w:vMerge/>
            <w:tcBorders>
              <w:left w:val="single" w:sz="4" w:space="0" w:color="auto"/>
              <w:bottom w:val="single" w:sz="4" w:space="0" w:color="auto"/>
              <w:right w:val="single" w:sz="4" w:space="0" w:color="auto"/>
            </w:tcBorders>
            <w:vAlign w:val="center"/>
          </w:tcPr>
          <w:p w:rsidR="00A32067" w:rsidRDefault="00A32067">
            <w:pPr>
              <w:rPr>
                <w:color w:val="000000"/>
                <w:sz w:val="24"/>
                <w:szCs w:val="24"/>
              </w:rPr>
            </w:pPr>
          </w:p>
        </w:tc>
      </w:tr>
      <w:tr w:rsidR="00A32067">
        <w:trPr>
          <w:trHeight w:val="633"/>
        </w:trPr>
        <w:tc>
          <w:tcPr>
            <w:tcW w:w="719" w:type="dxa"/>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1573" w:type="dxa"/>
            <w:gridSpan w:val="2"/>
            <w:vMerge/>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63"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住宅</w:t>
            </w: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非住宅</w:t>
            </w:r>
          </w:p>
        </w:tc>
        <w:tc>
          <w:tcPr>
            <w:tcW w:w="920" w:type="dxa"/>
            <w:gridSpan w:val="2"/>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sz w:val="24"/>
                <w:szCs w:val="24"/>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1</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市区</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r>
              <w:rPr>
                <w:color w:val="000000"/>
              </w:rPr>
              <w:t>180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2</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霸州市</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110</w:t>
            </w: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100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3</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三河市</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120</w:t>
            </w: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110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4</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永清县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5</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固安县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6</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文安县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7</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大城县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50</w:t>
            </w: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40</w:t>
            </w: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8</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大厂县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r w:rsidR="00A32067">
        <w:trPr>
          <w:trHeight w:val="633"/>
        </w:trPr>
        <w:tc>
          <w:tcPr>
            <w:tcW w:w="719" w:type="dxa"/>
            <w:tcBorders>
              <w:top w:val="nil"/>
              <w:left w:val="single" w:sz="4" w:space="0" w:color="auto"/>
              <w:bottom w:val="single" w:sz="4" w:space="0" w:color="auto"/>
              <w:right w:val="single" w:sz="4" w:space="0" w:color="auto"/>
            </w:tcBorders>
            <w:vAlign w:val="center"/>
          </w:tcPr>
          <w:p w:rsidR="00A32067" w:rsidRDefault="00A32067">
            <w:pPr>
              <w:jc w:val="center"/>
              <w:rPr>
                <w:color w:val="000000"/>
              </w:rPr>
            </w:pPr>
            <w:r>
              <w:rPr>
                <w:color w:val="000000"/>
              </w:rPr>
              <w:t>9</w:t>
            </w:r>
          </w:p>
        </w:tc>
        <w:tc>
          <w:tcPr>
            <w:tcW w:w="157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香河县</w:t>
            </w:r>
          </w:p>
        </w:tc>
        <w:tc>
          <w:tcPr>
            <w:tcW w:w="762" w:type="dxa"/>
            <w:gridSpan w:val="2"/>
            <w:tcBorders>
              <w:top w:val="single" w:sz="4" w:space="0" w:color="auto"/>
              <w:left w:val="nil"/>
              <w:bottom w:val="single" w:sz="4" w:space="0" w:color="auto"/>
              <w:right w:val="single" w:sz="4" w:space="0" w:color="auto"/>
            </w:tcBorders>
            <w:vAlign w:val="center"/>
          </w:tcPr>
          <w:p w:rsidR="00A32067" w:rsidRDefault="00A32067">
            <w:pPr>
              <w:jc w:val="center"/>
              <w:rPr>
                <w:color w:val="000000"/>
              </w:rPr>
            </w:pP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3" w:type="dxa"/>
            <w:tcBorders>
              <w:top w:val="nil"/>
              <w:left w:val="nil"/>
              <w:bottom w:val="single" w:sz="4" w:space="0" w:color="auto"/>
              <w:right w:val="single" w:sz="4" w:space="0" w:color="auto"/>
            </w:tcBorders>
            <w:vAlign w:val="center"/>
          </w:tcPr>
          <w:p w:rsidR="00A32067" w:rsidRDefault="00A32067">
            <w:pPr>
              <w:jc w:val="center"/>
              <w:rPr>
                <w:color w:val="000000"/>
              </w:rPr>
            </w:pP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90</w:t>
            </w:r>
          </w:p>
        </w:tc>
        <w:tc>
          <w:tcPr>
            <w:tcW w:w="763" w:type="dxa"/>
            <w:gridSpan w:val="2"/>
            <w:tcBorders>
              <w:top w:val="nil"/>
              <w:left w:val="nil"/>
              <w:bottom w:val="single" w:sz="4" w:space="0" w:color="auto"/>
              <w:right w:val="single" w:sz="4" w:space="0" w:color="auto"/>
            </w:tcBorders>
            <w:vAlign w:val="center"/>
          </w:tcPr>
          <w:p w:rsidR="00A32067" w:rsidRDefault="00A32067">
            <w:pPr>
              <w:jc w:val="center"/>
              <w:rPr>
                <w:color w:val="000000"/>
              </w:rPr>
            </w:pPr>
            <w:r>
              <w:rPr>
                <w:color w:val="000000"/>
              </w:rPr>
              <w:t>80</w:t>
            </w:r>
          </w:p>
        </w:tc>
        <w:tc>
          <w:tcPr>
            <w:tcW w:w="762"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766" w:type="dxa"/>
            <w:gridSpan w:val="2"/>
            <w:tcBorders>
              <w:top w:val="nil"/>
              <w:left w:val="nil"/>
              <w:bottom w:val="single" w:sz="4" w:space="0" w:color="auto"/>
              <w:right w:val="single" w:sz="4" w:space="0" w:color="auto"/>
            </w:tcBorders>
            <w:vAlign w:val="center"/>
          </w:tcPr>
          <w:p w:rsidR="00A32067" w:rsidRDefault="00A32067">
            <w:pPr>
              <w:jc w:val="center"/>
              <w:rPr>
                <w:color w:val="000000"/>
              </w:rPr>
            </w:pPr>
          </w:p>
        </w:tc>
        <w:tc>
          <w:tcPr>
            <w:tcW w:w="920" w:type="dxa"/>
            <w:gridSpan w:val="2"/>
            <w:tcBorders>
              <w:top w:val="nil"/>
              <w:left w:val="nil"/>
              <w:bottom w:val="single" w:sz="4" w:space="0" w:color="auto"/>
              <w:right w:val="single" w:sz="4" w:space="0" w:color="auto"/>
            </w:tcBorders>
          </w:tcPr>
          <w:p w:rsidR="00A32067" w:rsidRDefault="00A32067">
            <w:pPr>
              <w:jc w:val="center"/>
              <w:rPr>
                <w:color w:val="000000"/>
              </w:rPr>
            </w:pPr>
          </w:p>
        </w:tc>
      </w:tr>
    </w:tbl>
    <w:p w:rsidR="00A32067" w:rsidRDefault="00A32067">
      <w:pPr>
        <w:spacing w:before="100" w:beforeAutospacing="1" w:after="100" w:afterAutospacing="1"/>
        <w:jc w:val="center"/>
        <w:outlineLvl w:val="0"/>
        <w:rPr>
          <w:b/>
          <w:bCs/>
          <w:spacing w:val="24"/>
          <w:sz w:val="36"/>
          <w:szCs w:val="36"/>
        </w:rPr>
      </w:pPr>
    </w:p>
    <w:p w:rsidR="00A32067" w:rsidRDefault="00A32067">
      <w:pPr>
        <w:jc w:val="center"/>
        <w:outlineLvl w:val="0"/>
        <w:rPr>
          <w:b/>
          <w:bCs/>
          <w:color w:val="000000"/>
          <w:spacing w:val="20"/>
          <w:sz w:val="44"/>
          <w:szCs w:val="44"/>
          <w:lang w:val="zh-TW" w:eastAsia="zh-TW"/>
        </w:rPr>
      </w:pPr>
    </w:p>
    <w:p w:rsidR="00A32067" w:rsidRDefault="00A32067">
      <w:pPr>
        <w:spacing w:line="220" w:lineRule="atLeast"/>
        <w:rPr>
          <w:b/>
          <w:bCs/>
          <w:color w:val="000000"/>
          <w:spacing w:val="20"/>
          <w:sz w:val="44"/>
          <w:szCs w:val="44"/>
          <w:lang w:val="zh-TW" w:eastAsia="zh-TW"/>
        </w:rPr>
      </w:pPr>
      <w:r>
        <w:rPr>
          <w:b/>
          <w:bCs/>
          <w:color w:val="000000"/>
          <w:spacing w:val="20"/>
          <w:sz w:val="44"/>
          <w:szCs w:val="44"/>
          <w:lang w:val="zh-TW" w:eastAsia="zh-TW"/>
        </w:rPr>
        <w:br w:type="page"/>
      </w:r>
    </w:p>
    <w:p w:rsidR="00A32067" w:rsidRDefault="00A32067">
      <w:pPr>
        <w:jc w:val="center"/>
        <w:outlineLvl w:val="0"/>
        <w:rPr>
          <w:b/>
          <w:bCs/>
          <w:sz w:val="44"/>
          <w:szCs w:val="44"/>
        </w:rPr>
      </w:pPr>
    </w:p>
    <w:p w:rsidR="00A32067" w:rsidRDefault="00A32067" w:rsidP="0002085C">
      <w:pPr>
        <w:spacing w:afterLines="50" w:line="360" w:lineRule="auto"/>
        <w:jc w:val="center"/>
        <w:outlineLvl w:val="2"/>
        <w:rPr>
          <w:b/>
          <w:bCs/>
          <w:sz w:val="44"/>
          <w:szCs w:val="44"/>
        </w:rPr>
      </w:pPr>
      <w:bookmarkStart w:id="89" w:name="_Toc519872317"/>
      <w:r>
        <w:rPr>
          <w:rFonts w:cs="宋体" w:hint="eastAsia"/>
          <w:b/>
          <w:bCs/>
          <w:sz w:val="44"/>
          <w:szCs w:val="44"/>
        </w:rPr>
        <w:t>承德市财政局关于明确城市基础设施配套费</w:t>
      </w:r>
      <w:r>
        <w:rPr>
          <w:b/>
          <w:bCs/>
          <w:sz w:val="44"/>
          <w:szCs w:val="44"/>
        </w:rPr>
        <w:br/>
      </w:r>
      <w:r>
        <w:rPr>
          <w:rFonts w:cs="宋体" w:hint="eastAsia"/>
          <w:b/>
          <w:bCs/>
          <w:sz w:val="44"/>
          <w:szCs w:val="44"/>
        </w:rPr>
        <w:t>征收标准等有关事项的通知</w:t>
      </w:r>
      <w:r>
        <w:rPr>
          <w:b/>
          <w:bCs/>
          <w:sz w:val="44"/>
          <w:szCs w:val="44"/>
        </w:rPr>
        <w:br/>
      </w:r>
      <w:r>
        <w:rPr>
          <w:rFonts w:cs="宋体" w:hint="eastAsia"/>
          <w:color w:val="000000"/>
          <w:sz w:val="22"/>
          <w:szCs w:val="22"/>
        </w:rPr>
        <w:t>承财城建〔</w:t>
      </w:r>
      <w:r>
        <w:rPr>
          <w:color w:val="000000"/>
          <w:sz w:val="22"/>
          <w:szCs w:val="22"/>
        </w:rPr>
        <w:t>2017</w:t>
      </w:r>
      <w:r>
        <w:rPr>
          <w:rFonts w:cs="宋体" w:hint="eastAsia"/>
          <w:color w:val="000000"/>
          <w:sz w:val="22"/>
          <w:szCs w:val="22"/>
        </w:rPr>
        <w:t>〕</w:t>
      </w:r>
      <w:r>
        <w:rPr>
          <w:color w:val="000000"/>
          <w:sz w:val="22"/>
          <w:szCs w:val="22"/>
        </w:rPr>
        <w:t>20</w:t>
      </w:r>
      <w:r>
        <w:rPr>
          <w:rFonts w:cs="宋体" w:hint="eastAsia"/>
          <w:color w:val="000000"/>
          <w:sz w:val="22"/>
          <w:szCs w:val="22"/>
        </w:rPr>
        <w:t>号</w:t>
      </w:r>
      <w:bookmarkEnd w:id="89"/>
    </w:p>
    <w:p w:rsidR="00A32067" w:rsidRDefault="00A32067">
      <w:pPr>
        <w:spacing w:line="360" w:lineRule="auto"/>
        <w:jc w:val="left"/>
        <w:rPr>
          <w:rFonts w:eastAsia="微软雅黑"/>
          <w:spacing w:val="24"/>
          <w:sz w:val="24"/>
          <w:szCs w:val="24"/>
        </w:rPr>
      </w:pPr>
      <w:r>
        <w:rPr>
          <w:rFonts w:eastAsia="微软雅黑"/>
          <w:spacing w:val="24"/>
          <w:sz w:val="24"/>
          <w:szCs w:val="24"/>
        </w:rPr>
        <w:t> </w:t>
      </w:r>
      <w:r>
        <w:rPr>
          <w:rFonts w:cs="宋体" w:hint="eastAsia"/>
          <w:spacing w:val="24"/>
          <w:sz w:val="22"/>
          <w:szCs w:val="22"/>
        </w:rPr>
        <w:t>各县区财政局、市直有关部门：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根据省政府《关于建立健全水价调整补偿机制意见的通知》（冀政发〔</w:t>
      </w:r>
      <w:r>
        <w:rPr>
          <w:spacing w:val="24"/>
          <w:sz w:val="22"/>
          <w:szCs w:val="22"/>
        </w:rPr>
        <w:t>2016</w:t>
      </w:r>
      <w:r>
        <w:rPr>
          <w:rFonts w:cs="宋体" w:hint="eastAsia"/>
          <w:spacing w:val="24"/>
          <w:sz w:val="22"/>
          <w:szCs w:val="22"/>
        </w:rPr>
        <w:t>〕</w:t>
      </w:r>
      <w:r>
        <w:rPr>
          <w:spacing w:val="24"/>
          <w:sz w:val="22"/>
          <w:szCs w:val="22"/>
        </w:rPr>
        <w:t>51</w:t>
      </w:r>
      <w:r>
        <w:rPr>
          <w:rFonts w:cs="宋体" w:hint="eastAsia"/>
          <w:spacing w:val="24"/>
          <w:sz w:val="22"/>
          <w:szCs w:val="22"/>
        </w:rPr>
        <w:t>号）及河北省财政厅《关于承德市城市基础设施配套费收费标准的批复》（冀财税〔</w:t>
      </w:r>
      <w:r>
        <w:rPr>
          <w:spacing w:val="24"/>
          <w:sz w:val="22"/>
          <w:szCs w:val="22"/>
        </w:rPr>
        <w:t>2017</w:t>
      </w:r>
      <w:r>
        <w:rPr>
          <w:rFonts w:cs="宋体" w:hint="eastAsia"/>
          <w:spacing w:val="24"/>
          <w:sz w:val="22"/>
          <w:szCs w:val="22"/>
        </w:rPr>
        <w:t>〕</w:t>
      </w:r>
      <w:r>
        <w:rPr>
          <w:spacing w:val="24"/>
          <w:sz w:val="22"/>
          <w:szCs w:val="22"/>
        </w:rPr>
        <w:t>23</w:t>
      </w:r>
      <w:r>
        <w:rPr>
          <w:rFonts w:cs="宋体" w:hint="eastAsia"/>
          <w:spacing w:val="24"/>
          <w:sz w:val="22"/>
          <w:szCs w:val="22"/>
        </w:rPr>
        <w:t>号），现对城市配套费征收费标准等有关事项明确如下：</w:t>
      </w:r>
    </w:p>
    <w:p w:rsidR="00A32067" w:rsidRDefault="00A32067" w:rsidP="005431C7">
      <w:pPr>
        <w:spacing w:line="360" w:lineRule="auto"/>
        <w:ind w:firstLineChars="200" w:firstLine="31680"/>
        <w:rPr>
          <w:spacing w:val="24"/>
          <w:sz w:val="22"/>
          <w:szCs w:val="22"/>
        </w:rPr>
      </w:pPr>
      <w:r>
        <w:rPr>
          <w:spacing w:val="24"/>
          <w:sz w:val="22"/>
          <w:szCs w:val="22"/>
        </w:rPr>
        <w:t> </w:t>
      </w:r>
      <w:r>
        <w:rPr>
          <w:rFonts w:cs="宋体" w:hint="eastAsia"/>
          <w:spacing w:val="24"/>
          <w:sz w:val="22"/>
          <w:szCs w:val="22"/>
        </w:rPr>
        <w:t>一、城市配套费征收标准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双桥区、双滦区、开发区，住宅</w:t>
      </w:r>
      <w:r>
        <w:rPr>
          <w:spacing w:val="24"/>
          <w:sz w:val="22"/>
          <w:szCs w:val="22"/>
        </w:rPr>
        <w:t>148</w:t>
      </w:r>
      <w:r>
        <w:rPr>
          <w:rFonts w:cs="宋体" w:hint="eastAsia"/>
          <w:spacing w:val="24"/>
          <w:sz w:val="22"/>
          <w:szCs w:val="22"/>
        </w:rPr>
        <w:t>元</w:t>
      </w:r>
      <w:r>
        <w:rPr>
          <w:spacing w:val="24"/>
          <w:sz w:val="22"/>
          <w:szCs w:val="22"/>
        </w:rPr>
        <w:t>/</w:t>
      </w:r>
      <w:r>
        <w:rPr>
          <w:rFonts w:cs="宋体" w:hint="eastAsia"/>
          <w:spacing w:val="24"/>
          <w:sz w:val="22"/>
          <w:szCs w:val="22"/>
        </w:rPr>
        <w:t>平方米、非住宅</w:t>
      </w:r>
      <w:r>
        <w:rPr>
          <w:spacing w:val="24"/>
          <w:sz w:val="22"/>
          <w:szCs w:val="22"/>
        </w:rPr>
        <w:t>110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营子区、滦平县、隆化县、围场县，县城住宅及非住宅</w:t>
      </w:r>
      <w:r>
        <w:rPr>
          <w:spacing w:val="24"/>
          <w:sz w:val="22"/>
          <w:szCs w:val="22"/>
        </w:rPr>
        <w:t>40</w:t>
      </w:r>
      <w:r>
        <w:rPr>
          <w:rFonts w:cs="宋体" w:hint="eastAsia"/>
          <w:spacing w:val="24"/>
          <w:sz w:val="22"/>
          <w:szCs w:val="22"/>
        </w:rPr>
        <w:t>元</w:t>
      </w:r>
      <w:r>
        <w:rPr>
          <w:spacing w:val="24"/>
          <w:sz w:val="22"/>
          <w:szCs w:val="22"/>
        </w:rPr>
        <w:t>/</w:t>
      </w:r>
      <w:r>
        <w:rPr>
          <w:rFonts w:cs="宋体" w:hint="eastAsia"/>
          <w:spacing w:val="24"/>
          <w:sz w:val="22"/>
          <w:szCs w:val="22"/>
        </w:rPr>
        <w:t>平方米、建制镇住宅及非住宅</w:t>
      </w:r>
      <w:r>
        <w:rPr>
          <w:spacing w:val="24"/>
          <w:sz w:val="22"/>
          <w:szCs w:val="22"/>
        </w:rPr>
        <w:t>20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宽城县，县城住宅及非住宅</w:t>
      </w:r>
      <w:r>
        <w:rPr>
          <w:spacing w:val="24"/>
          <w:sz w:val="22"/>
          <w:szCs w:val="22"/>
        </w:rPr>
        <w:t>80</w:t>
      </w:r>
      <w:r>
        <w:rPr>
          <w:rFonts w:cs="宋体" w:hint="eastAsia"/>
          <w:spacing w:val="24"/>
          <w:sz w:val="22"/>
          <w:szCs w:val="22"/>
        </w:rPr>
        <w:t>元</w:t>
      </w:r>
      <w:r>
        <w:rPr>
          <w:spacing w:val="24"/>
          <w:sz w:val="22"/>
          <w:szCs w:val="22"/>
        </w:rPr>
        <w:t>/</w:t>
      </w:r>
      <w:r>
        <w:rPr>
          <w:rFonts w:cs="宋体" w:hint="eastAsia"/>
          <w:spacing w:val="24"/>
          <w:sz w:val="22"/>
          <w:szCs w:val="22"/>
        </w:rPr>
        <w:t>平方米、建制镇住宅及非住宅</w:t>
      </w:r>
      <w:r>
        <w:rPr>
          <w:spacing w:val="24"/>
          <w:sz w:val="22"/>
          <w:szCs w:val="22"/>
        </w:rPr>
        <w:t>40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兴隆、平泉、丰宁、承德县，县城住宅及非住宅</w:t>
      </w:r>
      <w:r>
        <w:rPr>
          <w:spacing w:val="24"/>
          <w:sz w:val="22"/>
          <w:szCs w:val="22"/>
        </w:rPr>
        <w:t>90</w:t>
      </w:r>
      <w:r>
        <w:rPr>
          <w:rFonts w:cs="宋体" w:hint="eastAsia"/>
          <w:spacing w:val="24"/>
          <w:sz w:val="22"/>
          <w:szCs w:val="22"/>
        </w:rPr>
        <w:t>元</w:t>
      </w:r>
      <w:r>
        <w:rPr>
          <w:spacing w:val="24"/>
          <w:sz w:val="22"/>
          <w:szCs w:val="22"/>
        </w:rPr>
        <w:t>/</w:t>
      </w:r>
      <w:r>
        <w:rPr>
          <w:rFonts w:cs="宋体" w:hint="eastAsia"/>
          <w:spacing w:val="24"/>
          <w:sz w:val="22"/>
          <w:szCs w:val="22"/>
        </w:rPr>
        <w:t>平方米、建制镇住宅及非住宅</w:t>
      </w:r>
      <w:r>
        <w:rPr>
          <w:spacing w:val="24"/>
          <w:sz w:val="22"/>
          <w:szCs w:val="22"/>
        </w:rPr>
        <w:t>40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城市配套费征收调标后的执行时间：</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二、城市配套费缴费主体</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凡在我市中心城区规划区内进行新建、扩建各类房屋建筑的单位和个人（以下统称建设单位），均应缴纳城市配套费。</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三、城市配套费减免项目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（一）以下建设项目免征配套费</w:t>
      </w:r>
    </w:p>
    <w:p w:rsidR="00A32067" w:rsidRDefault="00A32067" w:rsidP="005431C7">
      <w:pPr>
        <w:spacing w:line="360" w:lineRule="auto"/>
        <w:ind w:firstLineChars="200" w:firstLine="31680"/>
        <w:rPr>
          <w:spacing w:val="24"/>
          <w:sz w:val="22"/>
          <w:szCs w:val="22"/>
        </w:rPr>
      </w:pPr>
      <w:r>
        <w:rPr>
          <w:spacing w:val="24"/>
          <w:sz w:val="22"/>
          <w:szCs w:val="22"/>
        </w:rPr>
        <w:t>1</w:t>
      </w:r>
      <w:r>
        <w:rPr>
          <w:rFonts w:cs="宋体" w:hint="eastAsia"/>
          <w:spacing w:val="24"/>
          <w:sz w:val="22"/>
          <w:szCs w:val="22"/>
        </w:rPr>
        <w:t>、托儿所、幼儿园、中小学教学设施；</w:t>
      </w:r>
    </w:p>
    <w:p w:rsidR="00A32067" w:rsidRDefault="00A32067" w:rsidP="005431C7">
      <w:pPr>
        <w:spacing w:line="360" w:lineRule="auto"/>
        <w:ind w:firstLineChars="200" w:firstLine="31680"/>
        <w:rPr>
          <w:spacing w:val="24"/>
          <w:sz w:val="22"/>
          <w:szCs w:val="22"/>
        </w:rPr>
      </w:pPr>
      <w:r>
        <w:rPr>
          <w:spacing w:val="24"/>
          <w:sz w:val="22"/>
          <w:szCs w:val="22"/>
        </w:rPr>
        <w:t>2</w:t>
      </w:r>
      <w:r>
        <w:rPr>
          <w:rFonts w:cs="宋体" w:hint="eastAsia"/>
          <w:spacing w:val="24"/>
          <w:sz w:val="22"/>
          <w:szCs w:val="22"/>
        </w:rPr>
        <w:t>、老年公益活动设施、敬老院、社会福利院、慈善救助服务设施和为残疾人服务的公共社会福利设施（残疾人住宅除外）</w:t>
      </w:r>
    </w:p>
    <w:p w:rsidR="00A32067" w:rsidRDefault="00A32067" w:rsidP="005431C7">
      <w:pPr>
        <w:spacing w:line="360" w:lineRule="auto"/>
        <w:ind w:firstLineChars="200" w:firstLine="31680"/>
        <w:rPr>
          <w:spacing w:val="24"/>
          <w:sz w:val="22"/>
          <w:szCs w:val="22"/>
        </w:rPr>
      </w:pPr>
      <w:r>
        <w:rPr>
          <w:spacing w:val="24"/>
          <w:sz w:val="22"/>
          <w:szCs w:val="22"/>
        </w:rPr>
        <w:t>3</w:t>
      </w:r>
      <w:r>
        <w:rPr>
          <w:rFonts w:cs="宋体" w:hint="eastAsia"/>
          <w:spacing w:val="24"/>
          <w:sz w:val="22"/>
          <w:szCs w:val="22"/>
        </w:rPr>
        <w:t>、军事设施及营房建设项目（不包括军队招待所、军人在职人员住宅楼和以军人名义举办的经营性建设项目）；</w:t>
      </w:r>
    </w:p>
    <w:p w:rsidR="00A32067" w:rsidRDefault="00A32067" w:rsidP="005431C7">
      <w:pPr>
        <w:spacing w:line="360" w:lineRule="auto"/>
        <w:ind w:firstLineChars="200" w:firstLine="31680"/>
        <w:rPr>
          <w:spacing w:val="24"/>
          <w:sz w:val="22"/>
          <w:szCs w:val="22"/>
        </w:rPr>
      </w:pPr>
      <w:r>
        <w:rPr>
          <w:spacing w:val="24"/>
          <w:sz w:val="22"/>
          <w:szCs w:val="22"/>
        </w:rPr>
        <w:t>4</w:t>
      </w:r>
      <w:r>
        <w:rPr>
          <w:rFonts w:cs="宋体" w:hint="eastAsia"/>
          <w:spacing w:val="24"/>
          <w:sz w:val="22"/>
          <w:szCs w:val="22"/>
        </w:rPr>
        <w:t>、廉租住房、经济适用住房、公共租赁住房、棚户区改造安置住房建设；</w:t>
      </w:r>
    </w:p>
    <w:p w:rsidR="00A32067" w:rsidRDefault="00A32067" w:rsidP="005431C7">
      <w:pPr>
        <w:spacing w:line="360" w:lineRule="auto"/>
        <w:ind w:firstLineChars="200" w:firstLine="31680"/>
        <w:rPr>
          <w:spacing w:val="24"/>
          <w:sz w:val="22"/>
          <w:szCs w:val="22"/>
        </w:rPr>
      </w:pPr>
      <w:r>
        <w:rPr>
          <w:spacing w:val="24"/>
          <w:sz w:val="22"/>
          <w:szCs w:val="22"/>
        </w:rPr>
        <w:t>5</w:t>
      </w:r>
      <w:r>
        <w:rPr>
          <w:rFonts w:cs="宋体" w:hint="eastAsia"/>
          <w:spacing w:val="24"/>
          <w:sz w:val="22"/>
          <w:szCs w:val="22"/>
        </w:rPr>
        <w:t>、省政府批准的其他免征建设项目。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（二）以下建设项目减征配套费：</w:t>
      </w:r>
    </w:p>
    <w:p w:rsidR="00A32067" w:rsidRDefault="00A32067" w:rsidP="005431C7">
      <w:pPr>
        <w:spacing w:line="360" w:lineRule="auto"/>
        <w:ind w:firstLineChars="200" w:firstLine="31680"/>
        <w:rPr>
          <w:spacing w:val="24"/>
          <w:sz w:val="22"/>
          <w:szCs w:val="22"/>
        </w:rPr>
      </w:pPr>
      <w:r>
        <w:rPr>
          <w:spacing w:val="24"/>
          <w:sz w:val="22"/>
          <w:szCs w:val="22"/>
        </w:rPr>
        <w:t>1</w:t>
      </w:r>
      <w:r>
        <w:rPr>
          <w:rFonts w:cs="宋体" w:hint="eastAsia"/>
          <w:spacing w:val="24"/>
          <w:sz w:val="22"/>
          <w:szCs w:val="22"/>
        </w:rPr>
        <w:t>、文化、卫生、科技、体育设施等非营利性项目，减征</w:t>
      </w:r>
      <w:r>
        <w:rPr>
          <w:spacing w:val="24"/>
          <w:sz w:val="22"/>
          <w:szCs w:val="22"/>
        </w:rPr>
        <w:t>30%</w:t>
      </w:r>
      <w:r>
        <w:rPr>
          <w:rFonts w:cs="宋体" w:hint="eastAsia"/>
          <w:spacing w:val="24"/>
          <w:sz w:val="22"/>
          <w:szCs w:val="22"/>
        </w:rPr>
        <w:t>；大学、中专、技校的教学设施减征</w:t>
      </w:r>
      <w:r>
        <w:rPr>
          <w:spacing w:val="24"/>
          <w:sz w:val="22"/>
          <w:szCs w:val="22"/>
        </w:rPr>
        <w:t>30%</w:t>
      </w:r>
      <w:r>
        <w:rPr>
          <w:rFonts w:cs="宋体" w:hint="eastAsia"/>
          <w:spacing w:val="24"/>
          <w:sz w:val="22"/>
          <w:szCs w:val="22"/>
        </w:rPr>
        <w:t>；</w:t>
      </w:r>
    </w:p>
    <w:p w:rsidR="00A32067" w:rsidRDefault="00A32067" w:rsidP="005431C7">
      <w:pPr>
        <w:spacing w:line="360" w:lineRule="auto"/>
        <w:ind w:firstLineChars="200" w:firstLine="31680"/>
        <w:rPr>
          <w:spacing w:val="24"/>
          <w:sz w:val="22"/>
          <w:szCs w:val="22"/>
        </w:rPr>
      </w:pPr>
      <w:r>
        <w:rPr>
          <w:spacing w:val="24"/>
          <w:sz w:val="22"/>
          <w:szCs w:val="22"/>
        </w:rPr>
        <w:t>2</w:t>
      </w:r>
      <w:r>
        <w:rPr>
          <w:rFonts w:cs="宋体" w:hint="eastAsia"/>
          <w:spacing w:val="24"/>
          <w:sz w:val="22"/>
          <w:szCs w:val="22"/>
        </w:rPr>
        <w:t>、高等学校的科研和技术开发设施建设项目，减征</w:t>
      </w:r>
      <w:r>
        <w:rPr>
          <w:spacing w:val="24"/>
          <w:sz w:val="22"/>
          <w:szCs w:val="22"/>
        </w:rPr>
        <w:t>50%</w:t>
      </w:r>
      <w:r>
        <w:rPr>
          <w:rFonts w:cs="宋体" w:hint="eastAsia"/>
          <w:spacing w:val="24"/>
          <w:sz w:val="22"/>
          <w:szCs w:val="22"/>
        </w:rPr>
        <w:t>；</w:t>
      </w:r>
    </w:p>
    <w:p w:rsidR="00A32067" w:rsidRDefault="00A32067" w:rsidP="005431C7">
      <w:pPr>
        <w:spacing w:line="360" w:lineRule="auto"/>
        <w:ind w:firstLineChars="200" w:firstLine="31680"/>
        <w:rPr>
          <w:spacing w:val="24"/>
          <w:sz w:val="22"/>
          <w:szCs w:val="22"/>
        </w:rPr>
      </w:pPr>
      <w:r>
        <w:rPr>
          <w:spacing w:val="24"/>
          <w:sz w:val="22"/>
          <w:szCs w:val="22"/>
        </w:rPr>
        <w:t>3</w:t>
      </w:r>
      <w:r>
        <w:rPr>
          <w:rFonts w:cs="宋体" w:hint="eastAsia"/>
          <w:spacing w:val="24"/>
          <w:sz w:val="22"/>
          <w:szCs w:val="22"/>
        </w:rPr>
        <w:t>、党政机关、财政拨款的事业单位以及公检法机关办公业务用房，减征</w:t>
      </w:r>
      <w:r>
        <w:rPr>
          <w:spacing w:val="24"/>
          <w:sz w:val="22"/>
          <w:szCs w:val="22"/>
        </w:rPr>
        <w:t>50%</w:t>
      </w:r>
      <w:r>
        <w:rPr>
          <w:rFonts w:cs="宋体" w:hint="eastAsia"/>
          <w:spacing w:val="24"/>
          <w:sz w:val="22"/>
          <w:szCs w:val="22"/>
        </w:rPr>
        <w:t>；</w:t>
      </w:r>
    </w:p>
    <w:p w:rsidR="00A32067" w:rsidRDefault="00A32067" w:rsidP="005431C7">
      <w:pPr>
        <w:spacing w:line="360" w:lineRule="auto"/>
        <w:ind w:firstLineChars="200" w:firstLine="31680"/>
        <w:rPr>
          <w:spacing w:val="24"/>
          <w:sz w:val="22"/>
          <w:szCs w:val="22"/>
        </w:rPr>
      </w:pPr>
      <w:r>
        <w:rPr>
          <w:spacing w:val="24"/>
          <w:sz w:val="22"/>
          <w:szCs w:val="22"/>
        </w:rPr>
        <w:t>4</w:t>
      </w:r>
      <w:r>
        <w:rPr>
          <w:rFonts w:cs="宋体" w:hint="eastAsia"/>
          <w:spacing w:val="24"/>
          <w:sz w:val="22"/>
          <w:szCs w:val="22"/>
        </w:rPr>
        <w:t>、小微企业建设项目减征</w:t>
      </w:r>
      <w:r>
        <w:rPr>
          <w:spacing w:val="24"/>
          <w:sz w:val="22"/>
          <w:szCs w:val="22"/>
        </w:rPr>
        <w:t>50%</w:t>
      </w:r>
      <w:r>
        <w:rPr>
          <w:rFonts w:cs="宋体" w:hint="eastAsia"/>
          <w:spacing w:val="24"/>
          <w:sz w:val="22"/>
          <w:szCs w:val="22"/>
        </w:rPr>
        <w:t>；</w:t>
      </w:r>
    </w:p>
    <w:p w:rsidR="00A32067" w:rsidRDefault="00A32067" w:rsidP="005431C7">
      <w:pPr>
        <w:spacing w:line="360" w:lineRule="auto"/>
        <w:ind w:firstLineChars="200" w:firstLine="31680"/>
        <w:rPr>
          <w:spacing w:val="24"/>
          <w:sz w:val="22"/>
          <w:szCs w:val="22"/>
        </w:rPr>
      </w:pPr>
      <w:r>
        <w:rPr>
          <w:spacing w:val="24"/>
          <w:sz w:val="22"/>
          <w:szCs w:val="22"/>
        </w:rPr>
        <w:t>5</w:t>
      </w:r>
      <w:r>
        <w:rPr>
          <w:rFonts w:cs="宋体" w:hint="eastAsia"/>
          <w:spacing w:val="24"/>
          <w:sz w:val="22"/>
          <w:szCs w:val="22"/>
        </w:rPr>
        <w:t>、省政府批准的其他减免建设项目。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（三）免征配套费的建设项目，其使用性质（功能）发生改变的，应及时补缴配套费。</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四、配套费征收使用管理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（一）做好配套费征收管理。建设单位按照规划部门核发的《建设工程规划许可证》标注的建筑面积缴纳配套费。严格按照</w:t>
      </w:r>
      <w:r>
        <w:rPr>
          <w:spacing w:val="24"/>
          <w:sz w:val="22"/>
          <w:szCs w:val="22"/>
        </w:rPr>
        <w:t>“</w:t>
      </w:r>
      <w:r>
        <w:rPr>
          <w:rFonts w:cs="宋体" w:hint="eastAsia"/>
          <w:spacing w:val="24"/>
          <w:sz w:val="22"/>
          <w:szCs w:val="22"/>
        </w:rPr>
        <w:t>收支两条线</w:t>
      </w:r>
      <w:r>
        <w:rPr>
          <w:spacing w:val="24"/>
          <w:sz w:val="22"/>
          <w:szCs w:val="22"/>
        </w:rPr>
        <w:t>”</w:t>
      </w:r>
      <w:r>
        <w:rPr>
          <w:rFonts w:cs="宋体" w:hint="eastAsia"/>
          <w:spacing w:val="24"/>
          <w:sz w:val="22"/>
          <w:szCs w:val="22"/>
        </w:rPr>
        <w:t>管理，通过非税收入管理系统及时缴入国库，保证应收尽收。住建部门凭同级财政部门出具的缴费证明，办理《建筑工程施工许可证》。</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严格配套费减免缓审批。各县区政府及其有关主管部门和执收单位一律不得擅自减免、缓征、停征或取消配套费。确需减免、缓征、停征配套费或调整配套费征收标准的，须向省财政厅提出申请，经省财政厅审核后，报省政府批准。</w:t>
      </w:r>
    </w:p>
    <w:p w:rsidR="00A32067" w:rsidRDefault="00A32067" w:rsidP="005431C7">
      <w:pPr>
        <w:spacing w:line="360" w:lineRule="auto"/>
        <w:ind w:firstLineChars="200" w:firstLine="31680"/>
        <w:rPr>
          <w:rFonts w:eastAsia="微软雅黑"/>
          <w:spacing w:val="24"/>
          <w:sz w:val="24"/>
          <w:szCs w:val="24"/>
        </w:rPr>
      </w:pPr>
      <w:r>
        <w:rPr>
          <w:rFonts w:cs="宋体" w:hint="eastAsia"/>
          <w:spacing w:val="24"/>
          <w:sz w:val="22"/>
          <w:szCs w:val="22"/>
        </w:rPr>
        <w:t>（三）配套费实行政府性基金管理。县级（含县级）以上规划部门为配套费执收单位，使用财政票据，市区（双桥、双滦、开发区）城市配套费以</w:t>
      </w:r>
      <w:r>
        <w:rPr>
          <w:spacing w:val="24"/>
          <w:sz w:val="22"/>
          <w:szCs w:val="22"/>
        </w:rPr>
        <w:t>2015</w:t>
      </w:r>
      <w:r>
        <w:rPr>
          <w:rFonts w:cs="宋体" w:hint="eastAsia"/>
          <w:spacing w:val="24"/>
          <w:sz w:val="22"/>
          <w:szCs w:val="22"/>
        </w:rPr>
        <w:t>年为基数，调标后的配套费资金增量部分通过体制结算上缴市级，由市本级统筹使用，专项用于城市基础设施配套建设，提高城市承载能力。在政府收支分类科目中收入列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pPr>
        <w:shd w:val="clear" w:color="auto" w:fill="FFFFFF"/>
        <w:spacing w:before="100" w:beforeAutospacing="1" w:after="100" w:afterAutospacing="1"/>
        <w:rPr>
          <w:rFonts w:eastAsia="微软雅黑"/>
          <w:spacing w:val="24"/>
          <w:sz w:val="24"/>
          <w:szCs w:val="24"/>
        </w:rPr>
      </w:pPr>
      <w:r>
        <w:rPr>
          <w:rFonts w:eastAsia="微软雅黑"/>
          <w:spacing w:val="24"/>
          <w:sz w:val="24"/>
          <w:szCs w:val="24"/>
        </w:rPr>
        <w:t> </w:t>
      </w:r>
    </w:p>
    <w:p w:rsidR="00A32067" w:rsidRDefault="00A32067">
      <w:pPr>
        <w:shd w:val="clear" w:color="auto" w:fill="FFFFFF"/>
        <w:spacing w:before="100" w:beforeAutospacing="1" w:after="100" w:afterAutospacing="1"/>
        <w:jc w:val="right"/>
        <w:rPr>
          <w:spacing w:val="24"/>
          <w:sz w:val="24"/>
          <w:szCs w:val="24"/>
        </w:rPr>
      </w:pPr>
      <w:r>
        <w:rPr>
          <w:rFonts w:cs="宋体" w:hint="eastAsia"/>
          <w:spacing w:val="24"/>
          <w:sz w:val="24"/>
          <w:szCs w:val="24"/>
        </w:rPr>
        <w:t>承德市财政局</w:t>
      </w:r>
    </w:p>
    <w:p w:rsidR="00A32067" w:rsidRDefault="00A32067">
      <w:pPr>
        <w:shd w:val="clear" w:color="auto" w:fill="FFFFFF"/>
        <w:spacing w:before="100" w:beforeAutospacing="1" w:after="100" w:afterAutospacing="1"/>
        <w:jc w:val="right"/>
        <w:rPr>
          <w:spacing w:val="24"/>
          <w:sz w:val="24"/>
          <w:szCs w:val="24"/>
        </w:rPr>
      </w:pPr>
      <w:r>
        <w:rPr>
          <w:spacing w:val="24"/>
          <w:sz w:val="24"/>
          <w:szCs w:val="24"/>
        </w:rPr>
        <w:t>2017</w:t>
      </w:r>
      <w:r>
        <w:rPr>
          <w:rFonts w:cs="宋体" w:hint="eastAsia"/>
          <w:spacing w:val="24"/>
          <w:sz w:val="24"/>
          <w:szCs w:val="24"/>
        </w:rPr>
        <w:t>年</w:t>
      </w:r>
      <w:r>
        <w:rPr>
          <w:spacing w:val="24"/>
          <w:sz w:val="24"/>
          <w:szCs w:val="24"/>
        </w:rPr>
        <w:t>3</w:t>
      </w:r>
      <w:r>
        <w:rPr>
          <w:rFonts w:cs="宋体" w:hint="eastAsia"/>
          <w:spacing w:val="24"/>
          <w:sz w:val="24"/>
          <w:szCs w:val="24"/>
        </w:rPr>
        <w:t>月</w:t>
      </w:r>
      <w:r>
        <w:rPr>
          <w:spacing w:val="24"/>
          <w:sz w:val="24"/>
          <w:szCs w:val="24"/>
        </w:rPr>
        <w:t>31</w:t>
      </w:r>
    </w:p>
    <w:p w:rsidR="00A32067" w:rsidRDefault="00A32067">
      <w:pPr>
        <w:spacing w:line="360" w:lineRule="auto"/>
        <w:jc w:val="center"/>
        <w:outlineLvl w:val="0"/>
        <w:rPr>
          <w:rFonts w:eastAsia="微软雅黑"/>
          <w:spacing w:val="24"/>
        </w:rPr>
      </w:pPr>
      <w:r>
        <w:rPr>
          <w:rFonts w:eastAsia="微软雅黑"/>
          <w:spacing w:val="24"/>
        </w:rPr>
        <w:br w:type="page"/>
      </w:r>
    </w:p>
    <w:p w:rsidR="00A32067" w:rsidRDefault="00A32067">
      <w:pPr>
        <w:spacing w:line="360" w:lineRule="auto"/>
        <w:jc w:val="center"/>
        <w:outlineLvl w:val="2"/>
        <w:rPr>
          <w:b/>
          <w:bCs/>
          <w:sz w:val="44"/>
          <w:szCs w:val="44"/>
        </w:rPr>
      </w:pPr>
      <w:bookmarkStart w:id="90" w:name="_Toc519872318"/>
      <w:r>
        <w:rPr>
          <w:rFonts w:cs="宋体" w:hint="eastAsia"/>
          <w:b/>
          <w:bCs/>
          <w:sz w:val="44"/>
          <w:szCs w:val="44"/>
        </w:rPr>
        <w:t>衡水市财政局关于城市基础设施</w:t>
      </w:r>
      <w:r>
        <w:rPr>
          <w:b/>
          <w:bCs/>
          <w:sz w:val="44"/>
          <w:szCs w:val="44"/>
        </w:rPr>
        <w:br/>
      </w:r>
      <w:r>
        <w:rPr>
          <w:rFonts w:cs="宋体" w:hint="eastAsia"/>
          <w:b/>
          <w:bCs/>
          <w:sz w:val="44"/>
          <w:szCs w:val="44"/>
        </w:rPr>
        <w:t>配套费收费标准的批复</w:t>
      </w:r>
      <w:r>
        <w:rPr>
          <w:b/>
          <w:bCs/>
          <w:sz w:val="44"/>
          <w:szCs w:val="44"/>
        </w:rPr>
        <w:br/>
      </w:r>
      <w:r>
        <w:rPr>
          <w:rFonts w:cs="宋体" w:hint="eastAsia"/>
          <w:color w:val="000000"/>
          <w:sz w:val="22"/>
          <w:szCs w:val="22"/>
        </w:rPr>
        <w:t>衡财综〔</w:t>
      </w:r>
      <w:r>
        <w:rPr>
          <w:color w:val="000000"/>
          <w:sz w:val="22"/>
          <w:szCs w:val="22"/>
        </w:rPr>
        <w:t>2017</w:t>
      </w:r>
      <w:r>
        <w:rPr>
          <w:rFonts w:cs="宋体" w:hint="eastAsia"/>
          <w:color w:val="000000"/>
          <w:sz w:val="22"/>
          <w:szCs w:val="22"/>
        </w:rPr>
        <w:t>〕</w:t>
      </w:r>
      <w:r>
        <w:rPr>
          <w:color w:val="000000"/>
          <w:sz w:val="22"/>
          <w:szCs w:val="22"/>
        </w:rPr>
        <w:t>13</w:t>
      </w:r>
      <w:r>
        <w:rPr>
          <w:rFonts w:cs="宋体" w:hint="eastAsia"/>
          <w:color w:val="000000"/>
          <w:sz w:val="22"/>
          <w:szCs w:val="22"/>
        </w:rPr>
        <w:t>号</w:t>
      </w:r>
      <w:bookmarkEnd w:id="90"/>
    </w:p>
    <w:p w:rsidR="00A32067" w:rsidRDefault="00A32067">
      <w:pPr>
        <w:spacing w:line="360" w:lineRule="auto"/>
        <w:jc w:val="left"/>
        <w:rPr>
          <w:rFonts w:eastAsia="微软雅黑"/>
          <w:spacing w:val="24"/>
          <w:sz w:val="24"/>
          <w:szCs w:val="24"/>
        </w:rPr>
      </w:pPr>
      <w:r>
        <w:rPr>
          <w:rFonts w:eastAsia="微软雅黑" w:cs="微软雅黑" w:hint="eastAsia"/>
          <w:spacing w:val="24"/>
          <w:sz w:val="24"/>
          <w:szCs w:val="24"/>
        </w:rPr>
        <w:t>县（市、区）财政局，市规划局：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根据《河北省财政厅关于衡水市城市基础设施配套费收费标准的批复》（冀财税〔</w:t>
      </w:r>
      <w:r>
        <w:rPr>
          <w:spacing w:val="24"/>
          <w:sz w:val="22"/>
          <w:szCs w:val="22"/>
        </w:rPr>
        <w:t>2017</w:t>
      </w:r>
      <w:r>
        <w:rPr>
          <w:rFonts w:cs="宋体" w:hint="eastAsia"/>
          <w:spacing w:val="24"/>
          <w:sz w:val="22"/>
          <w:szCs w:val="22"/>
        </w:rPr>
        <w:t>〕</w:t>
      </w:r>
      <w:r>
        <w:rPr>
          <w:spacing w:val="24"/>
          <w:sz w:val="22"/>
          <w:szCs w:val="22"/>
        </w:rPr>
        <w:t>15</w:t>
      </w:r>
      <w:r>
        <w:rPr>
          <w:rFonts w:cs="宋体" w:hint="eastAsia"/>
          <w:spacing w:val="24"/>
          <w:sz w:val="22"/>
          <w:szCs w:val="22"/>
        </w:rPr>
        <w:t>号），现对你县（市、区）申请调整城市基础设施配套费（以下简称配套费）收费标准等事项批复如下：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一、配套费收费标准含市、县</w:t>
      </w:r>
      <w:r>
        <w:rPr>
          <w:spacing w:val="24"/>
          <w:sz w:val="22"/>
          <w:szCs w:val="22"/>
        </w:rPr>
        <w:t>(</w:t>
      </w:r>
      <w:r>
        <w:rPr>
          <w:rFonts w:cs="宋体" w:hint="eastAsia"/>
          <w:spacing w:val="24"/>
          <w:sz w:val="22"/>
          <w:szCs w:val="22"/>
        </w:rPr>
        <w:t>市、区</w:t>
      </w:r>
      <w:r>
        <w:rPr>
          <w:spacing w:val="24"/>
          <w:sz w:val="22"/>
          <w:szCs w:val="22"/>
        </w:rPr>
        <w:t>)</w:t>
      </w:r>
      <w:r>
        <w:rPr>
          <w:rFonts w:cs="宋体" w:hint="eastAsia"/>
          <w:spacing w:val="24"/>
          <w:sz w:val="22"/>
          <w:szCs w:val="22"/>
        </w:rPr>
        <w:t>、建制镇，具体标准见附件。</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二、调标后的配套费资金增量部分，在水价调整补偿期内用于引江水价补贴、城镇供水管网改造、新建供水设施，做到专款专用。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三、配套费实行政府性基金管理。县级</w:t>
      </w:r>
      <w:r>
        <w:rPr>
          <w:spacing w:val="24"/>
          <w:sz w:val="22"/>
          <w:szCs w:val="22"/>
        </w:rPr>
        <w:t>(</w:t>
      </w:r>
      <w:r>
        <w:rPr>
          <w:rFonts w:cs="宋体" w:hint="eastAsia"/>
          <w:spacing w:val="24"/>
          <w:sz w:val="22"/>
          <w:szCs w:val="22"/>
        </w:rPr>
        <w:t>含县级</w:t>
      </w:r>
      <w:r>
        <w:rPr>
          <w:spacing w:val="24"/>
          <w:sz w:val="22"/>
          <w:szCs w:val="22"/>
        </w:rPr>
        <w:t>)</w:t>
      </w:r>
      <w:r>
        <w:rPr>
          <w:rFonts w:cs="宋体" w:hint="eastAsia"/>
          <w:spacing w:val="24"/>
          <w:sz w:val="22"/>
          <w:szCs w:val="22"/>
        </w:rPr>
        <w:t>以上政府住房和城乡建设行政主管部门为配套费执收单位，使用财政票据，将收入全额缴入地方国库，纳入地方政府基金预算。在政府收支分类科目中收入列</w:t>
      </w:r>
      <w:r>
        <w:rPr>
          <w:spacing w:val="24"/>
          <w:sz w:val="22"/>
          <w:szCs w:val="22"/>
        </w:rPr>
        <w:t>103</w:t>
      </w:r>
      <w:r>
        <w:rPr>
          <w:rFonts w:cs="宋体" w:hint="eastAsia"/>
          <w:spacing w:val="24"/>
          <w:sz w:val="22"/>
          <w:szCs w:val="22"/>
        </w:rPr>
        <w:t>类</w:t>
      </w:r>
      <w:r>
        <w:rPr>
          <w:spacing w:val="24"/>
          <w:sz w:val="22"/>
          <w:szCs w:val="22"/>
        </w:rPr>
        <w:t>01</w:t>
      </w:r>
      <w:r>
        <w:rPr>
          <w:rFonts w:cs="宋体" w:hint="eastAsia"/>
          <w:spacing w:val="24"/>
          <w:sz w:val="22"/>
          <w:szCs w:val="22"/>
        </w:rPr>
        <w:t>款</w:t>
      </w:r>
      <w:r>
        <w:rPr>
          <w:spacing w:val="24"/>
          <w:sz w:val="22"/>
          <w:szCs w:val="22"/>
        </w:rPr>
        <w:t>56</w:t>
      </w:r>
      <w:r>
        <w:rPr>
          <w:rFonts w:cs="宋体" w:hint="eastAsia"/>
          <w:spacing w:val="24"/>
          <w:sz w:val="22"/>
          <w:szCs w:val="22"/>
        </w:rPr>
        <w:t>项</w:t>
      </w:r>
      <w:r>
        <w:rPr>
          <w:spacing w:val="24"/>
          <w:sz w:val="22"/>
          <w:szCs w:val="22"/>
        </w:rPr>
        <w:t>“</w:t>
      </w:r>
      <w:r>
        <w:rPr>
          <w:rFonts w:cs="宋体" w:hint="eastAsia"/>
          <w:spacing w:val="24"/>
          <w:sz w:val="22"/>
          <w:szCs w:val="22"/>
        </w:rPr>
        <w:t>城市基础设施配套费收入</w:t>
      </w:r>
      <w:r>
        <w:rPr>
          <w:spacing w:val="24"/>
          <w:sz w:val="22"/>
          <w:szCs w:val="22"/>
        </w:rPr>
        <w:t>”</w:t>
      </w:r>
      <w:r>
        <w:rPr>
          <w:rFonts w:cs="宋体" w:hint="eastAsia"/>
          <w:spacing w:val="24"/>
          <w:sz w:val="22"/>
          <w:szCs w:val="22"/>
        </w:rPr>
        <w:t>，支出列</w:t>
      </w:r>
      <w:r>
        <w:rPr>
          <w:spacing w:val="24"/>
          <w:sz w:val="22"/>
          <w:szCs w:val="22"/>
        </w:rPr>
        <w:t>212</w:t>
      </w:r>
      <w:r>
        <w:rPr>
          <w:rFonts w:cs="宋体" w:hint="eastAsia"/>
          <w:spacing w:val="24"/>
          <w:sz w:val="22"/>
          <w:szCs w:val="22"/>
        </w:rPr>
        <w:t>类</w:t>
      </w:r>
      <w:r>
        <w:rPr>
          <w:spacing w:val="24"/>
          <w:sz w:val="22"/>
          <w:szCs w:val="22"/>
        </w:rPr>
        <w:t>13</w:t>
      </w:r>
      <w:r>
        <w:rPr>
          <w:rFonts w:cs="宋体" w:hint="eastAsia"/>
          <w:spacing w:val="24"/>
          <w:sz w:val="22"/>
          <w:szCs w:val="22"/>
        </w:rPr>
        <w:t>款</w:t>
      </w:r>
      <w:r>
        <w:rPr>
          <w:spacing w:val="24"/>
          <w:sz w:val="22"/>
          <w:szCs w:val="22"/>
        </w:rPr>
        <w:t>“</w:t>
      </w:r>
      <w:r>
        <w:rPr>
          <w:rFonts w:cs="宋体" w:hint="eastAsia"/>
          <w:spacing w:val="24"/>
          <w:sz w:val="22"/>
          <w:szCs w:val="22"/>
        </w:rPr>
        <w:t>城市基础设施配套费安排的支出</w:t>
      </w:r>
      <w:r>
        <w:rPr>
          <w:spacing w:val="24"/>
          <w:sz w:val="22"/>
          <w:szCs w:val="22"/>
        </w:rPr>
        <w:t>”</w:t>
      </w:r>
      <w:r>
        <w:rPr>
          <w:rFonts w:cs="宋体" w:hint="eastAsia"/>
          <w:spacing w:val="24"/>
          <w:sz w:val="22"/>
          <w:szCs w:val="22"/>
        </w:rPr>
        <w:t>科目。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附件：城市基础设施配套费收费标准（分发）</w:t>
      </w:r>
    </w:p>
    <w:p w:rsidR="00A32067" w:rsidRDefault="00A32067" w:rsidP="005431C7">
      <w:pPr>
        <w:spacing w:line="360" w:lineRule="auto"/>
        <w:ind w:right="268" w:firstLineChars="200" w:firstLine="31680"/>
        <w:jc w:val="right"/>
        <w:rPr>
          <w:spacing w:val="24"/>
          <w:sz w:val="22"/>
          <w:szCs w:val="22"/>
        </w:rPr>
      </w:pPr>
      <w:r>
        <w:rPr>
          <w:rFonts w:cs="宋体" w:hint="eastAsia"/>
          <w:spacing w:val="24"/>
          <w:sz w:val="22"/>
          <w:szCs w:val="22"/>
        </w:rPr>
        <w:t>衡水市财政局</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23</w:t>
      </w:r>
      <w:r>
        <w:rPr>
          <w:rFonts w:cs="宋体" w:hint="eastAsia"/>
          <w:spacing w:val="24"/>
          <w:sz w:val="22"/>
          <w:szCs w:val="22"/>
        </w:rPr>
        <w:t>日</w:t>
      </w:r>
    </w:p>
    <w:p w:rsidR="00A32067" w:rsidRDefault="00A32067">
      <w:pPr>
        <w:rPr>
          <w:color w:val="000000"/>
          <w:sz w:val="24"/>
          <w:szCs w:val="24"/>
        </w:rPr>
      </w:pPr>
      <w:r>
        <w:rPr>
          <w:rFonts w:cs="宋体" w:hint="eastAsia"/>
          <w:color w:val="000000"/>
          <w:sz w:val="24"/>
          <w:szCs w:val="24"/>
        </w:rPr>
        <w:t>附件：</w:t>
      </w:r>
    </w:p>
    <w:p w:rsidR="00A32067" w:rsidRDefault="00A32067">
      <w:pPr>
        <w:spacing w:before="100" w:beforeAutospacing="1" w:after="100" w:afterAutospacing="1" w:line="360" w:lineRule="auto"/>
        <w:jc w:val="center"/>
        <w:rPr>
          <w:b/>
          <w:bCs/>
          <w:color w:val="000000"/>
          <w:sz w:val="24"/>
          <w:szCs w:val="24"/>
        </w:rPr>
      </w:pPr>
      <w:r>
        <w:rPr>
          <w:rFonts w:cs="宋体" w:hint="eastAsia"/>
          <w:b/>
          <w:bCs/>
          <w:color w:val="000000"/>
          <w:sz w:val="24"/>
          <w:szCs w:val="24"/>
        </w:rPr>
        <w:t>衡水市城市基础设施配套费收费标准</w:t>
      </w:r>
    </w:p>
    <w:p w:rsidR="00A32067" w:rsidRDefault="00A32067">
      <w:pPr>
        <w:wordWrap w:val="0"/>
        <w:spacing w:before="100" w:beforeAutospacing="1" w:after="100" w:afterAutospacing="1" w:line="360" w:lineRule="auto"/>
        <w:jc w:val="right"/>
        <w:rPr>
          <w:b/>
          <w:bCs/>
          <w:color w:val="000000"/>
        </w:rPr>
      </w:pPr>
      <w:r>
        <w:rPr>
          <w:rFonts w:cs="宋体" w:hint="eastAsia"/>
          <w:b/>
          <w:bCs/>
          <w:color w:val="000000"/>
        </w:rPr>
        <w:t>单位：元</w:t>
      </w:r>
      <w:r>
        <w:rPr>
          <w:b/>
          <w:bCs/>
          <w:color w:val="000000"/>
        </w:rPr>
        <w:t>/</w:t>
      </w:r>
      <w:r>
        <w:rPr>
          <w:rFonts w:cs="宋体" w:hint="eastAsia"/>
          <w:b/>
          <w:bCs/>
          <w:color w:val="000000"/>
        </w:rPr>
        <w:t>平方米</w:t>
      </w:r>
    </w:p>
    <w:tbl>
      <w:tblPr>
        <w:tblW w:w="9375" w:type="dxa"/>
        <w:tblInd w:w="2" w:type="dxa"/>
        <w:tblLayout w:type="fixed"/>
        <w:tblLook w:val="00A0"/>
      </w:tblPr>
      <w:tblGrid>
        <w:gridCol w:w="646"/>
        <w:gridCol w:w="1704"/>
        <w:gridCol w:w="853"/>
        <w:gridCol w:w="706"/>
        <w:gridCol w:w="851"/>
        <w:gridCol w:w="710"/>
        <w:gridCol w:w="708"/>
        <w:gridCol w:w="708"/>
        <w:gridCol w:w="851"/>
        <w:gridCol w:w="714"/>
        <w:gridCol w:w="924"/>
      </w:tblGrid>
      <w:tr w:rsidR="00A32067">
        <w:trPr>
          <w:trHeight w:val="345"/>
        </w:trPr>
        <w:tc>
          <w:tcPr>
            <w:tcW w:w="646"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color w:val="000000"/>
              </w:rPr>
            </w:pPr>
            <w:r>
              <w:rPr>
                <w:rFonts w:cs="宋体" w:hint="eastAsia"/>
                <w:color w:val="000000"/>
              </w:rPr>
              <w:t>序号</w:t>
            </w:r>
          </w:p>
        </w:tc>
        <w:tc>
          <w:tcPr>
            <w:tcW w:w="1704" w:type="dxa"/>
            <w:vMerge w:val="restart"/>
            <w:tcBorders>
              <w:top w:val="single" w:sz="4" w:space="0" w:color="auto"/>
              <w:left w:val="nil"/>
              <w:bottom w:val="single" w:sz="4" w:space="0" w:color="auto"/>
              <w:right w:val="single" w:sz="4" w:space="0" w:color="auto"/>
            </w:tcBorders>
            <w:shd w:val="clear" w:color="000000" w:fill="FFFFFF"/>
            <w:vAlign w:val="center"/>
          </w:tcPr>
          <w:p w:rsidR="00A32067" w:rsidRDefault="00A32067">
            <w:pPr>
              <w:jc w:val="center"/>
              <w:rPr>
                <w:rFonts w:eastAsia="微软雅黑"/>
              </w:rPr>
            </w:pPr>
            <w:r>
              <w:rPr>
                <w:rFonts w:eastAsia="微软雅黑" w:cs="微软雅黑" w:hint="eastAsia"/>
              </w:rPr>
              <w:t>地区</w:t>
            </w:r>
          </w:p>
        </w:tc>
        <w:tc>
          <w:tcPr>
            <w:tcW w:w="6101" w:type="dxa"/>
            <w:gridSpan w:val="8"/>
            <w:tcBorders>
              <w:top w:val="single" w:sz="4" w:space="0" w:color="auto"/>
              <w:left w:val="nil"/>
              <w:bottom w:val="single" w:sz="4" w:space="0" w:color="auto"/>
              <w:right w:val="single" w:sz="4" w:space="0" w:color="auto"/>
            </w:tcBorders>
            <w:shd w:val="clear" w:color="000000" w:fill="FFFFFF"/>
          </w:tcPr>
          <w:p w:rsidR="00A32067" w:rsidRDefault="00A32067">
            <w:pPr>
              <w:jc w:val="center"/>
              <w:rPr>
                <w:rFonts w:eastAsia="微软雅黑"/>
              </w:rPr>
            </w:pPr>
            <w:r>
              <w:rPr>
                <w:rFonts w:eastAsia="微软雅黑" w:cs="微软雅黑" w:hint="eastAsia"/>
              </w:rPr>
              <w:t>配套费执行标准</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32067" w:rsidRDefault="00A32067">
            <w:pPr>
              <w:jc w:val="center"/>
              <w:rPr>
                <w:rFonts w:eastAsia="微软雅黑"/>
                <w:color w:val="000000"/>
                <w:sz w:val="24"/>
                <w:szCs w:val="24"/>
              </w:rPr>
            </w:pPr>
            <w:r>
              <w:rPr>
                <w:rFonts w:eastAsia="微软雅黑" w:cs="微软雅黑" w:hint="eastAsia"/>
                <w:color w:val="000000"/>
                <w:sz w:val="24"/>
                <w:szCs w:val="24"/>
              </w:rPr>
              <w:t>备注</w:t>
            </w:r>
          </w:p>
        </w:tc>
      </w:tr>
      <w:tr w:rsidR="00A32067">
        <w:trPr>
          <w:trHeight w:val="345"/>
        </w:trPr>
        <w:tc>
          <w:tcPr>
            <w:tcW w:w="646"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c>
          <w:tcPr>
            <w:tcW w:w="1704" w:type="dxa"/>
            <w:vMerge/>
            <w:tcBorders>
              <w:top w:val="single" w:sz="4" w:space="0" w:color="auto"/>
              <w:left w:val="nil"/>
              <w:bottom w:val="single" w:sz="4" w:space="0" w:color="auto"/>
              <w:right w:val="single" w:sz="4" w:space="0" w:color="auto"/>
            </w:tcBorders>
            <w:vAlign w:val="center"/>
          </w:tcPr>
          <w:p w:rsidR="00A32067" w:rsidRDefault="00A32067">
            <w:pPr>
              <w:rPr>
                <w:rFonts w:eastAsia="微软雅黑"/>
              </w:rPr>
            </w:pPr>
          </w:p>
        </w:tc>
        <w:tc>
          <w:tcPr>
            <w:tcW w:w="1559" w:type="dxa"/>
            <w:gridSpan w:val="2"/>
            <w:tcBorders>
              <w:top w:val="single" w:sz="4" w:space="0" w:color="auto"/>
              <w:left w:val="nil"/>
              <w:bottom w:val="single" w:sz="4" w:space="0" w:color="auto"/>
              <w:right w:val="single" w:sz="4" w:space="0" w:color="auto"/>
            </w:tcBorders>
            <w:shd w:val="clear" w:color="000000" w:fill="FFFFFF"/>
          </w:tcPr>
          <w:p w:rsidR="00A32067" w:rsidRDefault="00A32067">
            <w:pPr>
              <w:jc w:val="center"/>
              <w:rPr>
                <w:rFonts w:eastAsia="微软雅黑"/>
              </w:rPr>
            </w:pPr>
            <w:r>
              <w:rPr>
                <w:rFonts w:eastAsia="微软雅黑" w:cs="微软雅黑" w:hint="eastAsia"/>
              </w:rPr>
              <w:t>设区市</w:t>
            </w:r>
          </w:p>
        </w:tc>
        <w:tc>
          <w:tcPr>
            <w:tcW w:w="1561" w:type="dxa"/>
            <w:gridSpan w:val="2"/>
            <w:tcBorders>
              <w:top w:val="single" w:sz="4" w:space="0" w:color="auto"/>
              <w:left w:val="nil"/>
              <w:bottom w:val="single" w:sz="4" w:space="0" w:color="auto"/>
              <w:right w:val="single" w:sz="4" w:space="0" w:color="auto"/>
            </w:tcBorders>
            <w:shd w:val="clear" w:color="000000" w:fill="FFFFFF"/>
          </w:tcPr>
          <w:p w:rsidR="00A32067" w:rsidRDefault="00A32067">
            <w:pPr>
              <w:jc w:val="center"/>
              <w:rPr>
                <w:rFonts w:eastAsia="微软雅黑"/>
              </w:rPr>
            </w:pPr>
            <w:r>
              <w:rPr>
                <w:rFonts w:eastAsia="微软雅黑" w:cs="微软雅黑" w:hint="eastAsia"/>
              </w:rPr>
              <w:t>县级市</w:t>
            </w:r>
          </w:p>
        </w:tc>
        <w:tc>
          <w:tcPr>
            <w:tcW w:w="1416" w:type="dxa"/>
            <w:gridSpan w:val="2"/>
            <w:tcBorders>
              <w:top w:val="single" w:sz="4" w:space="0" w:color="auto"/>
              <w:left w:val="nil"/>
              <w:bottom w:val="single" w:sz="4" w:space="0" w:color="auto"/>
              <w:right w:val="single" w:sz="4" w:space="0" w:color="auto"/>
            </w:tcBorders>
            <w:shd w:val="clear" w:color="000000" w:fill="FFFFFF"/>
          </w:tcPr>
          <w:p w:rsidR="00A32067" w:rsidRDefault="00A32067">
            <w:pPr>
              <w:jc w:val="center"/>
              <w:rPr>
                <w:rFonts w:eastAsia="微软雅黑"/>
              </w:rPr>
            </w:pPr>
            <w:r>
              <w:rPr>
                <w:rFonts w:eastAsia="微软雅黑" w:cs="微软雅黑" w:hint="eastAsia"/>
              </w:rPr>
              <w:t>县城</w:t>
            </w:r>
          </w:p>
        </w:tc>
        <w:tc>
          <w:tcPr>
            <w:tcW w:w="1565" w:type="dxa"/>
            <w:gridSpan w:val="2"/>
            <w:tcBorders>
              <w:top w:val="single" w:sz="4" w:space="0" w:color="auto"/>
              <w:left w:val="nil"/>
              <w:bottom w:val="single" w:sz="4" w:space="0" w:color="auto"/>
              <w:right w:val="single" w:sz="4" w:space="0" w:color="auto"/>
            </w:tcBorders>
            <w:shd w:val="clear" w:color="000000" w:fill="FFFFFF"/>
          </w:tcPr>
          <w:p w:rsidR="00A32067" w:rsidRDefault="00A32067">
            <w:pPr>
              <w:jc w:val="center"/>
              <w:rPr>
                <w:rFonts w:eastAsia="微软雅黑"/>
              </w:rPr>
            </w:pPr>
            <w:r>
              <w:rPr>
                <w:rFonts w:eastAsia="微软雅黑" w:cs="微软雅黑" w:hint="eastAsia"/>
              </w:rPr>
              <w:t>建制镇</w:t>
            </w:r>
          </w:p>
        </w:tc>
        <w:tc>
          <w:tcPr>
            <w:tcW w:w="924"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rFonts w:eastAsia="微软雅黑"/>
                <w:color w:val="000000"/>
                <w:sz w:val="24"/>
                <w:szCs w:val="24"/>
              </w:rPr>
            </w:pPr>
          </w:p>
        </w:tc>
      </w:tr>
      <w:tr w:rsidR="00A32067">
        <w:trPr>
          <w:trHeight w:hRule="exact" w:val="683"/>
        </w:trPr>
        <w:tc>
          <w:tcPr>
            <w:tcW w:w="646"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color w:val="000000"/>
              </w:rPr>
            </w:pPr>
          </w:p>
        </w:tc>
        <w:tc>
          <w:tcPr>
            <w:tcW w:w="1704" w:type="dxa"/>
            <w:vMerge/>
            <w:tcBorders>
              <w:top w:val="single" w:sz="4" w:space="0" w:color="auto"/>
              <w:left w:val="nil"/>
              <w:bottom w:val="single" w:sz="4" w:space="0" w:color="auto"/>
              <w:right w:val="single" w:sz="4" w:space="0" w:color="auto"/>
            </w:tcBorders>
            <w:vAlign w:val="center"/>
          </w:tcPr>
          <w:p w:rsidR="00A32067" w:rsidRDefault="00A32067">
            <w:pPr>
              <w:rPr>
                <w:rFonts w:eastAsia="微软雅黑"/>
              </w:rPr>
            </w:pPr>
          </w:p>
        </w:tc>
        <w:tc>
          <w:tcPr>
            <w:tcW w:w="853"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06"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851"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10"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708"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08"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851"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住宅</w:t>
            </w:r>
          </w:p>
        </w:tc>
        <w:tc>
          <w:tcPr>
            <w:tcW w:w="714" w:type="dxa"/>
            <w:tcBorders>
              <w:top w:val="nil"/>
              <w:left w:val="nil"/>
              <w:bottom w:val="single" w:sz="4" w:space="0" w:color="auto"/>
              <w:right w:val="single" w:sz="4" w:space="0" w:color="auto"/>
            </w:tcBorders>
            <w:shd w:val="clear" w:color="000000" w:fill="FFFFFF"/>
            <w:vAlign w:val="center"/>
          </w:tcPr>
          <w:p w:rsidR="00A32067" w:rsidRDefault="00A32067">
            <w:pPr>
              <w:jc w:val="center"/>
            </w:pPr>
            <w:r>
              <w:rPr>
                <w:rFonts w:cs="宋体" w:hint="eastAsia"/>
              </w:rPr>
              <w:t>非住宅</w:t>
            </w:r>
          </w:p>
        </w:tc>
        <w:tc>
          <w:tcPr>
            <w:tcW w:w="924" w:type="dxa"/>
            <w:vMerge/>
            <w:tcBorders>
              <w:top w:val="single" w:sz="4" w:space="0" w:color="auto"/>
              <w:left w:val="single" w:sz="4" w:space="0" w:color="auto"/>
              <w:bottom w:val="single" w:sz="4" w:space="0" w:color="auto"/>
              <w:right w:val="single" w:sz="4" w:space="0" w:color="auto"/>
            </w:tcBorders>
            <w:vAlign w:val="center"/>
          </w:tcPr>
          <w:p w:rsidR="00A32067" w:rsidRDefault="00A32067">
            <w:pPr>
              <w:rPr>
                <w:rFonts w:eastAsia="微软雅黑"/>
                <w:color w:val="000000"/>
                <w:sz w:val="24"/>
                <w:szCs w:val="24"/>
              </w:rPr>
            </w:pPr>
          </w:p>
        </w:tc>
      </w:tr>
      <w:tr w:rsidR="00A32067">
        <w:trPr>
          <w:trHeight w:hRule="exact" w:val="707"/>
        </w:trPr>
        <w:tc>
          <w:tcPr>
            <w:tcW w:w="646" w:type="dxa"/>
            <w:tcBorders>
              <w:top w:val="nil"/>
              <w:left w:val="single" w:sz="4" w:space="0" w:color="auto"/>
              <w:bottom w:val="single" w:sz="4" w:space="0" w:color="auto"/>
              <w:right w:val="single" w:sz="4" w:space="0" w:color="auto"/>
            </w:tcBorders>
            <w:vAlign w:val="center"/>
          </w:tcPr>
          <w:p w:rsidR="00A32067" w:rsidRDefault="00A32067">
            <w:pPr>
              <w:spacing w:line="330" w:lineRule="exact"/>
              <w:jc w:val="center"/>
              <w:rPr>
                <w:color w:val="000000"/>
                <w:sz w:val="24"/>
                <w:szCs w:val="24"/>
              </w:rPr>
            </w:pPr>
            <w:r>
              <w:rPr>
                <w:color w:val="000000"/>
                <w:sz w:val="24"/>
                <w:szCs w:val="24"/>
              </w:rPr>
              <w:t>1</w:t>
            </w:r>
          </w:p>
        </w:tc>
        <w:tc>
          <w:tcPr>
            <w:tcW w:w="1704"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color w:val="000000"/>
              </w:rPr>
            </w:pPr>
            <w:r>
              <w:rPr>
                <w:rFonts w:cs="宋体" w:hint="eastAsia"/>
                <w:color w:val="000000"/>
              </w:rPr>
              <w:t>市区（含桃城区、开发区）</w:t>
            </w:r>
          </w:p>
        </w:tc>
        <w:tc>
          <w:tcPr>
            <w:tcW w:w="853"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r>
              <w:rPr>
                <w:rFonts w:eastAsia="微软雅黑"/>
                <w:color w:val="000000"/>
                <w:sz w:val="24"/>
                <w:szCs w:val="24"/>
              </w:rPr>
              <w:t>125</w:t>
            </w:r>
          </w:p>
        </w:tc>
        <w:tc>
          <w:tcPr>
            <w:tcW w:w="706"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r>
              <w:rPr>
                <w:rFonts w:eastAsia="微软雅黑"/>
                <w:color w:val="000000"/>
                <w:sz w:val="24"/>
                <w:szCs w:val="24"/>
              </w:rPr>
              <w:t>125</w:t>
            </w:r>
          </w:p>
        </w:tc>
        <w:tc>
          <w:tcPr>
            <w:tcW w:w="85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710"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708"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708"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851"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714" w:type="dxa"/>
            <w:tcBorders>
              <w:top w:val="nil"/>
              <w:left w:val="nil"/>
              <w:bottom w:val="single" w:sz="4" w:space="0" w:color="auto"/>
              <w:right w:val="single" w:sz="4" w:space="0" w:color="auto"/>
            </w:tcBorders>
            <w:shd w:val="clear" w:color="000000" w:fill="FFFFFF"/>
            <w:vAlign w:val="center"/>
          </w:tcPr>
          <w:p w:rsidR="00A32067" w:rsidRDefault="00A32067">
            <w:pPr>
              <w:spacing w:line="330" w:lineRule="exact"/>
              <w:jc w:val="center"/>
              <w:rPr>
                <w:rFonts w:eastAsia="微软雅黑"/>
                <w:color w:val="000000"/>
                <w:sz w:val="24"/>
                <w:szCs w:val="24"/>
              </w:rPr>
            </w:pPr>
          </w:p>
        </w:tc>
        <w:tc>
          <w:tcPr>
            <w:tcW w:w="924" w:type="dxa"/>
            <w:tcBorders>
              <w:top w:val="nil"/>
              <w:left w:val="nil"/>
              <w:bottom w:val="single" w:sz="4" w:space="0" w:color="auto"/>
              <w:right w:val="single" w:sz="4" w:space="0" w:color="auto"/>
            </w:tcBorders>
          </w:tcPr>
          <w:p w:rsidR="00A32067" w:rsidRDefault="00A32067">
            <w:pPr>
              <w:spacing w:line="330" w:lineRule="exact"/>
              <w:jc w:val="center"/>
              <w:rPr>
                <w:rFonts w:eastAsia="微软雅黑"/>
                <w:color w:val="000000"/>
                <w:sz w:val="24"/>
                <w:szCs w:val="24"/>
              </w:rPr>
            </w:pPr>
            <w:r>
              <w:rPr>
                <w:rFonts w:eastAsia="微软雅黑" w:cs="微软雅黑" w:hint="eastAsia"/>
                <w:color w:val="000000"/>
                <w:sz w:val="24"/>
                <w:szCs w:val="24"/>
              </w:rPr>
              <w:t xml:space="preserve">　</w:t>
            </w:r>
          </w:p>
        </w:tc>
      </w:tr>
    </w:tbl>
    <w:p w:rsidR="00A32067" w:rsidRDefault="00A32067" w:rsidP="0002085C">
      <w:pPr>
        <w:widowControl/>
        <w:shd w:val="clear" w:color="auto" w:fill="FFFFFF"/>
        <w:adjustRightInd w:val="0"/>
        <w:snapToGrid w:val="0"/>
        <w:spacing w:beforeLines="50" w:after="120"/>
        <w:jc w:val="left"/>
        <w:rPr>
          <w:rFonts w:eastAsia="微软雅黑"/>
          <w:b/>
          <w:bCs/>
          <w:kern w:val="0"/>
          <w:sz w:val="24"/>
          <w:szCs w:val="24"/>
          <w:shd w:val="clear" w:color="auto" w:fill="FFFFFF"/>
        </w:rPr>
      </w:pPr>
    </w:p>
    <w:p w:rsidR="00A32067" w:rsidRDefault="00A32067">
      <w:pPr>
        <w:widowControl/>
        <w:jc w:val="left"/>
        <w:rPr>
          <w:rFonts w:eastAsia="微软雅黑"/>
          <w:spacing w:val="24"/>
          <w:sz w:val="24"/>
          <w:szCs w:val="24"/>
        </w:rPr>
      </w:pPr>
    </w:p>
    <w:p w:rsidR="00A32067" w:rsidRDefault="00A32067">
      <w:pPr>
        <w:shd w:val="clear" w:color="auto" w:fill="FFFFFF"/>
        <w:spacing w:before="100" w:beforeAutospacing="1" w:after="100" w:afterAutospacing="1"/>
        <w:jc w:val="right"/>
        <w:rPr>
          <w:rFonts w:eastAsia="微软雅黑"/>
          <w:spacing w:val="24"/>
          <w:sz w:val="24"/>
          <w:szCs w:val="24"/>
        </w:rPr>
      </w:pPr>
    </w:p>
    <w:p w:rsidR="00A32067" w:rsidRDefault="00A32067">
      <w:pPr>
        <w:spacing w:line="360" w:lineRule="auto"/>
        <w:jc w:val="center"/>
        <w:outlineLvl w:val="2"/>
        <w:rPr>
          <w:b/>
          <w:bCs/>
          <w:sz w:val="44"/>
          <w:szCs w:val="44"/>
        </w:rPr>
      </w:pPr>
      <w:bookmarkStart w:id="91" w:name="_Toc519872319"/>
      <w:r>
        <w:rPr>
          <w:rFonts w:cs="宋体" w:hint="eastAsia"/>
          <w:b/>
          <w:bCs/>
          <w:sz w:val="44"/>
          <w:szCs w:val="44"/>
        </w:rPr>
        <w:t>定州市人民政府关于调整城市基础设施</w:t>
      </w:r>
      <w:r>
        <w:rPr>
          <w:b/>
          <w:bCs/>
          <w:sz w:val="44"/>
          <w:szCs w:val="44"/>
        </w:rPr>
        <w:br/>
      </w:r>
      <w:r>
        <w:rPr>
          <w:rFonts w:cs="宋体" w:hint="eastAsia"/>
          <w:b/>
          <w:bCs/>
          <w:sz w:val="44"/>
          <w:szCs w:val="44"/>
        </w:rPr>
        <w:t>配套费的通知</w:t>
      </w:r>
      <w:r>
        <w:rPr>
          <w:b/>
          <w:bCs/>
          <w:sz w:val="44"/>
          <w:szCs w:val="44"/>
        </w:rPr>
        <w:br/>
      </w:r>
      <w:r>
        <w:rPr>
          <w:rFonts w:cs="宋体" w:hint="eastAsia"/>
          <w:color w:val="000000"/>
          <w:sz w:val="22"/>
          <w:szCs w:val="22"/>
        </w:rPr>
        <w:t>定政发〔</w:t>
      </w:r>
      <w:r>
        <w:rPr>
          <w:color w:val="000000"/>
          <w:sz w:val="22"/>
          <w:szCs w:val="22"/>
        </w:rPr>
        <w:t>2017</w:t>
      </w:r>
      <w:r>
        <w:rPr>
          <w:rFonts w:cs="宋体" w:hint="eastAsia"/>
          <w:color w:val="000000"/>
          <w:sz w:val="22"/>
          <w:szCs w:val="22"/>
        </w:rPr>
        <w:t>〕</w:t>
      </w:r>
      <w:r>
        <w:rPr>
          <w:color w:val="000000"/>
          <w:sz w:val="22"/>
          <w:szCs w:val="22"/>
        </w:rPr>
        <w:t>32</w:t>
      </w:r>
      <w:r>
        <w:rPr>
          <w:rFonts w:cs="宋体" w:hint="eastAsia"/>
          <w:color w:val="000000"/>
          <w:sz w:val="22"/>
          <w:szCs w:val="22"/>
        </w:rPr>
        <w:t>号</w:t>
      </w:r>
      <w:bookmarkEnd w:id="91"/>
    </w:p>
    <w:p w:rsidR="00A32067" w:rsidRDefault="00A32067">
      <w:pPr>
        <w:jc w:val="center"/>
        <w:outlineLvl w:val="0"/>
        <w:rPr>
          <w:b/>
          <w:bCs/>
          <w:sz w:val="44"/>
          <w:szCs w:val="44"/>
        </w:rPr>
      </w:pPr>
    </w:p>
    <w:p w:rsidR="00A32067" w:rsidRDefault="00A32067">
      <w:pPr>
        <w:spacing w:line="360" w:lineRule="auto"/>
        <w:jc w:val="left"/>
        <w:rPr>
          <w:rFonts w:eastAsia="微软雅黑"/>
          <w:spacing w:val="24"/>
          <w:sz w:val="24"/>
          <w:szCs w:val="24"/>
        </w:rPr>
      </w:pPr>
      <w:r>
        <w:rPr>
          <w:rFonts w:eastAsia="微软雅黑" w:cs="微软雅黑" w:hint="eastAsia"/>
          <w:spacing w:val="24"/>
          <w:sz w:val="24"/>
          <w:szCs w:val="24"/>
        </w:rPr>
        <w:t>各乡镇政府、办事处，市政府各部门：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为进一步规范城市基础设施建设，建立健全水价补偿机制，保障水资源税改革试点工作顺利进行，根据省政府《关于建立健全水价调整补偿机制意见》（冀政发〔</w:t>
      </w:r>
      <w:r>
        <w:rPr>
          <w:spacing w:val="24"/>
          <w:sz w:val="22"/>
          <w:szCs w:val="22"/>
        </w:rPr>
        <w:t>2016</w:t>
      </w:r>
      <w:r>
        <w:rPr>
          <w:rFonts w:cs="宋体" w:hint="eastAsia"/>
          <w:spacing w:val="24"/>
          <w:sz w:val="22"/>
          <w:szCs w:val="22"/>
        </w:rPr>
        <w:t>〕</w:t>
      </w:r>
      <w:r>
        <w:rPr>
          <w:spacing w:val="24"/>
          <w:sz w:val="22"/>
          <w:szCs w:val="22"/>
        </w:rPr>
        <w:t>51</w:t>
      </w:r>
      <w:r>
        <w:rPr>
          <w:rFonts w:cs="宋体" w:hint="eastAsia"/>
          <w:spacing w:val="24"/>
          <w:sz w:val="22"/>
          <w:szCs w:val="22"/>
        </w:rPr>
        <w:t>号），经省政府批准，省财政厅批复了定州市城市基础设施配套费收费标准，现就调整我市城市基础设施配套费有关事项通知如下：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一、总体工作要求</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按照全省统一要求，调整我市城市基础设施配套费收费标准，调标后的配套费资金增量部分，在水价调整补偿期内用于引江水价补贴、城镇供水管网改造、新建供水设施，保持水价基本稳定，确保引江水充分利用，保障水资源税改革顺利进行。</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二、配套费征收标准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（一）缴费主体。凡在定州城市规划区和建制镇规划区内，新建、改扩建各类房屋建筑的单位和个人（以下统称建设单位），均应缴纳城市基础设施配套费。</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（二）收费标准。依据省财政厅《关于定州市城市基础设施配套费收费标准的批复》（冀财税</w:t>
      </w:r>
      <w:r>
        <w:rPr>
          <w:spacing w:val="24"/>
          <w:sz w:val="22"/>
          <w:szCs w:val="22"/>
        </w:rPr>
        <w:t>[2017]17</w:t>
      </w:r>
      <w:r>
        <w:rPr>
          <w:rFonts w:cs="宋体" w:hint="eastAsia"/>
          <w:spacing w:val="24"/>
          <w:sz w:val="22"/>
          <w:szCs w:val="22"/>
        </w:rPr>
        <w:t>号）要求，定州城市基础设施配套收费标准调整为：城市规划区内</w:t>
      </w:r>
      <w:r>
        <w:rPr>
          <w:spacing w:val="24"/>
          <w:sz w:val="22"/>
          <w:szCs w:val="22"/>
        </w:rPr>
        <w:t>100</w:t>
      </w:r>
      <w:r>
        <w:rPr>
          <w:rFonts w:cs="宋体" w:hint="eastAsia"/>
          <w:spacing w:val="24"/>
          <w:sz w:val="22"/>
          <w:szCs w:val="22"/>
        </w:rPr>
        <w:t>元</w:t>
      </w:r>
      <w:r>
        <w:rPr>
          <w:spacing w:val="24"/>
          <w:sz w:val="22"/>
          <w:szCs w:val="22"/>
        </w:rPr>
        <w:t>/</w:t>
      </w:r>
      <w:r>
        <w:rPr>
          <w:rFonts w:cs="宋体" w:hint="eastAsia"/>
          <w:spacing w:val="24"/>
          <w:sz w:val="22"/>
          <w:szCs w:val="22"/>
        </w:rPr>
        <w:t>平方米，建制镇规划区内</w:t>
      </w:r>
      <w:r>
        <w:rPr>
          <w:spacing w:val="24"/>
          <w:sz w:val="22"/>
          <w:szCs w:val="22"/>
        </w:rPr>
        <w:t>25</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三、配套费减免项目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（一）以下建设项目免征配套费：</w:t>
      </w:r>
      <w:r>
        <w:rPr>
          <w:rFonts w:ascii="宋体" w:hAnsi="宋体" w:cs="宋体" w:hint="eastAsia"/>
          <w:spacing w:val="24"/>
          <w:sz w:val="22"/>
          <w:szCs w:val="22"/>
        </w:rPr>
        <w:t>①</w:t>
      </w:r>
      <w:r>
        <w:rPr>
          <w:rFonts w:cs="宋体" w:hint="eastAsia"/>
          <w:spacing w:val="24"/>
          <w:sz w:val="22"/>
          <w:szCs w:val="22"/>
        </w:rPr>
        <w:t>托儿所、幼儿园、中小学教学设施；</w:t>
      </w:r>
      <w:r>
        <w:rPr>
          <w:rFonts w:ascii="宋体" w:hAnsi="宋体" w:cs="宋体" w:hint="eastAsia"/>
          <w:spacing w:val="24"/>
          <w:sz w:val="22"/>
          <w:szCs w:val="22"/>
        </w:rPr>
        <w:t>②</w:t>
      </w:r>
      <w:r>
        <w:rPr>
          <w:rFonts w:cs="宋体" w:hint="eastAsia"/>
          <w:spacing w:val="24"/>
          <w:sz w:val="22"/>
          <w:szCs w:val="22"/>
        </w:rPr>
        <w:t>老年公益活动设施、敬老院、社会福利院、慈善救助服务设施和为残疾人服务的公共社会福利设施（残疾人住宅除外）；</w:t>
      </w:r>
      <w:r>
        <w:rPr>
          <w:rFonts w:ascii="宋体" w:hAnsi="宋体" w:cs="宋体" w:hint="eastAsia"/>
          <w:spacing w:val="24"/>
          <w:sz w:val="22"/>
          <w:szCs w:val="22"/>
        </w:rPr>
        <w:t>③</w:t>
      </w:r>
      <w:r>
        <w:rPr>
          <w:rFonts w:cs="宋体" w:hint="eastAsia"/>
          <w:spacing w:val="24"/>
          <w:sz w:val="22"/>
          <w:szCs w:val="22"/>
        </w:rPr>
        <w:t>军事设施及营房建设项目（不包括军队招待所、军队在职人员住宅楼和以军队名义举办的经营性建设工程项目）；</w:t>
      </w:r>
      <w:r>
        <w:rPr>
          <w:rFonts w:ascii="宋体" w:hAnsi="宋体" w:cs="宋体" w:hint="eastAsia"/>
          <w:spacing w:val="24"/>
          <w:sz w:val="22"/>
          <w:szCs w:val="22"/>
        </w:rPr>
        <w:t>④</w:t>
      </w:r>
      <w:r>
        <w:rPr>
          <w:rFonts w:cs="宋体" w:hint="eastAsia"/>
          <w:spacing w:val="24"/>
          <w:sz w:val="22"/>
          <w:szCs w:val="22"/>
        </w:rPr>
        <w:t>廉租住房、经济适用住房、公共租赁住房、棚户区改造安置住宅建设；</w:t>
      </w:r>
      <w:r>
        <w:rPr>
          <w:rFonts w:ascii="宋体" w:hAnsi="宋体" w:cs="宋体" w:hint="eastAsia"/>
          <w:spacing w:val="24"/>
          <w:sz w:val="22"/>
          <w:szCs w:val="22"/>
        </w:rPr>
        <w:t>⑤</w:t>
      </w:r>
      <w:r>
        <w:rPr>
          <w:rFonts w:cs="宋体" w:hint="eastAsia"/>
          <w:spacing w:val="24"/>
          <w:sz w:val="22"/>
          <w:szCs w:val="22"/>
        </w:rPr>
        <w:t>省政府批准的其他免征建设项目。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（二）以下建设项目减征配套费：</w:t>
      </w:r>
      <w:r>
        <w:rPr>
          <w:rFonts w:ascii="宋体" w:hAnsi="宋体" w:cs="宋体" w:hint="eastAsia"/>
          <w:spacing w:val="24"/>
          <w:sz w:val="22"/>
          <w:szCs w:val="22"/>
        </w:rPr>
        <w:t>①</w:t>
      </w:r>
      <w:r>
        <w:rPr>
          <w:rFonts w:cs="宋体" w:hint="eastAsia"/>
          <w:spacing w:val="24"/>
          <w:sz w:val="22"/>
          <w:szCs w:val="22"/>
        </w:rPr>
        <w:t>文化、卫生、科技、体育设施等非营利性项目，减征</w:t>
      </w:r>
      <w:r>
        <w:rPr>
          <w:spacing w:val="24"/>
          <w:sz w:val="22"/>
          <w:szCs w:val="22"/>
        </w:rPr>
        <w:t>30%</w:t>
      </w:r>
      <w:r>
        <w:rPr>
          <w:rFonts w:cs="宋体" w:hint="eastAsia"/>
          <w:spacing w:val="24"/>
          <w:sz w:val="22"/>
          <w:szCs w:val="22"/>
        </w:rPr>
        <w:t>；大学、中专、技校的教学设施减征</w:t>
      </w:r>
      <w:r>
        <w:rPr>
          <w:spacing w:val="24"/>
          <w:sz w:val="22"/>
          <w:szCs w:val="22"/>
        </w:rPr>
        <w:t>30%</w:t>
      </w:r>
      <w:r>
        <w:rPr>
          <w:rFonts w:cs="宋体" w:hint="eastAsia"/>
          <w:spacing w:val="24"/>
          <w:sz w:val="22"/>
          <w:szCs w:val="22"/>
        </w:rPr>
        <w:t>；</w:t>
      </w:r>
      <w:r>
        <w:rPr>
          <w:rFonts w:ascii="宋体" w:hAnsi="宋体" w:cs="宋体" w:hint="eastAsia"/>
          <w:spacing w:val="24"/>
          <w:sz w:val="22"/>
          <w:szCs w:val="22"/>
        </w:rPr>
        <w:t>②</w:t>
      </w:r>
      <w:r>
        <w:rPr>
          <w:rFonts w:cs="宋体" w:hint="eastAsia"/>
          <w:spacing w:val="24"/>
          <w:sz w:val="22"/>
          <w:szCs w:val="22"/>
        </w:rPr>
        <w:t>高等学校的科研和技术开发设施建设项目，减征</w:t>
      </w:r>
      <w:r>
        <w:rPr>
          <w:spacing w:val="24"/>
          <w:sz w:val="22"/>
          <w:szCs w:val="22"/>
        </w:rPr>
        <w:t>50%</w:t>
      </w:r>
      <w:r>
        <w:rPr>
          <w:rFonts w:cs="宋体" w:hint="eastAsia"/>
          <w:spacing w:val="24"/>
          <w:sz w:val="22"/>
          <w:szCs w:val="22"/>
        </w:rPr>
        <w:t>；</w:t>
      </w:r>
      <w:r>
        <w:rPr>
          <w:rFonts w:ascii="宋体" w:hAnsi="宋体" w:cs="宋体" w:hint="eastAsia"/>
          <w:spacing w:val="24"/>
          <w:sz w:val="22"/>
          <w:szCs w:val="22"/>
        </w:rPr>
        <w:t>③</w:t>
      </w:r>
      <w:r>
        <w:rPr>
          <w:rFonts w:cs="宋体" w:hint="eastAsia"/>
          <w:spacing w:val="24"/>
          <w:sz w:val="22"/>
          <w:szCs w:val="22"/>
        </w:rPr>
        <w:t>党政机关、财政拨款的事业单位以及公检法机关办公业务用房，减征</w:t>
      </w:r>
      <w:r>
        <w:rPr>
          <w:spacing w:val="24"/>
          <w:sz w:val="22"/>
          <w:szCs w:val="22"/>
        </w:rPr>
        <w:t>50%</w:t>
      </w:r>
      <w:r>
        <w:rPr>
          <w:rFonts w:cs="宋体" w:hint="eastAsia"/>
          <w:spacing w:val="24"/>
          <w:sz w:val="22"/>
          <w:szCs w:val="22"/>
        </w:rPr>
        <w:t>；</w:t>
      </w:r>
      <w:r>
        <w:rPr>
          <w:rFonts w:ascii="宋体" w:hAnsi="宋体" w:cs="宋体" w:hint="eastAsia"/>
          <w:spacing w:val="24"/>
          <w:sz w:val="22"/>
          <w:szCs w:val="22"/>
        </w:rPr>
        <w:t>④</w:t>
      </w:r>
      <w:r>
        <w:rPr>
          <w:rFonts w:cs="宋体" w:hint="eastAsia"/>
          <w:spacing w:val="24"/>
          <w:sz w:val="22"/>
          <w:szCs w:val="22"/>
        </w:rPr>
        <w:t>小微企业建设项目减征</w:t>
      </w:r>
      <w:r>
        <w:rPr>
          <w:spacing w:val="24"/>
          <w:sz w:val="22"/>
          <w:szCs w:val="22"/>
        </w:rPr>
        <w:t>50%</w:t>
      </w:r>
      <w:r>
        <w:rPr>
          <w:rFonts w:cs="宋体" w:hint="eastAsia"/>
          <w:spacing w:val="24"/>
          <w:sz w:val="22"/>
          <w:szCs w:val="22"/>
        </w:rPr>
        <w:t>；</w:t>
      </w:r>
      <w:r>
        <w:rPr>
          <w:rFonts w:ascii="宋体" w:hAnsi="宋体" w:cs="宋体" w:hint="eastAsia"/>
          <w:spacing w:val="24"/>
          <w:sz w:val="22"/>
          <w:szCs w:val="22"/>
        </w:rPr>
        <w:t>⑤</w:t>
      </w:r>
      <w:r>
        <w:rPr>
          <w:rFonts w:cs="宋体" w:hint="eastAsia"/>
          <w:spacing w:val="24"/>
          <w:sz w:val="22"/>
          <w:szCs w:val="22"/>
        </w:rPr>
        <w:t>省政府批准的其他减免建设项目。</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（三）免缴配套费的建设项目，其使用性质（功能）发生改变的，应及时补交配套费。</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四、配套费征收使用管理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（一）规范配套费征收管理。建设单位按照市规划局核发的《建设工程规划许可证》标注的建筑面积缴纳配套费。市住建局为配套费执收单位，使用财政票据，严格按照</w:t>
      </w:r>
      <w:r>
        <w:rPr>
          <w:spacing w:val="24"/>
          <w:sz w:val="22"/>
          <w:szCs w:val="22"/>
        </w:rPr>
        <w:t>“</w:t>
      </w:r>
      <w:r>
        <w:rPr>
          <w:rFonts w:cs="宋体" w:hint="eastAsia"/>
          <w:spacing w:val="24"/>
          <w:sz w:val="22"/>
          <w:szCs w:val="22"/>
        </w:rPr>
        <w:t>收支两条线</w:t>
      </w:r>
      <w:r>
        <w:rPr>
          <w:spacing w:val="24"/>
          <w:sz w:val="22"/>
          <w:szCs w:val="22"/>
        </w:rPr>
        <w:t>”</w:t>
      </w:r>
      <w:r>
        <w:rPr>
          <w:rFonts w:cs="宋体" w:hint="eastAsia"/>
          <w:spacing w:val="24"/>
          <w:sz w:val="22"/>
          <w:szCs w:val="22"/>
        </w:rPr>
        <w:t>管理，通过非税收入管理系统将收入全额缴入地方国库，纳入地方政府基金预算，确保应收尽收。市住建局凭建设单位缴费票据，办理《建筑工程施工许可证》。</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（二）严格配套费减免缓审批。任何单位和个人一律不得擅自减免、缓征、停征或取消配套费。确需减免、缓征、停征配套费或调整配套费征收标准的，须经省财政厅审核、省政府批准。</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（三）对擅自减免或改变配套费征收范围、对象和标准，以及违反规定擅自改变配套费及增量部分使用范围的，要依据有关规定追究法律责任，涉嫌犯罪的依法移送司法机关处理。</w:t>
      </w:r>
    </w:p>
    <w:p w:rsidR="00A32067" w:rsidRDefault="00A32067" w:rsidP="005431C7">
      <w:pPr>
        <w:spacing w:line="360" w:lineRule="auto"/>
        <w:ind w:firstLineChars="200" w:firstLine="31680"/>
        <w:rPr>
          <w:rFonts w:eastAsia="微软雅黑"/>
          <w:spacing w:val="24"/>
          <w:sz w:val="24"/>
          <w:szCs w:val="24"/>
        </w:rPr>
      </w:pPr>
      <w:r>
        <w:rPr>
          <w:rFonts w:cs="宋体" w:hint="eastAsia"/>
          <w:spacing w:val="24"/>
          <w:sz w:val="22"/>
          <w:szCs w:val="22"/>
        </w:rPr>
        <w:t>五、配套费标准调整的执行时间为</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5431C7">
      <w:pPr>
        <w:pStyle w:val="ListParagraph"/>
        <w:spacing w:line="360" w:lineRule="auto"/>
        <w:ind w:firstLine="31680"/>
        <w:rPr>
          <w:spacing w:val="24"/>
          <w:sz w:val="24"/>
          <w:szCs w:val="24"/>
        </w:rPr>
      </w:pPr>
    </w:p>
    <w:p w:rsidR="00A32067" w:rsidRDefault="00A32067">
      <w:pPr>
        <w:jc w:val="center"/>
        <w:outlineLvl w:val="0"/>
        <w:rPr>
          <w:b/>
          <w:bCs/>
          <w:color w:val="000000"/>
          <w:spacing w:val="20"/>
          <w:sz w:val="44"/>
          <w:szCs w:val="44"/>
          <w:lang w:val="zh-TW"/>
        </w:rPr>
      </w:pPr>
    </w:p>
    <w:p w:rsidR="00A32067" w:rsidRDefault="00A32067">
      <w:pPr>
        <w:spacing w:line="220" w:lineRule="atLeast"/>
        <w:rPr>
          <w:b/>
          <w:bCs/>
          <w:sz w:val="30"/>
          <w:szCs w:val="30"/>
        </w:rPr>
      </w:pPr>
      <w:r>
        <w:rPr>
          <w:b/>
          <w:bCs/>
          <w:sz w:val="30"/>
          <w:szCs w:val="30"/>
        </w:rPr>
        <w:br w:type="page"/>
      </w:r>
    </w:p>
    <w:p w:rsidR="00A32067" w:rsidRDefault="00A32067">
      <w:pPr>
        <w:jc w:val="center"/>
        <w:outlineLvl w:val="0"/>
      </w:pPr>
    </w:p>
    <w:p w:rsidR="00A32067" w:rsidRDefault="00A32067">
      <w:pPr>
        <w:jc w:val="center"/>
        <w:outlineLvl w:val="0"/>
        <w:rPr>
          <w:sz w:val="44"/>
          <w:szCs w:val="44"/>
        </w:rPr>
      </w:pPr>
    </w:p>
    <w:p w:rsidR="00A32067" w:rsidRDefault="00A32067" w:rsidP="005431C7">
      <w:pPr>
        <w:spacing w:line="360" w:lineRule="auto"/>
        <w:ind w:firstLineChars="200" w:firstLine="31680"/>
        <w:jc w:val="center"/>
        <w:outlineLvl w:val="2"/>
        <w:rPr>
          <w:b/>
          <w:bCs/>
          <w:sz w:val="44"/>
          <w:szCs w:val="44"/>
        </w:rPr>
      </w:pPr>
      <w:bookmarkStart w:id="92" w:name="_Toc519872320"/>
      <w:r>
        <w:rPr>
          <w:rFonts w:cs="宋体" w:hint="eastAsia"/>
          <w:b/>
          <w:bCs/>
          <w:sz w:val="44"/>
          <w:szCs w:val="44"/>
        </w:rPr>
        <w:t>辛集市人民政府关于调整城建基础设施</w:t>
      </w:r>
      <w:r>
        <w:rPr>
          <w:b/>
          <w:bCs/>
          <w:sz w:val="44"/>
          <w:szCs w:val="44"/>
        </w:rPr>
        <w:br/>
      </w:r>
      <w:r>
        <w:rPr>
          <w:rFonts w:cs="宋体" w:hint="eastAsia"/>
          <w:b/>
          <w:bCs/>
          <w:sz w:val="44"/>
          <w:szCs w:val="44"/>
        </w:rPr>
        <w:t>配套费收费标准的通知</w:t>
      </w:r>
      <w:r>
        <w:rPr>
          <w:b/>
          <w:bCs/>
          <w:sz w:val="44"/>
          <w:szCs w:val="44"/>
        </w:rPr>
        <w:br/>
      </w:r>
      <w:r>
        <w:rPr>
          <w:rFonts w:cs="宋体" w:hint="eastAsia"/>
          <w:sz w:val="22"/>
          <w:szCs w:val="22"/>
        </w:rPr>
        <w:t>辛政字〔</w:t>
      </w:r>
      <w:r>
        <w:rPr>
          <w:sz w:val="22"/>
          <w:szCs w:val="22"/>
        </w:rPr>
        <w:t>2017</w:t>
      </w:r>
      <w:r>
        <w:rPr>
          <w:rFonts w:cs="宋体" w:hint="eastAsia"/>
          <w:sz w:val="22"/>
          <w:szCs w:val="22"/>
        </w:rPr>
        <w:t>〕</w:t>
      </w:r>
      <w:r>
        <w:rPr>
          <w:sz w:val="22"/>
          <w:szCs w:val="22"/>
        </w:rPr>
        <w:t>4</w:t>
      </w:r>
      <w:r>
        <w:rPr>
          <w:rFonts w:cs="宋体" w:hint="eastAsia"/>
          <w:sz w:val="22"/>
          <w:szCs w:val="22"/>
        </w:rPr>
        <w:t>号</w:t>
      </w:r>
      <w:bookmarkEnd w:id="92"/>
    </w:p>
    <w:p w:rsidR="00A32067" w:rsidRDefault="00A32067">
      <w:pPr>
        <w:jc w:val="center"/>
        <w:outlineLvl w:val="0"/>
      </w:pPr>
    </w:p>
    <w:p w:rsidR="00A32067" w:rsidRDefault="00A32067">
      <w:pPr>
        <w:jc w:val="center"/>
        <w:outlineLvl w:val="0"/>
      </w:pPr>
    </w:p>
    <w:p w:rsidR="00A32067" w:rsidRDefault="00A32067">
      <w:pPr>
        <w:spacing w:line="360" w:lineRule="auto"/>
        <w:jc w:val="left"/>
        <w:rPr>
          <w:spacing w:val="24"/>
          <w:sz w:val="22"/>
          <w:szCs w:val="22"/>
        </w:rPr>
      </w:pPr>
      <w:r>
        <w:rPr>
          <w:rFonts w:cs="宋体" w:hint="eastAsia"/>
          <w:spacing w:val="24"/>
          <w:sz w:val="22"/>
          <w:szCs w:val="22"/>
        </w:rPr>
        <w:t>各乡、镇人民政府，市政府各部门：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根据《河北省财政厅关于辛集市城市基础设施配套费收费标准的批复》（冀财税〔</w:t>
      </w:r>
      <w:r>
        <w:rPr>
          <w:spacing w:val="24"/>
          <w:sz w:val="22"/>
          <w:szCs w:val="22"/>
        </w:rPr>
        <w:t>2017</w:t>
      </w:r>
      <w:r>
        <w:rPr>
          <w:rFonts w:cs="宋体" w:hint="eastAsia"/>
          <w:spacing w:val="24"/>
          <w:sz w:val="22"/>
          <w:szCs w:val="22"/>
        </w:rPr>
        <w:t>〕</w:t>
      </w:r>
      <w:r>
        <w:rPr>
          <w:spacing w:val="24"/>
          <w:sz w:val="22"/>
          <w:szCs w:val="22"/>
        </w:rPr>
        <w:t>14</w:t>
      </w:r>
      <w:r>
        <w:rPr>
          <w:rFonts w:cs="宋体" w:hint="eastAsia"/>
          <w:spacing w:val="24"/>
          <w:sz w:val="22"/>
          <w:szCs w:val="22"/>
        </w:rPr>
        <w:t>号），现将我市调整城建基础设施配套费收费标准情况通知如下，请认真遵照执行。</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一、凡在市规划区、建制镇，进行新建、扩建各类房屋建筑的单位和个人，均应缴纳配套费。</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二、具体调整情况为：</w:t>
      </w:r>
    </w:p>
    <w:p w:rsidR="00A32067" w:rsidRDefault="00A32067" w:rsidP="005431C7">
      <w:pPr>
        <w:spacing w:line="360" w:lineRule="auto"/>
        <w:ind w:firstLineChars="200" w:firstLine="31680"/>
        <w:rPr>
          <w:spacing w:val="24"/>
          <w:sz w:val="22"/>
          <w:szCs w:val="22"/>
        </w:rPr>
      </w:pPr>
      <w:r>
        <w:rPr>
          <w:spacing w:val="24"/>
          <w:sz w:val="22"/>
          <w:szCs w:val="22"/>
        </w:rPr>
        <w:t>1</w:t>
      </w:r>
      <w:r>
        <w:rPr>
          <w:rFonts w:cs="宋体" w:hint="eastAsia"/>
          <w:spacing w:val="24"/>
          <w:sz w:val="22"/>
          <w:szCs w:val="22"/>
        </w:rPr>
        <w:t>、住宅建设项目，按建设项目的新建面积或扩建面积每平方米收费标准调整为</w:t>
      </w:r>
      <w:r>
        <w:rPr>
          <w:spacing w:val="24"/>
          <w:sz w:val="22"/>
          <w:szCs w:val="22"/>
        </w:rPr>
        <w:t>100</w:t>
      </w:r>
      <w:r>
        <w:rPr>
          <w:rFonts w:cs="宋体" w:hint="eastAsia"/>
          <w:spacing w:val="24"/>
          <w:sz w:val="22"/>
          <w:szCs w:val="22"/>
        </w:rPr>
        <w:t>元。</w:t>
      </w:r>
    </w:p>
    <w:p w:rsidR="00A32067" w:rsidRDefault="00A32067" w:rsidP="005431C7">
      <w:pPr>
        <w:spacing w:line="360" w:lineRule="auto"/>
        <w:ind w:firstLineChars="200" w:firstLine="31680"/>
        <w:rPr>
          <w:spacing w:val="24"/>
          <w:sz w:val="22"/>
          <w:szCs w:val="22"/>
        </w:rPr>
      </w:pPr>
      <w:r>
        <w:rPr>
          <w:spacing w:val="24"/>
          <w:sz w:val="22"/>
          <w:szCs w:val="22"/>
        </w:rPr>
        <w:t>2</w:t>
      </w:r>
      <w:r>
        <w:rPr>
          <w:rFonts w:cs="宋体" w:hint="eastAsia"/>
          <w:spacing w:val="24"/>
          <w:sz w:val="22"/>
          <w:szCs w:val="22"/>
        </w:rPr>
        <w:t>、非住宅建设项目，按建设项目的新建面积或扩建面积每平方米收费标准调整为</w:t>
      </w:r>
      <w:r>
        <w:rPr>
          <w:spacing w:val="24"/>
          <w:sz w:val="22"/>
          <w:szCs w:val="22"/>
        </w:rPr>
        <w:t>80</w:t>
      </w:r>
      <w:r>
        <w:rPr>
          <w:rFonts w:cs="宋体" w:hint="eastAsia"/>
          <w:spacing w:val="24"/>
          <w:sz w:val="22"/>
          <w:szCs w:val="22"/>
        </w:rPr>
        <w:t>元。</w:t>
      </w:r>
    </w:p>
    <w:p w:rsidR="00A32067" w:rsidRDefault="00A32067" w:rsidP="005431C7">
      <w:pPr>
        <w:spacing w:line="360" w:lineRule="auto"/>
        <w:ind w:firstLineChars="200" w:firstLine="31680"/>
        <w:rPr>
          <w:spacing w:val="24"/>
          <w:sz w:val="22"/>
          <w:szCs w:val="22"/>
        </w:rPr>
      </w:pPr>
      <w:r>
        <w:rPr>
          <w:spacing w:val="24"/>
          <w:sz w:val="22"/>
          <w:szCs w:val="22"/>
        </w:rPr>
        <w:t>3</w:t>
      </w:r>
      <w:r>
        <w:rPr>
          <w:rFonts w:cs="宋体" w:hint="eastAsia"/>
          <w:spacing w:val="24"/>
          <w:sz w:val="22"/>
          <w:szCs w:val="22"/>
        </w:rPr>
        <w:t>、涉及减免的项目按照我省相关规定执行。</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三、自</w:t>
      </w:r>
      <w:r>
        <w:rPr>
          <w:spacing w:val="24"/>
          <w:sz w:val="22"/>
          <w:szCs w:val="22"/>
        </w:rPr>
        <w:t>2017</w:t>
      </w:r>
      <w:r>
        <w:rPr>
          <w:rFonts w:cs="宋体" w:hint="eastAsia"/>
          <w:spacing w:val="24"/>
          <w:sz w:val="22"/>
          <w:szCs w:val="22"/>
        </w:rPr>
        <w:t>年</w:t>
      </w:r>
      <w:r>
        <w:rPr>
          <w:spacing w:val="24"/>
          <w:sz w:val="22"/>
          <w:szCs w:val="22"/>
        </w:rPr>
        <w:t>4</w:t>
      </w:r>
      <w:r>
        <w:rPr>
          <w:rFonts w:cs="宋体" w:hint="eastAsia"/>
          <w:spacing w:val="24"/>
          <w:sz w:val="22"/>
          <w:szCs w:val="22"/>
        </w:rPr>
        <w:t>月</w:t>
      </w:r>
      <w:r>
        <w:rPr>
          <w:spacing w:val="24"/>
          <w:sz w:val="22"/>
          <w:szCs w:val="22"/>
        </w:rPr>
        <w:t>1</w:t>
      </w:r>
      <w:r>
        <w:rPr>
          <w:rFonts w:cs="宋体" w:hint="eastAsia"/>
          <w:spacing w:val="24"/>
          <w:sz w:val="22"/>
          <w:szCs w:val="22"/>
        </w:rPr>
        <w:t>日起，一律按调整后的城建基础设施配套费收费标准执行。</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jc w:val="right"/>
        <w:rPr>
          <w:spacing w:val="24"/>
          <w:sz w:val="22"/>
          <w:szCs w:val="22"/>
        </w:rPr>
      </w:pPr>
      <w:r>
        <w:rPr>
          <w:rFonts w:cs="宋体" w:hint="eastAsia"/>
          <w:spacing w:val="24"/>
          <w:sz w:val="22"/>
          <w:szCs w:val="22"/>
        </w:rPr>
        <w:t>辛集市人民政府</w:t>
      </w:r>
    </w:p>
    <w:p w:rsidR="00A32067" w:rsidRDefault="00A32067" w:rsidP="005431C7">
      <w:pPr>
        <w:spacing w:line="360" w:lineRule="auto"/>
        <w:ind w:firstLineChars="200" w:firstLine="31680"/>
        <w:jc w:val="right"/>
        <w:rPr>
          <w:spacing w:val="24"/>
          <w:sz w:val="22"/>
          <w:szCs w:val="22"/>
        </w:rPr>
      </w:pPr>
      <w:r>
        <w:rPr>
          <w:spacing w:val="24"/>
          <w:sz w:val="22"/>
          <w:szCs w:val="22"/>
        </w:rPr>
        <w:t>2017</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28</w:t>
      </w:r>
      <w:r>
        <w:rPr>
          <w:rFonts w:cs="宋体" w:hint="eastAsia"/>
          <w:spacing w:val="24"/>
          <w:sz w:val="22"/>
          <w:szCs w:val="22"/>
        </w:rPr>
        <w:t>日</w:t>
      </w: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jc w:val="center"/>
        <w:outlineLvl w:val="0"/>
      </w:pPr>
    </w:p>
    <w:p w:rsidR="00A32067" w:rsidRDefault="00A32067">
      <w:pPr>
        <w:spacing w:line="360" w:lineRule="auto"/>
        <w:jc w:val="center"/>
        <w:outlineLvl w:val="2"/>
        <w:rPr>
          <w:b/>
          <w:bCs/>
          <w:sz w:val="44"/>
          <w:szCs w:val="44"/>
        </w:rPr>
      </w:pPr>
      <w:bookmarkStart w:id="93" w:name="_Toc519872321"/>
      <w:r>
        <w:rPr>
          <w:rFonts w:cs="宋体" w:hint="eastAsia"/>
          <w:b/>
          <w:bCs/>
          <w:sz w:val="44"/>
          <w:szCs w:val="44"/>
        </w:rPr>
        <w:t>河北省人民防空办公室转发省物价局、</w:t>
      </w:r>
      <w:r>
        <w:rPr>
          <w:b/>
          <w:bCs/>
          <w:sz w:val="44"/>
          <w:szCs w:val="44"/>
        </w:rPr>
        <w:br/>
      </w:r>
      <w:r>
        <w:rPr>
          <w:rFonts w:cs="宋体" w:hint="eastAsia"/>
          <w:b/>
          <w:bCs/>
          <w:sz w:val="44"/>
          <w:szCs w:val="44"/>
        </w:rPr>
        <w:t>省财政厅《关于降低我省防空地下室</w:t>
      </w:r>
      <w:r>
        <w:rPr>
          <w:b/>
          <w:bCs/>
          <w:sz w:val="44"/>
          <w:szCs w:val="44"/>
        </w:rPr>
        <w:br/>
      </w:r>
      <w:r>
        <w:rPr>
          <w:rFonts w:cs="宋体" w:hint="eastAsia"/>
          <w:b/>
          <w:bCs/>
          <w:sz w:val="44"/>
          <w:szCs w:val="44"/>
        </w:rPr>
        <w:t>易地建设费收费标准的通知》的通知</w:t>
      </w:r>
      <w:r>
        <w:rPr>
          <w:b/>
          <w:bCs/>
          <w:sz w:val="44"/>
          <w:szCs w:val="44"/>
        </w:rPr>
        <w:br/>
      </w:r>
      <w:r>
        <w:rPr>
          <w:rFonts w:cs="宋体" w:hint="eastAsia"/>
          <w:color w:val="000000"/>
          <w:sz w:val="22"/>
          <w:szCs w:val="22"/>
        </w:rPr>
        <w:t>（冀人防办</w:t>
      </w:r>
      <w:r>
        <w:rPr>
          <w:color w:val="000000"/>
          <w:sz w:val="22"/>
          <w:szCs w:val="22"/>
        </w:rPr>
        <w:t>[2018]1</w:t>
      </w:r>
      <w:r>
        <w:rPr>
          <w:rFonts w:cs="宋体" w:hint="eastAsia"/>
          <w:color w:val="000000"/>
          <w:sz w:val="22"/>
          <w:szCs w:val="22"/>
        </w:rPr>
        <w:t>号）</w:t>
      </w:r>
      <w:bookmarkEnd w:id="93"/>
    </w:p>
    <w:p w:rsidR="00A32067" w:rsidRDefault="00A32067">
      <w:pPr>
        <w:jc w:val="center"/>
        <w:outlineLvl w:val="2"/>
        <w:rPr>
          <w:color w:val="000000"/>
          <w:sz w:val="22"/>
          <w:szCs w:val="22"/>
        </w:rPr>
      </w:pPr>
    </w:p>
    <w:p w:rsidR="00A32067" w:rsidRDefault="00A32067">
      <w:pPr>
        <w:spacing w:line="360" w:lineRule="auto"/>
        <w:jc w:val="left"/>
        <w:rPr>
          <w:rFonts w:eastAsia="微软雅黑"/>
          <w:spacing w:val="24"/>
          <w:sz w:val="24"/>
          <w:szCs w:val="24"/>
        </w:rPr>
      </w:pPr>
      <w:r>
        <w:rPr>
          <w:rFonts w:eastAsia="微软雅黑" w:cs="微软雅黑" w:hint="eastAsia"/>
          <w:spacing w:val="24"/>
          <w:sz w:val="24"/>
          <w:szCs w:val="24"/>
        </w:rPr>
        <w:t>各市（含定州、辛集市）人民防空办公室：</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现将省物价局、省财政厅《关于降低我省防空地下室易地建设费收费标准的通知》（冀价行费〔</w:t>
      </w:r>
      <w:r>
        <w:rPr>
          <w:spacing w:val="24"/>
          <w:sz w:val="22"/>
          <w:szCs w:val="22"/>
        </w:rPr>
        <w:t>2017</w:t>
      </w:r>
      <w:r>
        <w:rPr>
          <w:rFonts w:cs="宋体" w:hint="eastAsia"/>
          <w:spacing w:val="24"/>
          <w:sz w:val="22"/>
          <w:szCs w:val="22"/>
        </w:rPr>
        <w:t>〕</w:t>
      </w:r>
      <w:r>
        <w:rPr>
          <w:spacing w:val="24"/>
          <w:sz w:val="22"/>
          <w:szCs w:val="22"/>
        </w:rPr>
        <w:t>203</w:t>
      </w:r>
      <w:r>
        <w:rPr>
          <w:rFonts w:cs="宋体" w:hint="eastAsia"/>
          <w:spacing w:val="24"/>
          <w:sz w:val="22"/>
          <w:szCs w:val="22"/>
        </w:rPr>
        <w:t>号）。转发你们，请严格遵照执行。</w:t>
      </w:r>
    </w:p>
    <w:p w:rsidR="00A32067" w:rsidRDefault="00A32067" w:rsidP="005431C7">
      <w:pPr>
        <w:spacing w:line="360" w:lineRule="auto"/>
        <w:ind w:firstLineChars="200" w:firstLine="31680"/>
        <w:rPr>
          <w:rFonts w:eastAsia="微软雅黑"/>
          <w:spacing w:val="24"/>
          <w:sz w:val="24"/>
          <w:szCs w:val="24"/>
        </w:rPr>
      </w:pPr>
    </w:p>
    <w:p w:rsidR="00A32067" w:rsidRDefault="00A32067">
      <w:pPr>
        <w:spacing w:line="360" w:lineRule="auto"/>
        <w:jc w:val="right"/>
        <w:rPr>
          <w:rFonts w:eastAsia="微软雅黑"/>
          <w:spacing w:val="24"/>
          <w:sz w:val="24"/>
          <w:szCs w:val="24"/>
        </w:rPr>
      </w:pPr>
    </w:p>
    <w:p w:rsidR="00A32067" w:rsidRDefault="00A32067">
      <w:pPr>
        <w:spacing w:line="360" w:lineRule="auto"/>
        <w:jc w:val="right"/>
        <w:rPr>
          <w:rFonts w:eastAsia="微软雅黑"/>
          <w:spacing w:val="24"/>
          <w:sz w:val="24"/>
          <w:szCs w:val="24"/>
        </w:rPr>
      </w:pPr>
    </w:p>
    <w:p w:rsidR="00A32067" w:rsidRDefault="00A32067">
      <w:pPr>
        <w:spacing w:line="360" w:lineRule="auto"/>
        <w:jc w:val="right"/>
        <w:rPr>
          <w:spacing w:val="24"/>
          <w:sz w:val="24"/>
          <w:szCs w:val="24"/>
        </w:rPr>
      </w:pPr>
      <w:r>
        <w:rPr>
          <w:rFonts w:cs="宋体" w:hint="eastAsia"/>
          <w:spacing w:val="24"/>
          <w:sz w:val="24"/>
          <w:szCs w:val="24"/>
        </w:rPr>
        <w:t>河北省人民防空办公室</w:t>
      </w:r>
    </w:p>
    <w:p w:rsidR="00A32067" w:rsidRDefault="00A32067">
      <w:pPr>
        <w:spacing w:line="360" w:lineRule="auto"/>
        <w:ind w:right="288"/>
        <w:jc w:val="right"/>
        <w:rPr>
          <w:spacing w:val="24"/>
          <w:sz w:val="24"/>
          <w:szCs w:val="24"/>
        </w:rPr>
      </w:pPr>
      <w:r>
        <w:rPr>
          <w:spacing w:val="24"/>
          <w:sz w:val="24"/>
          <w:szCs w:val="24"/>
        </w:rPr>
        <w:t>2018</w:t>
      </w:r>
      <w:r>
        <w:rPr>
          <w:rFonts w:cs="宋体" w:hint="eastAsia"/>
          <w:spacing w:val="24"/>
          <w:sz w:val="24"/>
          <w:szCs w:val="24"/>
        </w:rPr>
        <w:t>年</w:t>
      </w:r>
      <w:r>
        <w:rPr>
          <w:spacing w:val="24"/>
          <w:sz w:val="24"/>
          <w:szCs w:val="24"/>
        </w:rPr>
        <w:t>1</w:t>
      </w:r>
      <w:r>
        <w:rPr>
          <w:rFonts w:cs="宋体" w:hint="eastAsia"/>
          <w:spacing w:val="24"/>
          <w:sz w:val="24"/>
          <w:szCs w:val="24"/>
        </w:rPr>
        <w:t>月</w:t>
      </w:r>
      <w:r>
        <w:rPr>
          <w:spacing w:val="24"/>
          <w:sz w:val="24"/>
          <w:szCs w:val="24"/>
        </w:rPr>
        <w:t>9</w:t>
      </w:r>
      <w:r>
        <w:rPr>
          <w:rFonts w:cs="宋体" w:hint="eastAsia"/>
          <w:spacing w:val="24"/>
          <w:sz w:val="24"/>
          <w:szCs w:val="24"/>
        </w:rPr>
        <w:t>日</w:t>
      </w: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pStyle w:val="p0"/>
        <w:spacing w:before="0" w:beforeAutospacing="0" w:after="0" w:afterAutospacing="0" w:line="432" w:lineRule="auto"/>
        <w:ind w:firstLine="640"/>
        <w:jc w:val="both"/>
        <w:rPr>
          <w:rFonts w:ascii="Times New Roman" w:hAnsi="Times New Roman" w:cs="Times New Roman"/>
          <w:color w:val="2D2D2D"/>
        </w:rPr>
      </w:pPr>
    </w:p>
    <w:p w:rsidR="00A32067" w:rsidRDefault="00A32067">
      <w:pPr>
        <w:spacing w:line="220" w:lineRule="atLeast"/>
        <w:rPr>
          <w:b/>
          <w:bCs/>
          <w:color w:val="2D2D2D"/>
          <w:sz w:val="36"/>
          <w:szCs w:val="36"/>
        </w:rPr>
      </w:pPr>
    </w:p>
    <w:p w:rsidR="00A32067" w:rsidRDefault="00A32067">
      <w:pPr>
        <w:spacing w:line="360" w:lineRule="auto"/>
        <w:ind w:firstLine="482"/>
        <w:jc w:val="center"/>
        <w:outlineLvl w:val="2"/>
        <w:rPr>
          <w:spacing w:val="24"/>
          <w:sz w:val="44"/>
          <w:szCs w:val="44"/>
        </w:rPr>
        <w:sectPr w:rsidR="00A32067">
          <w:pgSz w:w="11907" w:h="16840"/>
          <w:pgMar w:top="1134" w:right="1077" w:bottom="1134" w:left="1077" w:header="794" w:footer="567" w:gutter="284"/>
          <w:cols w:space="720"/>
          <w:docGrid w:linePitch="312"/>
        </w:sectPr>
      </w:pPr>
      <w:bookmarkStart w:id="94" w:name="_Toc519872322"/>
    </w:p>
    <w:p w:rsidR="00A32067" w:rsidRDefault="00A32067">
      <w:pPr>
        <w:spacing w:line="360" w:lineRule="auto"/>
        <w:ind w:firstLine="482"/>
        <w:jc w:val="center"/>
        <w:outlineLvl w:val="2"/>
        <w:rPr>
          <w:color w:val="000000"/>
          <w:sz w:val="22"/>
          <w:szCs w:val="22"/>
        </w:rPr>
      </w:pPr>
      <w:r>
        <w:rPr>
          <w:rFonts w:cs="宋体" w:hint="eastAsia"/>
          <w:spacing w:val="24"/>
          <w:sz w:val="44"/>
          <w:szCs w:val="44"/>
        </w:rPr>
        <w:t>关于降低我省防空地下室易地建设费</w:t>
      </w:r>
      <w:r>
        <w:rPr>
          <w:spacing w:val="24"/>
          <w:sz w:val="44"/>
          <w:szCs w:val="44"/>
        </w:rPr>
        <w:br/>
      </w:r>
      <w:r>
        <w:rPr>
          <w:rFonts w:cs="宋体" w:hint="eastAsia"/>
          <w:spacing w:val="24"/>
          <w:sz w:val="44"/>
          <w:szCs w:val="44"/>
        </w:rPr>
        <w:t>收费标准的通知</w:t>
      </w:r>
      <w:r>
        <w:rPr>
          <w:spacing w:val="24"/>
          <w:sz w:val="44"/>
          <w:szCs w:val="44"/>
        </w:rPr>
        <w:br/>
      </w:r>
      <w:r>
        <w:rPr>
          <w:rFonts w:cs="宋体" w:hint="eastAsia"/>
          <w:color w:val="000000"/>
          <w:sz w:val="22"/>
          <w:szCs w:val="22"/>
        </w:rPr>
        <w:t>冀价行费〔</w:t>
      </w:r>
      <w:r>
        <w:rPr>
          <w:color w:val="000000"/>
          <w:sz w:val="22"/>
          <w:szCs w:val="22"/>
        </w:rPr>
        <w:t>2017</w:t>
      </w:r>
      <w:r>
        <w:rPr>
          <w:rFonts w:cs="宋体" w:hint="eastAsia"/>
          <w:color w:val="000000"/>
          <w:sz w:val="22"/>
          <w:szCs w:val="22"/>
        </w:rPr>
        <w:t>〕</w:t>
      </w:r>
      <w:r>
        <w:rPr>
          <w:color w:val="000000"/>
          <w:sz w:val="22"/>
          <w:szCs w:val="22"/>
        </w:rPr>
        <w:t>203</w:t>
      </w:r>
      <w:r>
        <w:rPr>
          <w:rFonts w:cs="宋体" w:hint="eastAsia"/>
          <w:color w:val="000000"/>
          <w:sz w:val="22"/>
          <w:szCs w:val="22"/>
        </w:rPr>
        <w:t>号</w:t>
      </w:r>
      <w:bookmarkEnd w:id="94"/>
    </w:p>
    <w:p w:rsidR="00A32067" w:rsidRDefault="00A32067">
      <w:pPr>
        <w:spacing w:line="360" w:lineRule="auto"/>
        <w:rPr>
          <w:spacing w:val="24"/>
          <w:sz w:val="22"/>
          <w:szCs w:val="22"/>
        </w:rPr>
      </w:pPr>
      <w:r>
        <w:rPr>
          <w:rFonts w:cs="宋体" w:hint="eastAsia"/>
          <w:spacing w:val="24"/>
          <w:sz w:val="22"/>
          <w:szCs w:val="22"/>
        </w:rPr>
        <w:t>河北省人民防空办公室</w:t>
      </w:r>
      <w:r>
        <w:rPr>
          <w:spacing w:val="24"/>
          <w:sz w:val="22"/>
          <w:szCs w:val="22"/>
        </w:rPr>
        <w:t>,</w:t>
      </w:r>
      <w:r>
        <w:rPr>
          <w:rFonts w:cs="宋体" w:hint="eastAsia"/>
          <w:spacing w:val="24"/>
          <w:sz w:val="22"/>
          <w:szCs w:val="22"/>
        </w:rPr>
        <w:t>各市（含定州、辛集市）发展改革委（局）、物价局、财政局：</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为落实国务院、省政府关于清费减负有关要求，进一步降低实体企业运行成本，结合涉企收费调研情况，经研究，拟降低我省防空地下室易地建设费收费标准，现将有关问题通知如下：</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一、对本省城市规划区内新建民用建筑按规定需要配套建设防空地下室的，防空地下室建设应随民用建筑项目计划一同下达</w:t>
      </w:r>
      <w:r>
        <w:rPr>
          <w:spacing w:val="24"/>
          <w:sz w:val="22"/>
          <w:szCs w:val="22"/>
        </w:rPr>
        <w:t>,</w:t>
      </w:r>
      <w:r>
        <w:rPr>
          <w:rFonts w:cs="宋体" w:hint="eastAsia"/>
          <w:spacing w:val="24"/>
          <w:sz w:val="22"/>
          <w:szCs w:val="22"/>
        </w:rPr>
        <w:t>坚持同步配套建设，不得收费；对按规定需要同步配套建设，但确因地质、地形等原因不宜修建或者修建面积小于民用建筑首层面积的，经有批准权限的人民政府人民防空主管部门批准，可以不修建，但建设单位必须按应建防空地下室建筑面积和本通知规定收费标准缴纳防空地下室易地建设费，由人民政府人民防空主管部门统一组织就近易地修建。</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二、防空地下室易地建设费收费标准：</w:t>
      </w:r>
    </w:p>
    <w:p w:rsidR="00A32067" w:rsidRDefault="00A32067" w:rsidP="005431C7">
      <w:pPr>
        <w:spacing w:line="360" w:lineRule="auto"/>
        <w:ind w:firstLineChars="200" w:firstLine="31680"/>
        <w:rPr>
          <w:spacing w:val="24"/>
          <w:sz w:val="22"/>
          <w:szCs w:val="22"/>
        </w:rPr>
      </w:pPr>
      <w:r>
        <w:rPr>
          <w:spacing w:val="24"/>
          <w:sz w:val="22"/>
          <w:szCs w:val="22"/>
        </w:rPr>
        <w:t>1</w:t>
      </w:r>
      <w:r>
        <w:rPr>
          <w:rFonts w:cs="宋体" w:hint="eastAsia"/>
          <w:spacing w:val="24"/>
          <w:sz w:val="22"/>
          <w:szCs w:val="22"/>
        </w:rPr>
        <w:t>、防护等级</w:t>
      </w:r>
      <w:r>
        <w:rPr>
          <w:spacing w:val="24"/>
          <w:sz w:val="22"/>
          <w:szCs w:val="22"/>
        </w:rPr>
        <w:t>6B</w:t>
      </w:r>
      <w:r>
        <w:rPr>
          <w:rFonts w:cs="宋体" w:hint="eastAsia"/>
          <w:spacing w:val="24"/>
          <w:sz w:val="22"/>
          <w:szCs w:val="22"/>
        </w:rPr>
        <w:t>级防空地下室易地建设费，按地面首层建筑面积缴纳，收费标准为：设区市每平方米</w:t>
      </w:r>
      <w:r>
        <w:rPr>
          <w:spacing w:val="24"/>
          <w:sz w:val="22"/>
          <w:szCs w:val="22"/>
        </w:rPr>
        <w:t>300</w:t>
      </w:r>
      <w:r>
        <w:rPr>
          <w:rFonts w:cs="宋体" w:hint="eastAsia"/>
          <w:spacing w:val="24"/>
          <w:sz w:val="22"/>
          <w:szCs w:val="22"/>
        </w:rPr>
        <w:t>元，县（市）每平方米</w:t>
      </w:r>
      <w:r>
        <w:rPr>
          <w:spacing w:val="24"/>
          <w:sz w:val="22"/>
          <w:szCs w:val="22"/>
        </w:rPr>
        <w:t>200</w:t>
      </w:r>
      <w:r>
        <w:rPr>
          <w:rFonts w:cs="宋体" w:hint="eastAsia"/>
          <w:spacing w:val="24"/>
          <w:sz w:val="22"/>
          <w:szCs w:val="22"/>
        </w:rPr>
        <w:t>元。</w:t>
      </w:r>
    </w:p>
    <w:p w:rsidR="00A32067" w:rsidRDefault="00A32067" w:rsidP="005431C7">
      <w:pPr>
        <w:spacing w:line="360" w:lineRule="auto"/>
        <w:ind w:firstLineChars="200" w:firstLine="31680"/>
        <w:rPr>
          <w:spacing w:val="24"/>
          <w:sz w:val="22"/>
          <w:szCs w:val="22"/>
        </w:rPr>
      </w:pPr>
      <w:r>
        <w:rPr>
          <w:spacing w:val="24"/>
          <w:sz w:val="22"/>
          <w:szCs w:val="22"/>
        </w:rPr>
        <w:t>2</w:t>
      </w:r>
      <w:r>
        <w:rPr>
          <w:rFonts w:cs="宋体" w:hint="eastAsia"/>
          <w:spacing w:val="24"/>
          <w:sz w:val="22"/>
          <w:szCs w:val="22"/>
        </w:rPr>
        <w:t>、防护等级</w:t>
      </w:r>
      <w:r>
        <w:rPr>
          <w:spacing w:val="24"/>
          <w:sz w:val="22"/>
          <w:szCs w:val="22"/>
        </w:rPr>
        <w:t>6B</w:t>
      </w:r>
      <w:r>
        <w:rPr>
          <w:rFonts w:cs="宋体" w:hint="eastAsia"/>
          <w:spacing w:val="24"/>
          <w:sz w:val="22"/>
          <w:szCs w:val="22"/>
        </w:rPr>
        <w:t>级以外的防空地下室易地建设费，按应建防空地下室建筑面积缴纳，收费标准为：设区市每平方米</w:t>
      </w:r>
      <w:r>
        <w:rPr>
          <w:spacing w:val="24"/>
          <w:sz w:val="22"/>
          <w:szCs w:val="22"/>
        </w:rPr>
        <w:t>1620</w:t>
      </w:r>
      <w:r>
        <w:rPr>
          <w:rFonts w:cs="宋体" w:hint="eastAsia"/>
          <w:spacing w:val="24"/>
          <w:sz w:val="22"/>
          <w:szCs w:val="22"/>
        </w:rPr>
        <w:t>元，县（市）每平方米</w:t>
      </w:r>
      <w:r>
        <w:rPr>
          <w:spacing w:val="24"/>
          <w:sz w:val="22"/>
          <w:szCs w:val="22"/>
        </w:rPr>
        <w:t>1170</w:t>
      </w:r>
      <w:r>
        <w:rPr>
          <w:rFonts w:cs="宋体" w:hint="eastAsia"/>
          <w:spacing w:val="24"/>
          <w:sz w:val="22"/>
          <w:szCs w:val="22"/>
        </w:rPr>
        <w:t>元；</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三、各收费单位必须按规定在本单位收费场所和门户网站对防空地下室易地建设费的收费依据、收费项目、收费标准、收费主体、收费范围等进行公示，每年按照规定向价格、财政部门报告收费有关情况。</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四、防空地下室易地建设费由各级人民政府人民防空主管部门组织收取。收取的易地建设费应全额缴入同级财政，实行</w:t>
      </w:r>
      <w:r>
        <w:rPr>
          <w:spacing w:val="24"/>
          <w:sz w:val="22"/>
          <w:szCs w:val="22"/>
        </w:rPr>
        <w:t>“</w:t>
      </w:r>
      <w:r>
        <w:rPr>
          <w:rFonts w:cs="宋体" w:hint="eastAsia"/>
          <w:spacing w:val="24"/>
          <w:sz w:val="22"/>
          <w:szCs w:val="22"/>
        </w:rPr>
        <w:t>收支两条线</w:t>
      </w:r>
      <w:r>
        <w:rPr>
          <w:spacing w:val="24"/>
          <w:sz w:val="22"/>
          <w:szCs w:val="22"/>
        </w:rPr>
        <w:t>”</w:t>
      </w:r>
      <w:r>
        <w:rPr>
          <w:rFonts w:cs="宋体" w:hint="eastAsia"/>
          <w:spacing w:val="24"/>
          <w:sz w:val="22"/>
          <w:szCs w:val="22"/>
        </w:rPr>
        <w:t>管理。防空地下室易地建设费应纳入人防经费预算，统筹安排并专项用于人民防空建设，各级人民政府和有关部门不得统筹调剂，不得用于平衡本级预算，不得挪作他用。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五、各级人民政府人民防空主管部门应使用财政部门规定的收费票据。各级政府价格、财政部门应加强对防空地下室易地建设费的监督检查，对擅自扩大收费范围、提高或降低收费标准、减免防空地下室易地建设费、改变资金用途等违反国家有关收费管理规定的，应依法查处。</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六、本通知自发布之日起执行</w:t>
      </w:r>
      <w:r>
        <w:rPr>
          <w:spacing w:val="24"/>
          <w:sz w:val="22"/>
          <w:szCs w:val="22"/>
        </w:rPr>
        <w:t>,</w:t>
      </w:r>
      <w:r>
        <w:rPr>
          <w:rFonts w:cs="宋体" w:hint="eastAsia"/>
          <w:spacing w:val="24"/>
          <w:sz w:val="22"/>
          <w:szCs w:val="22"/>
        </w:rPr>
        <w:t>省物价局、财政厅冀价行费</w:t>
      </w:r>
      <w:r>
        <w:rPr>
          <w:spacing w:val="24"/>
          <w:sz w:val="22"/>
          <w:szCs w:val="22"/>
        </w:rPr>
        <w:t>[2014]27</w:t>
      </w:r>
      <w:r>
        <w:rPr>
          <w:rFonts w:cs="宋体" w:hint="eastAsia"/>
          <w:spacing w:val="24"/>
          <w:sz w:val="22"/>
          <w:szCs w:val="22"/>
        </w:rPr>
        <w:t>号文件同时废止。</w:t>
      </w:r>
    </w:p>
    <w:p w:rsidR="00A32067" w:rsidRDefault="00A32067">
      <w:pPr>
        <w:spacing w:line="220" w:lineRule="atLeast"/>
        <w:rPr>
          <w:spacing w:val="24"/>
          <w:sz w:val="24"/>
          <w:szCs w:val="24"/>
        </w:rPr>
      </w:pPr>
    </w:p>
    <w:p w:rsidR="00A32067" w:rsidRDefault="00A32067">
      <w:pPr>
        <w:spacing w:line="360" w:lineRule="auto"/>
        <w:jc w:val="center"/>
        <w:outlineLvl w:val="2"/>
        <w:rPr>
          <w:b/>
          <w:bCs/>
          <w:sz w:val="44"/>
          <w:szCs w:val="44"/>
        </w:rPr>
      </w:pPr>
      <w:bookmarkStart w:id="95" w:name="_Toc519872323"/>
      <w:r>
        <w:rPr>
          <w:b/>
          <w:bCs/>
          <w:sz w:val="44"/>
          <w:szCs w:val="44"/>
        </w:rPr>
        <w:t xml:space="preserve"> </w:t>
      </w:r>
      <w:r>
        <w:rPr>
          <w:rFonts w:cs="宋体" w:hint="eastAsia"/>
          <w:b/>
          <w:bCs/>
          <w:sz w:val="44"/>
          <w:szCs w:val="44"/>
        </w:rPr>
        <w:t>关于印发《河北省会计师事务所服务收费管理</w:t>
      </w:r>
    </w:p>
    <w:p w:rsidR="00A32067" w:rsidRDefault="00A32067">
      <w:pPr>
        <w:spacing w:line="360" w:lineRule="auto"/>
        <w:jc w:val="center"/>
        <w:outlineLvl w:val="2"/>
        <w:rPr>
          <w:b/>
          <w:bCs/>
          <w:sz w:val="44"/>
          <w:szCs w:val="44"/>
        </w:rPr>
      </w:pPr>
      <w:r>
        <w:rPr>
          <w:rFonts w:cs="宋体" w:hint="eastAsia"/>
          <w:b/>
          <w:bCs/>
          <w:sz w:val="44"/>
          <w:szCs w:val="44"/>
        </w:rPr>
        <w:t>办法》的通知</w:t>
      </w:r>
    </w:p>
    <w:p w:rsidR="00A32067" w:rsidRDefault="00A32067">
      <w:pPr>
        <w:widowControl/>
        <w:spacing w:line="561" w:lineRule="atLeast"/>
        <w:ind w:firstLine="480"/>
        <w:jc w:val="center"/>
        <w:rPr>
          <w:rFonts w:ascii="宋体"/>
          <w:kern w:val="0"/>
          <w:sz w:val="22"/>
          <w:szCs w:val="22"/>
        </w:rPr>
      </w:pPr>
      <w:r>
        <w:rPr>
          <w:rFonts w:ascii="宋体" w:hAnsi="宋体" w:cs="宋体" w:hint="eastAsia"/>
          <w:kern w:val="0"/>
          <w:sz w:val="22"/>
          <w:szCs w:val="22"/>
        </w:rPr>
        <w:t>冀价经费〔</w:t>
      </w:r>
      <w:r>
        <w:rPr>
          <w:rFonts w:ascii="宋体" w:hAnsi="宋体" w:cs="宋体"/>
          <w:kern w:val="0"/>
          <w:sz w:val="22"/>
          <w:szCs w:val="22"/>
        </w:rPr>
        <w:t>2012</w:t>
      </w:r>
      <w:r>
        <w:rPr>
          <w:rFonts w:ascii="宋体" w:hAnsi="宋体" w:cs="宋体" w:hint="eastAsia"/>
          <w:kern w:val="0"/>
          <w:sz w:val="22"/>
          <w:szCs w:val="22"/>
        </w:rPr>
        <w:t>〕</w:t>
      </w:r>
      <w:r>
        <w:rPr>
          <w:rFonts w:ascii="宋体" w:hAnsi="宋体" w:cs="宋体"/>
          <w:kern w:val="0"/>
          <w:sz w:val="22"/>
          <w:szCs w:val="22"/>
        </w:rPr>
        <w:t>18</w:t>
      </w:r>
      <w:r>
        <w:rPr>
          <w:rFonts w:ascii="宋体" w:hAnsi="宋体" w:cs="宋体" w:hint="eastAsia"/>
          <w:kern w:val="0"/>
          <w:sz w:val="22"/>
          <w:szCs w:val="22"/>
        </w:rPr>
        <w:t>号</w:t>
      </w:r>
    </w:p>
    <w:p w:rsidR="00A32067" w:rsidRDefault="00A32067">
      <w:pPr>
        <w:widowControl/>
        <w:spacing w:line="561" w:lineRule="atLeast"/>
        <w:jc w:val="left"/>
        <w:rPr>
          <w:rFonts w:ascii="宋体"/>
          <w:kern w:val="0"/>
          <w:sz w:val="22"/>
          <w:szCs w:val="22"/>
        </w:rPr>
      </w:pPr>
    </w:p>
    <w:p w:rsidR="00A32067" w:rsidRDefault="00A32067">
      <w:pPr>
        <w:widowControl/>
        <w:spacing w:line="561" w:lineRule="atLeast"/>
        <w:jc w:val="left"/>
        <w:rPr>
          <w:rFonts w:ascii="宋体"/>
          <w:kern w:val="0"/>
          <w:sz w:val="22"/>
          <w:szCs w:val="22"/>
        </w:rPr>
      </w:pPr>
      <w:r>
        <w:rPr>
          <w:rFonts w:ascii="宋体" w:hAnsi="宋体" w:cs="宋体" w:hint="eastAsia"/>
          <w:kern w:val="0"/>
          <w:sz w:val="22"/>
          <w:szCs w:val="22"/>
        </w:rPr>
        <w:t>各设区市、扩权县（市）物价局、财政局：</w:t>
      </w:r>
    </w:p>
    <w:p w:rsidR="00A32067" w:rsidRDefault="00A32067">
      <w:pPr>
        <w:widowControl/>
        <w:spacing w:line="561" w:lineRule="atLeast"/>
        <w:ind w:firstLine="480"/>
        <w:jc w:val="left"/>
        <w:rPr>
          <w:rFonts w:ascii="宋体"/>
          <w:kern w:val="0"/>
          <w:sz w:val="22"/>
          <w:szCs w:val="22"/>
        </w:rPr>
      </w:pPr>
      <w:r>
        <w:rPr>
          <w:rFonts w:ascii="宋体" w:hAnsi="宋体" w:cs="宋体" w:hint="eastAsia"/>
          <w:kern w:val="0"/>
          <w:sz w:val="22"/>
          <w:szCs w:val="22"/>
        </w:rPr>
        <w:t>根据国家发展和改革委员会、财政部《关于印发〈会计师事务所服务收费管理办法〉的通知》（发改价格</w:t>
      </w:r>
      <w:r>
        <w:rPr>
          <w:rFonts w:ascii="宋体" w:hAnsi="宋体" w:cs="宋体"/>
          <w:kern w:val="0"/>
          <w:sz w:val="22"/>
          <w:szCs w:val="22"/>
        </w:rPr>
        <w:t>[2010]196</w:t>
      </w:r>
      <w:r>
        <w:rPr>
          <w:rFonts w:ascii="宋体" w:hAnsi="宋体" w:cs="宋体" w:hint="eastAsia"/>
          <w:kern w:val="0"/>
          <w:sz w:val="22"/>
          <w:szCs w:val="22"/>
        </w:rPr>
        <w:t>号）、河北省人民政府办公厅《关于加快发展我省注册会计师行业的意见》（冀政办</w:t>
      </w:r>
      <w:r>
        <w:rPr>
          <w:rFonts w:ascii="宋体" w:hAnsi="宋体" w:cs="宋体"/>
          <w:kern w:val="0"/>
          <w:sz w:val="22"/>
          <w:szCs w:val="22"/>
        </w:rPr>
        <w:t>[2010]10</w:t>
      </w:r>
      <w:r>
        <w:rPr>
          <w:rFonts w:ascii="宋体" w:hAnsi="宋体" w:cs="宋体" w:hint="eastAsia"/>
          <w:kern w:val="0"/>
          <w:sz w:val="22"/>
          <w:szCs w:val="22"/>
        </w:rPr>
        <w:t>号）文件精神，我们制定了《河北省会计师事务所服务收费管理办法》和收费标准，现印发给你们，请遵照执行。</w:t>
      </w:r>
    </w:p>
    <w:p w:rsidR="00A32067" w:rsidRDefault="00A32067">
      <w:pPr>
        <w:widowControl/>
        <w:spacing w:line="561" w:lineRule="atLeast"/>
        <w:ind w:firstLine="480"/>
        <w:jc w:val="left"/>
        <w:rPr>
          <w:rFonts w:ascii="宋体"/>
          <w:kern w:val="0"/>
          <w:sz w:val="22"/>
          <w:szCs w:val="22"/>
        </w:rPr>
      </w:pPr>
      <w:r>
        <w:rPr>
          <w:rFonts w:ascii="宋体" w:hAnsi="宋体" w:cs="宋体" w:hint="eastAsia"/>
          <w:kern w:val="0"/>
          <w:sz w:val="22"/>
          <w:szCs w:val="22"/>
        </w:rPr>
        <w:t>附件：</w:t>
      </w:r>
      <w:r>
        <w:rPr>
          <w:rFonts w:ascii="宋体" w:hAnsi="宋体" w:cs="宋体"/>
          <w:kern w:val="0"/>
          <w:sz w:val="22"/>
          <w:szCs w:val="22"/>
        </w:rPr>
        <w:t>1</w:t>
      </w:r>
      <w:r>
        <w:rPr>
          <w:rFonts w:ascii="宋体" w:hAnsi="宋体" w:cs="宋体" w:hint="eastAsia"/>
          <w:kern w:val="0"/>
          <w:sz w:val="22"/>
          <w:szCs w:val="22"/>
        </w:rPr>
        <w:t>、河北省会计师事务所服务收费管理办法</w:t>
      </w:r>
    </w:p>
    <w:p w:rsidR="00A32067" w:rsidRDefault="00A32067">
      <w:pPr>
        <w:widowControl/>
        <w:spacing w:line="561" w:lineRule="atLeast"/>
        <w:ind w:firstLine="1200"/>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、河北省会计师事务所审计服务收费标准表</w:t>
      </w:r>
    </w:p>
    <w:p w:rsidR="00A32067" w:rsidRDefault="00A32067">
      <w:pPr>
        <w:widowControl/>
        <w:spacing w:line="561" w:lineRule="atLeast"/>
        <w:jc w:val="right"/>
        <w:rPr>
          <w:rFonts w:ascii="宋体"/>
          <w:kern w:val="0"/>
          <w:sz w:val="22"/>
          <w:szCs w:val="22"/>
        </w:rPr>
      </w:pPr>
    </w:p>
    <w:p w:rsidR="00A32067" w:rsidRDefault="00A32067">
      <w:pPr>
        <w:widowControl/>
        <w:spacing w:line="561" w:lineRule="atLeast"/>
        <w:jc w:val="right"/>
        <w:rPr>
          <w:rFonts w:ascii="宋体"/>
          <w:kern w:val="0"/>
          <w:sz w:val="22"/>
          <w:szCs w:val="22"/>
        </w:rPr>
      </w:pPr>
      <w:r>
        <w:rPr>
          <w:rFonts w:ascii="宋体" w:hAnsi="宋体" w:cs="宋体" w:hint="eastAsia"/>
          <w:kern w:val="0"/>
          <w:sz w:val="22"/>
          <w:szCs w:val="22"/>
        </w:rPr>
        <w:t>河北省物价局</w:t>
      </w:r>
    </w:p>
    <w:p w:rsidR="00A32067" w:rsidRDefault="00A32067">
      <w:pPr>
        <w:widowControl/>
        <w:spacing w:line="561" w:lineRule="atLeast"/>
        <w:jc w:val="right"/>
        <w:rPr>
          <w:rFonts w:ascii="宋体"/>
          <w:kern w:val="0"/>
          <w:sz w:val="22"/>
          <w:szCs w:val="22"/>
        </w:rPr>
      </w:pPr>
      <w:r>
        <w:rPr>
          <w:rFonts w:ascii="宋体" w:hAnsi="宋体" w:cs="宋体" w:hint="eastAsia"/>
          <w:kern w:val="0"/>
          <w:sz w:val="22"/>
          <w:szCs w:val="22"/>
        </w:rPr>
        <w:t>河北省财政厅</w:t>
      </w:r>
    </w:p>
    <w:p w:rsidR="00A32067" w:rsidRDefault="00A32067">
      <w:pPr>
        <w:widowControl/>
        <w:spacing w:line="561" w:lineRule="atLeast"/>
        <w:jc w:val="right"/>
        <w:rPr>
          <w:rFonts w:ascii="宋体"/>
          <w:kern w:val="0"/>
          <w:sz w:val="22"/>
          <w:szCs w:val="22"/>
        </w:rPr>
      </w:pPr>
      <w:r>
        <w:rPr>
          <w:rFonts w:ascii="宋体" w:hAnsi="宋体" w:cs="宋体" w:hint="eastAsia"/>
          <w:kern w:val="0"/>
          <w:sz w:val="22"/>
          <w:szCs w:val="22"/>
        </w:rPr>
        <w:t>二〇一二年九月十一日</w:t>
      </w: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r>
        <w:rPr>
          <w:rFonts w:ascii="宋体" w:hAnsi="宋体" w:cs="宋体" w:hint="eastAsia"/>
          <w:kern w:val="0"/>
          <w:sz w:val="22"/>
          <w:szCs w:val="22"/>
        </w:rPr>
        <w:t>主题词：会计师</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事务所</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服务收费</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通知</w:t>
      </w: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p>
    <w:p w:rsidR="00A32067" w:rsidRDefault="00A32067">
      <w:pPr>
        <w:widowControl/>
        <w:spacing w:line="561" w:lineRule="atLeast"/>
        <w:ind w:firstLine="480"/>
        <w:jc w:val="left"/>
        <w:rPr>
          <w:rFonts w:ascii="宋体"/>
          <w:kern w:val="0"/>
          <w:sz w:val="22"/>
          <w:szCs w:val="22"/>
        </w:rPr>
      </w:pPr>
      <w:r>
        <w:rPr>
          <w:rFonts w:ascii="宋体" w:hAnsi="宋体" w:cs="宋体" w:hint="eastAsia"/>
          <w:kern w:val="0"/>
          <w:sz w:val="22"/>
          <w:szCs w:val="22"/>
        </w:rPr>
        <w:t>附件</w:t>
      </w:r>
      <w:r>
        <w:rPr>
          <w:rFonts w:ascii="宋体" w:hAnsi="宋体" w:cs="宋体"/>
          <w:kern w:val="0"/>
          <w:sz w:val="22"/>
          <w:szCs w:val="22"/>
        </w:rPr>
        <w:t>1</w:t>
      </w:r>
      <w:r>
        <w:rPr>
          <w:rFonts w:ascii="宋体" w:hAnsi="宋体" w:cs="宋体" w:hint="eastAsia"/>
          <w:kern w:val="0"/>
          <w:sz w:val="22"/>
          <w:szCs w:val="22"/>
        </w:rPr>
        <w:t>：</w:t>
      </w:r>
    </w:p>
    <w:p w:rsidR="00A32067" w:rsidRDefault="00A32067">
      <w:pPr>
        <w:widowControl/>
        <w:spacing w:line="561" w:lineRule="atLeast"/>
        <w:jc w:val="center"/>
        <w:rPr>
          <w:rFonts w:ascii="宋体"/>
          <w:kern w:val="0"/>
          <w:sz w:val="22"/>
          <w:szCs w:val="22"/>
        </w:rPr>
      </w:pPr>
      <w:r>
        <w:rPr>
          <w:rFonts w:ascii="宋体" w:hAnsi="宋体" w:cs="宋体" w:hint="eastAsia"/>
          <w:b/>
          <w:bCs/>
          <w:kern w:val="0"/>
          <w:sz w:val="22"/>
          <w:szCs w:val="22"/>
        </w:rPr>
        <w:t>河北省会计师事务所服务收费管理办法</w:t>
      </w:r>
    </w:p>
    <w:p w:rsidR="00A32067" w:rsidRDefault="00A32067">
      <w:pPr>
        <w:widowControl/>
        <w:spacing w:line="561" w:lineRule="atLeast"/>
        <w:jc w:val="center"/>
        <w:rPr>
          <w:rFonts w:ascii="宋体"/>
          <w:kern w:val="0"/>
          <w:sz w:val="22"/>
          <w:szCs w:val="22"/>
        </w:rPr>
      </w:pP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第一条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为规范注册会计师服务收费行为，维护委托人和会计师事务所的合法权益，促进注册会计师行业健康发展，根据国家发展改革委、财政部《关于印发〈会计师事务所服务收费管理办法〉的通知》（发改价格</w:t>
      </w:r>
      <w:r>
        <w:rPr>
          <w:rFonts w:ascii="宋体" w:hAnsi="宋体" w:cs="宋体"/>
          <w:kern w:val="0"/>
          <w:sz w:val="22"/>
          <w:szCs w:val="22"/>
        </w:rPr>
        <w:t>[2010]196</w:t>
      </w:r>
      <w:r>
        <w:rPr>
          <w:rFonts w:ascii="宋体" w:hAnsi="宋体" w:cs="宋体" w:hint="eastAsia"/>
          <w:kern w:val="0"/>
          <w:sz w:val="22"/>
          <w:szCs w:val="22"/>
        </w:rPr>
        <w:t>号），结合我省实际，制定本办法。</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第二条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本办法适用于在河北省行政区域内注册登记执业的会计师事务所及外省来河北省执业的会计师事务所。</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第三条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会计师事务所服务收费是指会计师事务所接受委托办理注册会计师业务而向委托人收取的费用。会计师事务所服务收费应当遵循公开、公正、公平、自愿有偿、诚实信用、谁委托谁付费的原则。</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第四条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会计师事务所服务收费实行政府指导价和市场调节价。</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会计师事务所提供下列审计服务的收费实行政府指导价：</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（一）审查财务会计报表，出具审计报告；</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（二）验证企业资本，出具验资报告；</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（三）办理企业合并、分立、清算事宜中的审计服务，出具有关报告；</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（四）法律、行政法规规定的其他审计服务。</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会计师事务所按照自愿有偿原则提供会计咨询、会计服务等其他服务的收费实行市场调节价。</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第五条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会计师事务所审计服务收费可实行计件收费、计时收费方式。</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一）计件收费的审计服务，按照实收资本、资产总额或营业收入等反映审计对象规模的指标为计费依据。一般应以资产总额为计费依据；对以知识产权、无形资产为主要资产的公司、企业、单位提供的审计服务，以营业收入为计费依据；按照法律、行政法规有关规定，对公司、企业、单位资本投入的验证，以实收资本为计费依据。</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二）计时收费的审计服务，按照提供服务所需工作人日数和每个工作人日收费标准收取服务费。工作人日数根据审计服务的性质、风险大小、繁简程度等确定；每个工作人日收费标准根据执业人员专业技能水平、审计工作的服务质量等分别确定。</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第六条</w:t>
      </w:r>
      <w:r>
        <w:rPr>
          <w:rFonts w:ascii="宋体"/>
          <w:kern w:val="0"/>
          <w:sz w:val="22"/>
          <w:szCs w:val="22"/>
        </w:rPr>
        <w:t> </w:t>
      </w:r>
      <w:r>
        <w:rPr>
          <w:rFonts w:ascii="宋体" w:hAnsi="宋体" w:cs="宋体" w:hint="eastAsia"/>
          <w:kern w:val="0"/>
          <w:sz w:val="22"/>
          <w:szCs w:val="22"/>
        </w:rPr>
        <w:t>实行市场调节价的会计咨询、会计服务等其他服务，应由会计师事务所根据服务成本和当地社会经济发展状况，自主制定不同服务的收费标准范围。具体收费标准由会计师事务所与委托人协商确定。确定收费标准时应考虑以下主要因素：</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（一）耗费的工作时间；</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（二）业务的难易程度；</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（三）委托人的承受能力；</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（四）会计师事务所可能承担的风险和责任；</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（五）会计师事务所的社会信誉。</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第七条</w:t>
      </w:r>
      <w:r>
        <w:rPr>
          <w:rFonts w:ascii="宋体"/>
          <w:kern w:val="0"/>
          <w:sz w:val="22"/>
          <w:szCs w:val="22"/>
        </w:rPr>
        <w:t> </w:t>
      </w:r>
      <w:r>
        <w:rPr>
          <w:rFonts w:ascii="宋体" w:hAnsi="宋体" w:cs="宋体" w:hint="eastAsia"/>
          <w:kern w:val="0"/>
          <w:sz w:val="22"/>
          <w:szCs w:val="22"/>
        </w:rPr>
        <w:t>在我省注册登记会计师事务所为省外委托人提供服务，可以按照我省或者相关省的收费规定执行，具体由会计师事务所与委托人协商确定。</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第八条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会计师事务所受委托人要求，赴境外或港澳台地区提供服务的收费，通过与委托人签订合同的方式协商确定。</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第九条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接受委托，应与委托人双方签订服务收费合同（协议）或者在业务约定书中载明收费条款。收费合同（协议）或收费条款应包括收费项目、签约双方的权利和义务、收费方式、收费标准及争议、违约的解决办法、预收费用比例等，采用计时收费的，还应载明计费的工作时日等内容。</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采取招（投）标方式取得审计服务时，会计师事务所应当在规定的基准价和浮动幅度内合理确定投标报价。</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第十一条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会计师事务所为委托人提供服务，应当严格按照《中国注册会计师执业准则》和相关法律法规，恪守独立、客观、公正的原则，履行必要的执业程序，保障服务质量。</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第十二条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会计师事务所承办业务，凡需出具报告书的，一般为中文本一式五份。如果需要增加份数或需要翻译为外文本的，可加收成本费及翻译费用，具体收费标准由会计师事务所与委托方协商确定。</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第十三条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委托人可自主选择会计师事务所为其提供服务，任何部门和单位不得为委托人指定会计师事务所，也不得强制或变相强制当事人接受服务并收费。</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第十四条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会计师事务所向委托人收取服务费，应当出具合法票据，注册会计师个人不得私自收费。</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第十五条</w:t>
      </w:r>
      <w:r>
        <w:rPr>
          <w:rFonts w:ascii="宋体"/>
          <w:kern w:val="0"/>
          <w:sz w:val="22"/>
          <w:szCs w:val="22"/>
        </w:rPr>
        <w:t> </w:t>
      </w:r>
      <w:r>
        <w:rPr>
          <w:rFonts w:ascii="宋体" w:hAnsi="宋体" w:cs="宋体" w:hint="eastAsia"/>
          <w:kern w:val="0"/>
          <w:sz w:val="22"/>
          <w:szCs w:val="22"/>
        </w:rPr>
        <w:t>会计师事务所或委托人因故终止委托合同，或双方因收费问题发生纠纷的，应按《中华人民共和国合同法》有关规定处理。</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第十六条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会计师事务所应在其经营场所显著位置公示业务服务项目、计费依据和收费标准等内容，使用税务部门统一制发的合法票据，自觉接受社会监督。</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第十七条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会计师事务所应当严格执行价格主管部门制定的会计师事务所服务收费管理办法和收费标准，建立健全内部收费管理制度。</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第十八条</w:t>
      </w:r>
      <w:r>
        <w:rPr>
          <w:rFonts w:ascii="宋体"/>
          <w:kern w:val="0"/>
          <w:sz w:val="22"/>
          <w:szCs w:val="22"/>
        </w:rPr>
        <w:t> </w:t>
      </w:r>
      <w:r>
        <w:rPr>
          <w:rFonts w:ascii="宋体" w:hAnsi="宋体" w:cs="宋体" w:hint="eastAsia"/>
          <w:kern w:val="0"/>
          <w:sz w:val="22"/>
          <w:szCs w:val="22"/>
        </w:rPr>
        <w:t>会计师事务所有下列情形之一的，由政府价格主管部门依照《价格法》和《价格违法行为行政处罚规定》等法律法规实施行政处罚：</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（一）未按规定公示服务项目、收费标准的；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（二）超出政府指导价浮动幅度制定价格的；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（三）擅自制定属于政府指导价范围内收费标准的；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（四）违反规定以佣金、回扣等形式变相降低鉴证服务收费超出政府指导价浮动下限的；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（五）采取分解收费项目、重复收费，扩大收费范围等方式乱收费的；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（六）不按照规定提供服务而收取费用的；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（七）未按规定申领、年审《收费许可证》而收取费用的；</w:t>
      </w:r>
    </w:p>
    <w:p w:rsidR="00A32067" w:rsidRDefault="00A32067">
      <w:pPr>
        <w:widowControl/>
        <w:spacing w:line="360" w:lineRule="auto"/>
        <w:ind w:firstLine="480"/>
        <w:jc w:val="left"/>
        <w:rPr>
          <w:rFonts w:ascii="宋体"/>
          <w:kern w:val="0"/>
          <w:sz w:val="22"/>
          <w:szCs w:val="22"/>
        </w:rPr>
      </w:pPr>
      <w:r>
        <w:rPr>
          <w:rFonts w:ascii="宋体" w:hAnsi="宋体" w:cs="宋体" w:hint="eastAsia"/>
          <w:kern w:val="0"/>
          <w:sz w:val="22"/>
          <w:szCs w:val="22"/>
        </w:rPr>
        <w:t>（八）其他价格违法行为。</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第十九条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公民、法人和其他组织对会计师事务所的价格违法行为，可以向会计师事务所所在地价格主管部门举报、投诉。</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第二十条</w:t>
      </w:r>
      <w:r>
        <w:rPr>
          <w:rFonts w:ascii="宋体"/>
          <w:kern w:val="0"/>
          <w:sz w:val="22"/>
          <w:szCs w:val="22"/>
        </w:rPr>
        <w:t> </w:t>
      </w:r>
      <w:r>
        <w:rPr>
          <w:rFonts w:ascii="宋体" w:hAnsi="宋体" w:cs="宋体"/>
          <w:kern w:val="0"/>
          <w:sz w:val="22"/>
          <w:szCs w:val="22"/>
        </w:rPr>
        <w:t xml:space="preserve"> </w:t>
      </w:r>
      <w:r>
        <w:rPr>
          <w:rFonts w:ascii="宋体" w:hAnsi="宋体" w:cs="宋体" w:hint="eastAsia"/>
          <w:kern w:val="0"/>
          <w:sz w:val="22"/>
          <w:szCs w:val="22"/>
        </w:rPr>
        <w:t>本办法由省物价局会同省财政厅负责解释。</w:t>
      </w:r>
    </w:p>
    <w:p w:rsidR="00A32067" w:rsidRDefault="00A32067">
      <w:pPr>
        <w:widowControl/>
        <w:spacing w:line="360" w:lineRule="auto"/>
        <w:ind w:firstLine="480"/>
        <w:jc w:val="left"/>
        <w:rPr>
          <w:rFonts w:ascii="宋体"/>
          <w:kern w:val="0"/>
          <w:sz w:val="22"/>
          <w:szCs w:val="22"/>
        </w:rPr>
      </w:pPr>
      <w:r>
        <w:rPr>
          <w:rFonts w:ascii="宋体" w:hAnsi="宋体" w:cs="宋体" w:hint="eastAsia"/>
          <w:b/>
          <w:bCs/>
          <w:kern w:val="0"/>
          <w:sz w:val="22"/>
          <w:szCs w:val="22"/>
        </w:rPr>
        <w:t>第二十一条</w:t>
      </w:r>
      <w:r>
        <w:rPr>
          <w:rFonts w:ascii="宋体"/>
          <w:kern w:val="0"/>
          <w:sz w:val="22"/>
          <w:szCs w:val="22"/>
        </w:rPr>
        <w:t> </w:t>
      </w:r>
      <w:r>
        <w:rPr>
          <w:rFonts w:ascii="宋体" w:hAnsi="宋体" w:cs="宋体" w:hint="eastAsia"/>
          <w:kern w:val="0"/>
          <w:sz w:val="22"/>
          <w:szCs w:val="22"/>
        </w:rPr>
        <w:t>本办法自</w:t>
      </w:r>
      <w:r>
        <w:rPr>
          <w:rFonts w:ascii="宋体" w:hAnsi="宋体" w:cs="宋体"/>
          <w:kern w:val="0"/>
          <w:sz w:val="22"/>
          <w:szCs w:val="22"/>
        </w:rPr>
        <w:t xml:space="preserve">2012 </w:t>
      </w:r>
      <w:r>
        <w:rPr>
          <w:rFonts w:ascii="宋体" w:hAnsi="宋体" w:cs="宋体" w:hint="eastAsia"/>
          <w:kern w:val="0"/>
          <w:sz w:val="22"/>
          <w:szCs w:val="22"/>
        </w:rPr>
        <w:t>年</w:t>
      </w:r>
      <w:r>
        <w:rPr>
          <w:rFonts w:ascii="宋体" w:hAnsi="宋体" w:cs="宋体"/>
          <w:kern w:val="0"/>
          <w:sz w:val="22"/>
          <w:szCs w:val="22"/>
        </w:rPr>
        <w:t>11</w:t>
      </w:r>
      <w:r>
        <w:rPr>
          <w:rFonts w:ascii="宋体" w:hAnsi="宋体" w:cs="宋体" w:hint="eastAsia"/>
          <w:kern w:val="0"/>
          <w:sz w:val="22"/>
          <w:szCs w:val="22"/>
        </w:rPr>
        <w:t>月</w:t>
      </w:r>
      <w:r>
        <w:rPr>
          <w:rFonts w:ascii="宋体" w:hAnsi="宋体" w:cs="宋体"/>
          <w:kern w:val="0"/>
          <w:sz w:val="22"/>
          <w:szCs w:val="22"/>
        </w:rPr>
        <w:t>1</w:t>
      </w:r>
      <w:r>
        <w:rPr>
          <w:rFonts w:ascii="宋体" w:hAnsi="宋体" w:cs="宋体" w:hint="eastAsia"/>
          <w:kern w:val="0"/>
          <w:sz w:val="22"/>
          <w:szCs w:val="22"/>
        </w:rPr>
        <w:t>日起施行。（</w:t>
      </w:r>
      <w:r>
        <w:rPr>
          <w:rFonts w:ascii="宋体" w:hAnsi="宋体" w:cs="宋体"/>
          <w:kern w:val="0"/>
          <w:sz w:val="22"/>
          <w:szCs w:val="22"/>
        </w:rPr>
        <w:t>1994</w:t>
      </w:r>
      <w:r>
        <w:rPr>
          <w:rFonts w:ascii="宋体" w:hAnsi="宋体" w:cs="宋体" w:hint="eastAsia"/>
          <w:kern w:val="0"/>
          <w:sz w:val="22"/>
          <w:szCs w:val="22"/>
        </w:rPr>
        <w:t>）冀财综字第</w:t>
      </w:r>
      <w:r>
        <w:rPr>
          <w:rFonts w:ascii="宋体" w:hAnsi="宋体" w:cs="宋体"/>
          <w:kern w:val="0"/>
          <w:sz w:val="22"/>
          <w:szCs w:val="22"/>
        </w:rPr>
        <w:t>108</w:t>
      </w:r>
      <w:r>
        <w:rPr>
          <w:rFonts w:ascii="宋体" w:hAnsi="宋体" w:cs="宋体" w:hint="eastAsia"/>
          <w:kern w:val="0"/>
          <w:sz w:val="22"/>
          <w:szCs w:val="22"/>
        </w:rPr>
        <w:t>号和冀价经费字（</w:t>
      </w:r>
      <w:r>
        <w:rPr>
          <w:rFonts w:ascii="宋体" w:hAnsi="宋体" w:cs="宋体"/>
          <w:kern w:val="0"/>
          <w:sz w:val="22"/>
          <w:szCs w:val="22"/>
        </w:rPr>
        <w:t>1999</w:t>
      </w:r>
      <w:r>
        <w:rPr>
          <w:rFonts w:ascii="宋体" w:hAnsi="宋体" w:cs="宋体" w:hint="eastAsia"/>
          <w:kern w:val="0"/>
          <w:sz w:val="22"/>
          <w:szCs w:val="22"/>
        </w:rPr>
        <w:t>）第</w:t>
      </w:r>
      <w:r>
        <w:rPr>
          <w:rFonts w:ascii="宋体" w:hAnsi="宋体" w:cs="宋体"/>
          <w:kern w:val="0"/>
          <w:sz w:val="22"/>
          <w:szCs w:val="22"/>
        </w:rPr>
        <w:t>53</w:t>
      </w:r>
      <w:r>
        <w:rPr>
          <w:rFonts w:ascii="宋体" w:hAnsi="宋体" w:cs="宋体" w:hint="eastAsia"/>
          <w:kern w:val="0"/>
          <w:sz w:val="22"/>
          <w:szCs w:val="22"/>
        </w:rPr>
        <w:t>号文件同时废止。</w:t>
      </w:r>
    </w:p>
    <w:p w:rsidR="00A32067" w:rsidRDefault="00A32067">
      <w:pPr>
        <w:widowControl/>
        <w:spacing w:line="561" w:lineRule="atLeast"/>
        <w:ind w:firstLine="480"/>
        <w:jc w:val="left"/>
        <w:rPr>
          <w:rFonts w:ascii="微软雅黑" w:eastAsia="微软雅黑" w:hAnsi="微软雅黑"/>
          <w:color w:val="444444"/>
          <w:kern w:val="0"/>
          <w:sz w:val="30"/>
          <w:szCs w:val="30"/>
        </w:rPr>
      </w:pPr>
    </w:p>
    <w:p w:rsidR="00A32067" w:rsidRDefault="00A32067">
      <w:pPr>
        <w:widowControl/>
        <w:spacing w:line="561" w:lineRule="atLeast"/>
        <w:ind w:firstLine="480"/>
        <w:jc w:val="left"/>
        <w:rPr>
          <w:rFonts w:ascii="微软雅黑" w:eastAsia="微软雅黑" w:hAnsi="微软雅黑"/>
          <w:color w:val="444444"/>
          <w:kern w:val="0"/>
          <w:sz w:val="30"/>
          <w:szCs w:val="30"/>
        </w:rPr>
      </w:pPr>
    </w:p>
    <w:p w:rsidR="00A32067" w:rsidRDefault="00A32067">
      <w:pPr>
        <w:widowControl/>
        <w:spacing w:line="561" w:lineRule="atLeast"/>
        <w:ind w:firstLine="480"/>
        <w:jc w:val="left"/>
        <w:rPr>
          <w:rFonts w:ascii="微软雅黑" w:eastAsia="微软雅黑" w:hAnsi="微软雅黑"/>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color w:val="444444"/>
          <w:kern w:val="0"/>
          <w:sz w:val="30"/>
          <w:szCs w:val="30"/>
        </w:rPr>
      </w:pPr>
    </w:p>
    <w:p w:rsidR="00A32067" w:rsidRDefault="00A32067">
      <w:pPr>
        <w:widowControl/>
        <w:spacing w:line="561" w:lineRule="atLeast"/>
        <w:ind w:firstLine="480"/>
        <w:jc w:val="left"/>
        <w:rPr>
          <w:rFonts w:ascii="宋体"/>
          <w:kern w:val="0"/>
          <w:sz w:val="22"/>
          <w:szCs w:val="22"/>
        </w:rPr>
      </w:pPr>
      <w:r>
        <w:rPr>
          <w:rFonts w:ascii="宋体" w:hAnsi="宋体" w:cs="宋体" w:hint="eastAsia"/>
          <w:kern w:val="0"/>
          <w:sz w:val="22"/>
          <w:szCs w:val="22"/>
        </w:rPr>
        <w:t>附件</w:t>
      </w:r>
      <w:r>
        <w:rPr>
          <w:rFonts w:ascii="宋体" w:hAnsi="宋体" w:cs="宋体"/>
          <w:kern w:val="0"/>
          <w:sz w:val="22"/>
          <w:szCs w:val="22"/>
        </w:rPr>
        <w:t>2</w:t>
      </w:r>
    </w:p>
    <w:p w:rsidR="00A32067" w:rsidRDefault="00A32067">
      <w:pPr>
        <w:widowControl/>
        <w:spacing w:line="561" w:lineRule="atLeast"/>
        <w:ind w:firstLine="480"/>
        <w:jc w:val="center"/>
        <w:rPr>
          <w:rFonts w:ascii="宋体"/>
          <w:b/>
          <w:bCs/>
          <w:kern w:val="0"/>
          <w:sz w:val="30"/>
          <w:szCs w:val="30"/>
        </w:rPr>
      </w:pPr>
      <w:r>
        <w:rPr>
          <w:rFonts w:ascii="宋体" w:hAnsi="宋体" w:cs="宋体" w:hint="eastAsia"/>
          <w:b/>
          <w:bCs/>
          <w:kern w:val="0"/>
          <w:sz w:val="30"/>
          <w:szCs w:val="30"/>
        </w:rPr>
        <w:t>河北省会计师事务所审计服务收费标准表</w:t>
      </w:r>
      <w:bookmarkStart w:id="96" w:name="_GoBack"/>
      <w:bookmarkEnd w:id="96"/>
    </w:p>
    <w:p w:rsidR="00A32067" w:rsidRDefault="00A32067">
      <w:pPr>
        <w:widowControl/>
        <w:spacing w:line="561" w:lineRule="atLeast"/>
        <w:ind w:firstLine="480"/>
        <w:jc w:val="center"/>
        <w:rPr>
          <w:rFonts w:ascii="宋体"/>
          <w:b/>
          <w:bCs/>
          <w:kern w:val="0"/>
          <w:sz w:val="30"/>
          <w:szCs w:val="30"/>
        </w:rPr>
      </w:pPr>
    </w:p>
    <w:p w:rsidR="00A32067" w:rsidRDefault="00A32067">
      <w:pPr>
        <w:widowControl/>
        <w:spacing w:line="561" w:lineRule="atLeast"/>
        <w:rPr>
          <w:rFonts w:ascii="微软雅黑" w:eastAsia="微软雅黑" w:hAnsi="微软雅黑"/>
          <w:color w:val="444444"/>
          <w:kern w:val="0"/>
          <w:sz w:val="30"/>
          <w:szCs w:val="30"/>
        </w:rPr>
      </w:pPr>
      <w:r w:rsidRPr="0002085C">
        <w:rPr>
          <w:rFonts w:ascii="微软雅黑" w:eastAsia="微软雅黑" w:hAnsi="微软雅黑"/>
          <w:b/>
          <w:bCs/>
          <w:noProof/>
          <w:color w:val="444444"/>
          <w:kern w:val="0"/>
          <w:sz w:val="30"/>
          <w:szCs w:val="30"/>
        </w:rPr>
        <w:pict>
          <v:shape id="_x0000_i1038" type="#_x0000_t75" alt="/attached/image/20180423/" style="width:473.25pt;height:573.75pt;visibility:visible">
            <v:imagedata r:id="rId100" o:title="" croptop="840f" cropbottom="4214f" cropleft="2875f" cropright="2761f"/>
          </v:shape>
        </w:pict>
      </w:r>
    </w:p>
    <w:p w:rsidR="00A32067" w:rsidRDefault="00A32067"/>
    <w:p w:rsidR="00A32067" w:rsidRDefault="00A32067">
      <w:pPr>
        <w:spacing w:line="360" w:lineRule="auto"/>
        <w:jc w:val="center"/>
        <w:outlineLvl w:val="2"/>
        <w:rPr>
          <w:b/>
          <w:bCs/>
          <w:sz w:val="44"/>
          <w:szCs w:val="44"/>
        </w:rPr>
      </w:pPr>
    </w:p>
    <w:p w:rsidR="00A32067" w:rsidRDefault="00A32067">
      <w:pPr>
        <w:spacing w:line="360" w:lineRule="auto"/>
        <w:jc w:val="center"/>
        <w:outlineLvl w:val="2"/>
        <w:rPr>
          <w:b/>
          <w:bCs/>
          <w:sz w:val="44"/>
          <w:szCs w:val="44"/>
        </w:rPr>
      </w:pPr>
      <w:r>
        <w:rPr>
          <w:rFonts w:cs="宋体" w:hint="eastAsia"/>
          <w:b/>
          <w:bCs/>
          <w:sz w:val="44"/>
          <w:szCs w:val="44"/>
        </w:rPr>
        <w:t>石家庄市人民政府关于印发石家庄市新改扩建居民住宅项目配建教育设施建设资金缴纳</w:t>
      </w:r>
      <w:r>
        <w:rPr>
          <w:b/>
          <w:bCs/>
          <w:sz w:val="44"/>
          <w:szCs w:val="44"/>
        </w:rPr>
        <w:br/>
      </w:r>
      <w:r>
        <w:rPr>
          <w:rFonts w:cs="宋体" w:hint="eastAsia"/>
          <w:b/>
          <w:bCs/>
          <w:sz w:val="44"/>
          <w:szCs w:val="44"/>
        </w:rPr>
        <w:t>标准和管理使用办法的通知</w:t>
      </w:r>
      <w:r>
        <w:rPr>
          <w:b/>
          <w:bCs/>
          <w:sz w:val="44"/>
          <w:szCs w:val="44"/>
        </w:rPr>
        <w:br/>
      </w:r>
      <w:r>
        <w:rPr>
          <w:rFonts w:cs="宋体" w:hint="eastAsia"/>
          <w:color w:val="000000"/>
          <w:sz w:val="22"/>
          <w:szCs w:val="22"/>
        </w:rPr>
        <w:t>石政发〔</w:t>
      </w:r>
      <w:r>
        <w:rPr>
          <w:color w:val="000000"/>
          <w:sz w:val="22"/>
          <w:szCs w:val="22"/>
        </w:rPr>
        <w:t>2016</w:t>
      </w:r>
      <w:r>
        <w:rPr>
          <w:rFonts w:cs="宋体" w:hint="eastAsia"/>
          <w:color w:val="000000"/>
          <w:sz w:val="22"/>
          <w:szCs w:val="22"/>
        </w:rPr>
        <w:t>〕</w:t>
      </w:r>
      <w:r>
        <w:rPr>
          <w:color w:val="000000"/>
          <w:sz w:val="22"/>
          <w:szCs w:val="22"/>
        </w:rPr>
        <w:t>65</w:t>
      </w:r>
      <w:r>
        <w:rPr>
          <w:rFonts w:cs="宋体" w:hint="eastAsia"/>
          <w:color w:val="000000"/>
          <w:sz w:val="22"/>
          <w:szCs w:val="22"/>
        </w:rPr>
        <w:t>号</w:t>
      </w:r>
      <w:bookmarkEnd w:id="95"/>
    </w:p>
    <w:p w:rsidR="00A32067" w:rsidRDefault="00A32067">
      <w:pPr>
        <w:jc w:val="center"/>
        <w:outlineLvl w:val="0"/>
        <w:rPr>
          <w:b/>
          <w:bCs/>
          <w:sz w:val="44"/>
          <w:szCs w:val="44"/>
        </w:rPr>
      </w:pPr>
    </w:p>
    <w:p w:rsidR="00A32067" w:rsidRDefault="00A32067">
      <w:pPr>
        <w:spacing w:line="360" w:lineRule="auto"/>
        <w:rPr>
          <w:spacing w:val="24"/>
          <w:sz w:val="22"/>
          <w:szCs w:val="22"/>
        </w:rPr>
      </w:pPr>
      <w:r>
        <w:rPr>
          <w:rFonts w:cs="宋体" w:hint="eastAsia"/>
          <w:spacing w:val="24"/>
          <w:sz w:val="22"/>
          <w:szCs w:val="22"/>
        </w:rPr>
        <w:t>各县（市）、区人民政府，高新区、正定新区、循环化工园区管委会，市政府有关部门：</w:t>
      </w:r>
    </w:p>
    <w:p w:rsidR="00A32067" w:rsidRDefault="00A32067" w:rsidP="005431C7">
      <w:pPr>
        <w:spacing w:line="360" w:lineRule="auto"/>
        <w:ind w:firstLineChars="200" w:firstLine="31680"/>
        <w:rPr>
          <w:spacing w:val="24"/>
          <w:sz w:val="22"/>
          <w:szCs w:val="22"/>
        </w:rPr>
      </w:pPr>
      <w:r>
        <w:rPr>
          <w:rFonts w:cs="宋体" w:hint="eastAsia"/>
          <w:spacing w:val="24"/>
          <w:sz w:val="22"/>
          <w:szCs w:val="22"/>
        </w:rPr>
        <w:t>《石家庄市新改扩建居民住宅项目配建教育设施建设资金缴纳标准和管理使用办法》已经市政府第</w:t>
      </w:r>
      <w:r>
        <w:rPr>
          <w:spacing w:val="24"/>
          <w:sz w:val="22"/>
          <w:szCs w:val="22"/>
        </w:rPr>
        <w:t>62</w:t>
      </w:r>
      <w:r>
        <w:rPr>
          <w:rFonts w:cs="宋体" w:hint="eastAsia"/>
          <w:spacing w:val="24"/>
          <w:sz w:val="22"/>
          <w:szCs w:val="22"/>
        </w:rPr>
        <w:t>次常务会议研究通过，现印发给你们，请结合各自实际，认真贯彻执行。</w:t>
      </w: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rsidP="005431C7">
      <w:pPr>
        <w:spacing w:line="360" w:lineRule="auto"/>
        <w:ind w:firstLineChars="200" w:firstLine="31680"/>
        <w:rPr>
          <w:spacing w:val="24"/>
          <w:sz w:val="22"/>
          <w:szCs w:val="22"/>
        </w:rPr>
      </w:pPr>
    </w:p>
    <w:p w:rsidR="00A32067" w:rsidRDefault="00A32067">
      <w:pPr>
        <w:spacing w:line="360" w:lineRule="auto"/>
        <w:jc w:val="right"/>
        <w:rPr>
          <w:spacing w:val="24"/>
          <w:sz w:val="22"/>
          <w:szCs w:val="22"/>
        </w:rPr>
      </w:pPr>
      <w:r>
        <w:rPr>
          <w:rFonts w:cs="宋体" w:hint="eastAsia"/>
          <w:spacing w:val="24"/>
          <w:sz w:val="22"/>
          <w:szCs w:val="22"/>
        </w:rPr>
        <w:t>石家庄市人民政府</w:t>
      </w:r>
    </w:p>
    <w:p w:rsidR="00A32067" w:rsidRDefault="00A32067">
      <w:pPr>
        <w:spacing w:line="360" w:lineRule="auto"/>
        <w:jc w:val="right"/>
        <w:rPr>
          <w:spacing w:val="24"/>
          <w:sz w:val="22"/>
          <w:szCs w:val="22"/>
        </w:rPr>
      </w:pPr>
      <w:r>
        <w:rPr>
          <w:spacing w:val="24"/>
          <w:sz w:val="22"/>
          <w:szCs w:val="22"/>
        </w:rPr>
        <w:t>2016</w:t>
      </w:r>
      <w:r>
        <w:rPr>
          <w:rFonts w:cs="宋体" w:hint="eastAsia"/>
          <w:spacing w:val="24"/>
          <w:sz w:val="22"/>
          <w:szCs w:val="22"/>
        </w:rPr>
        <w:t>年</w:t>
      </w:r>
      <w:r>
        <w:rPr>
          <w:spacing w:val="24"/>
          <w:sz w:val="22"/>
          <w:szCs w:val="22"/>
        </w:rPr>
        <w:t>12</w:t>
      </w:r>
      <w:r>
        <w:rPr>
          <w:rFonts w:cs="宋体" w:hint="eastAsia"/>
          <w:spacing w:val="24"/>
          <w:sz w:val="22"/>
          <w:szCs w:val="22"/>
        </w:rPr>
        <w:t>月</w:t>
      </w:r>
      <w:r>
        <w:rPr>
          <w:spacing w:val="24"/>
          <w:sz w:val="22"/>
          <w:szCs w:val="22"/>
        </w:rPr>
        <w:t>22</w:t>
      </w:r>
      <w:r>
        <w:rPr>
          <w:rFonts w:cs="宋体" w:hint="eastAsia"/>
          <w:spacing w:val="24"/>
          <w:sz w:val="22"/>
          <w:szCs w:val="22"/>
        </w:rPr>
        <w:t>日</w:t>
      </w: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hd w:val="clear" w:color="auto" w:fill="FFFFFF"/>
        <w:spacing w:line="360" w:lineRule="auto"/>
        <w:ind w:firstLine="480"/>
        <w:rPr>
          <w:b/>
          <w:bCs/>
          <w:color w:val="333333"/>
          <w:sz w:val="24"/>
          <w:szCs w:val="24"/>
        </w:rPr>
      </w:pPr>
    </w:p>
    <w:p w:rsidR="00A32067" w:rsidRDefault="00A32067">
      <w:pPr>
        <w:spacing w:line="360" w:lineRule="auto"/>
        <w:jc w:val="center"/>
        <w:outlineLvl w:val="2"/>
        <w:rPr>
          <w:b/>
          <w:bCs/>
          <w:sz w:val="44"/>
          <w:szCs w:val="44"/>
        </w:rPr>
        <w:sectPr w:rsidR="00A32067">
          <w:pgSz w:w="11907" w:h="16840"/>
          <w:pgMar w:top="1134" w:right="1077" w:bottom="1134" w:left="1077" w:header="794" w:footer="567" w:gutter="284"/>
          <w:cols w:space="720"/>
          <w:docGrid w:linePitch="312"/>
        </w:sectPr>
      </w:pPr>
      <w:bookmarkStart w:id="97" w:name="_Toc519872324"/>
    </w:p>
    <w:p w:rsidR="00A32067" w:rsidRDefault="00A32067">
      <w:pPr>
        <w:spacing w:line="360" w:lineRule="auto"/>
        <w:jc w:val="center"/>
        <w:outlineLvl w:val="2"/>
        <w:rPr>
          <w:b/>
          <w:bCs/>
          <w:sz w:val="44"/>
          <w:szCs w:val="44"/>
        </w:rPr>
      </w:pPr>
      <w:r>
        <w:rPr>
          <w:rFonts w:cs="宋体" w:hint="eastAsia"/>
          <w:b/>
          <w:bCs/>
          <w:sz w:val="44"/>
          <w:szCs w:val="44"/>
        </w:rPr>
        <w:t>石家庄市新改扩建居民住宅项目配建教育设施</w:t>
      </w:r>
      <w:r>
        <w:rPr>
          <w:b/>
          <w:bCs/>
          <w:sz w:val="44"/>
          <w:szCs w:val="44"/>
        </w:rPr>
        <w:br/>
      </w:r>
      <w:r>
        <w:rPr>
          <w:rFonts w:cs="宋体" w:hint="eastAsia"/>
          <w:b/>
          <w:bCs/>
          <w:sz w:val="44"/>
          <w:szCs w:val="44"/>
        </w:rPr>
        <w:t>建设资金缴纳标准和管理使用办法</w:t>
      </w:r>
      <w:bookmarkEnd w:id="97"/>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第一条</w:t>
      </w:r>
      <w:r>
        <w:rPr>
          <w:rFonts w:cs="宋体" w:hint="eastAsia"/>
          <w:spacing w:val="24"/>
          <w:sz w:val="22"/>
          <w:szCs w:val="22"/>
        </w:rPr>
        <w:t>为建立健全石家庄市新建、改建、扩建居民住宅项目配建教育设施机制，加快我市基础教育事业发展，保障适龄儿童少年就近入园、入学需要，根据《石家庄市教育设施规划建设管理条例》和《石家庄市城乡规划管理技术规定》的相关规定，结合我市实际情况，制定本办法。</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第二条</w:t>
      </w:r>
      <w:r>
        <w:rPr>
          <w:rFonts w:cs="宋体" w:hint="eastAsia"/>
          <w:spacing w:val="24"/>
          <w:sz w:val="22"/>
          <w:szCs w:val="22"/>
        </w:rPr>
        <w:t>本办法适用于石家庄市长安区、新华区、桥西区和裕华区范围内，新建、改建、扩建居民住宅项目（不含各类保障性安置住房，以下简称居民住宅项目）配建教育设施建设资金的缴纳和管理使用。其他县（市）、区可参照本办法，结合当地实际情况，制定本辖区配建教育设施建设资金缴纳标准和管理使用办法。</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第三条</w:t>
      </w:r>
      <w:r>
        <w:rPr>
          <w:rFonts w:cs="宋体" w:hint="eastAsia"/>
          <w:spacing w:val="24"/>
          <w:sz w:val="22"/>
          <w:szCs w:val="22"/>
        </w:rPr>
        <w:t>配建教育设施包括居民住宅项目配套建设的幼儿园、小学和初级中学。配建教育设施建设资金包括配建幼儿园建设资金、配建小学建设资金和配建初中建设资金。</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第四条</w:t>
      </w:r>
      <w:r>
        <w:rPr>
          <w:rFonts w:cs="宋体" w:hint="eastAsia"/>
          <w:spacing w:val="24"/>
          <w:sz w:val="22"/>
          <w:szCs w:val="22"/>
        </w:rPr>
        <w:t>居民住宅项目因规划布局限制不能配建教育设施，或达不到我市规定的配建教育设施相应标准，开发建设单位应当分别缴纳相应的配建教育设施建设资金。</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第五条</w:t>
      </w:r>
      <w:r>
        <w:rPr>
          <w:rFonts w:cs="宋体" w:hint="eastAsia"/>
          <w:spacing w:val="24"/>
          <w:sz w:val="22"/>
          <w:szCs w:val="22"/>
        </w:rPr>
        <w:t>开发建设单位应当根据市规划部门下达的居民住宅项目规划条件要求和审定的建设项目规划设计方案中的居民住宅建筑面积，分别按照幼儿园</w:t>
      </w:r>
      <w:r>
        <w:rPr>
          <w:spacing w:val="24"/>
          <w:sz w:val="22"/>
          <w:szCs w:val="22"/>
        </w:rPr>
        <w:t>35</w:t>
      </w:r>
      <w:r>
        <w:rPr>
          <w:rFonts w:cs="宋体" w:hint="eastAsia"/>
          <w:spacing w:val="24"/>
          <w:sz w:val="22"/>
          <w:szCs w:val="22"/>
        </w:rPr>
        <w:t>元</w:t>
      </w:r>
      <w:r>
        <w:rPr>
          <w:spacing w:val="24"/>
          <w:sz w:val="22"/>
          <w:szCs w:val="22"/>
        </w:rPr>
        <w:t>/</w:t>
      </w:r>
      <w:r>
        <w:rPr>
          <w:rFonts w:cs="宋体" w:hint="eastAsia"/>
          <w:spacing w:val="24"/>
          <w:sz w:val="22"/>
          <w:szCs w:val="22"/>
        </w:rPr>
        <w:t>平方米、小学</w:t>
      </w:r>
      <w:r>
        <w:rPr>
          <w:spacing w:val="24"/>
          <w:sz w:val="22"/>
          <w:szCs w:val="22"/>
        </w:rPr>
        <w:t>75</w:t>
      </w:r>
      <w:r>
        <w:rPr>
          <w:rFonts w:cs="宋体" w:hint="eastAsia"/>
          <w:spacing w:val="24"/>
          <w:sz w:val="22"/>
          <w:szCs w:val="22"/>
        </w:rPr>
        <w:t>元</w:t>
      </w:r>
      <w:r>
        <w:rPr>
          <w:spacing w:val="24"/>
          <w:sz w:val="22"/>
          <w:szCs w:val="22"/>
        </w:rPr>
        <w:t>/</w:t>
      </w:r>
      <w:r>
        <w:rPr>
          <w:rFonts w:cs="宋体" w:hint="eastAsia"/>
          <w:spacing w:val="24"/>
          <w:sz w:val="22"/>
          <w:szCs w:val="22"/>
        </w:rPr>
        <w:t>平方米、初中</w:t>
      </w:r>
      <w:r>
        <w:rPr>
          <w:spacing w:val="24"/>
          <w:sz w:val="22"/>
          <w:szCs w:val="22"/>
        </w:rPr>
        <w:t>40</w:t>
      </w:r>
      <w:r>
        <w:rPr>
          <w:rFonts w:cs="宋体" w:hint="eastAsia"/>
          <w:spacing w:val="24"/>
          <w:sz w:val="22"/>
          <w:szCs w:val="22"/>
        </w:rPr>
        <w:t>元</w:t>
      </w:r>
      <w:r>
        <w:rPr>
          <w:spacing w:val="24"/>
          <w:sz w:val="22"/>
          <w:szCs w:val="22"/>
        </w:rPr>
        <w:t>/</w:t>
      </w:r>
      <w:r>
        <w:rPr>
          <w:rFonts w:cs="宋体" w:hint="eastAsia"/>
          <w:spacing w:val="24"/>
          <w:sz w:val="22"/>
          <w:szCs w:val="22"/>
        </w:rPr>
        <w:t>平方米的标准缴纳配建教育设施建设资金。其中：</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（一）居民住宅建筑面积不足</w:t>
      </w:r>
      <w:r>
        <w:rPr>
          <w:spacing w:val="24"/>
          <w:sz w:val="22"/>
          <w:szCs w:val="22"/>
        </w:rPr>
        <w:t>16.2</w:t>
      </w:r>
      <w:r>
        <w:rPr>
          <w:rFonts w:cs="宋体" w:hint="eastAsia"/>
          <w:spacing w:val="24"/>
          <w:sz w:val="22"/>
          <w:szCs w:val="22"/>
        </w:rPr>
        <w:t>万平方米的，不需要配建教育设施，应当缴纳配建幼儿园、小学和初中建设资金，缴纳标准为</w:t>
      </w:r>
      <w:r>
        <w:rPr>
          <w:spacing w:val="24"/>
          <w:sz w:val="22"/>
          <w:szCs w:val="22"/>
        </w:rPr>
        <w:t>150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（二）居民住宅建筑面积达到</w:t>
      </w:r>
      <w:r>
        <w:rPr>
          <w:spacing w:val="24"/>
          <w:sz w:val="22"/>
          <w:szCs w:val="22"/>
        </w:rPr>
        <w:t>16.2</w:t>
      </w:r>
      <w:r>
        <w:rPr>
          <w:rFonts w:cs="宋体" w:hint="eastAsia"/>
          <w:spacing w:val="24"/>
          <w:sz w:val="22"/>
          <w:szCs w:val="22"/>
        </w:rPr>
        <w:t>万平方米（含）不足</w:t>
      </w:r>
      <w:r>
        <w:rPr>
          <w:spacing w:val="24"/>
          <w:sz w:val="22"/>
          <w:szCs w:val="22"/>
        </w:rPr>
        <w:t>36.4</w:t>
      </w:r>
      <w:r>
        <w:rPr>
          <w:rFonts w:cs="宋体" w:hint="eastAsia"/>
          <w:spacing w:val="24"/>
          <w:sz w:val="22"/>
          <w:szCs w:val="22"/>
        </w:rPr>
        <w:t>万平方米的，应当按规定标准配建幼儿园，并缴纳配建小学和初中建设资金，缴纳标准为</w:t>
      </w:r>
      <w:r>
        <w:rPr>
          <w:spacing w:val="24"/>
          <w:sz w:val="22"/>
          <w:szCs w:val="22"/>
        </w:rPr>
        <w:t>115</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（三）居民住宅建筑面积达到</w:t>
      </w:r>
      <w:r>
        <w:rPr>
          <w:spacing w:val="24"/>
          <w:sz w:val="22"/>
          <w:szCs w:val="22"/>
        </w:rPr>
        <w:t>36.4</w:t>
      </w:r>
      <w:r>
        <w:rPr>
          <w:rFonts w:cs="宋体" w:hint="eastAsia"/>
          <w:spacing w:val="24"/>
          <w:sz w:val="22"/>
          <w:szCs w:val="22"/>
        </w:rPr>
        <w:t>万平方米（含）不足</w:t>
      </w:r>
      <w:r>
        <w:rPr>
          <w:spacing w:val="24"/>
          <w:sz w:val="22"/>
          <w:szCs w:val="22"/>
        </w:rPr>
        <w:t>80.5</w:t>
      </w:r>
      <w:r>
        <w:rPr>
          <w:rFonts w:cs="宋体" w:hint="eastAsia"/>
          <w:spacing w:val="24"/>
          <w:sz w:val="22"/>
          <w:szCs w:val="22"/>
        </w:rPr>
        <w:t>万平方米的，应当按规定标准配建幼儿园和小学，并缴纳配建初中建设资金，缴纳标准为</w:t>
      </w:r>
      <w:r>
        <w:rPr>
          <w:spacing w:val="24"/>
          <w:sz w:val="22"/>
          <w:szCs w:val="22"/>
        </w:rPr>
        <w:t>40</w:t>
      </w:r>
      <w:r>
        <w:rPr>
          <w:rFonts w:cs="宋体" w:hint="eastAsia"/>
          <w:spacing w:val="24"/>
          <w:sz w:val="22"/>
          <w:szCs w:val="22"/>
        </w:rPr>
        <w:t>元</w:t>
      </w:r>
      <w:r>
        <w:rPr>
          <w:spacing w:val="24"/>
          <w:sz w:val="22"/>
          <w:szCs w:val="22"/>
        </w:rPr>
        <w:t>/</w:t>
      </w:r>
      <w:r>
        <w:rPr>
          <w:rFonts w:cs="宋体" w:hint="eastAsia"/>
          <w:spacing w:val="24"/>
          <w:sz w:val="22"/>
          <w:szCs w:val="22"/>
        </w:rPr>
        <w:t>平方米。</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第六条</w:t>
      </w:r>
      <w:r>
        <w:rPr>
          <w:rFonts w:cs="宋体" w:hint="eastAsia"/>
          <w:spacing w:val="24"/>
          <w:sz w:val="22"/>
          <w:szCs w:val="22"/>
        </w:rPr>
        <w:t>根据市规划部门下达的居民住宅项目规划条件和审定的建设项目规划设计方案，满足下列情况的，开发建设单位不再缴纳相应的配建教育设施建设资金。其中：</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（一）周边无幼儿园服务的独立地段，居民住宅建筑面积达到</w:t>
      </w:r>
      <w:r>
        <w:rPr>
          <w:spacing w:val="24"/>
          <w:sz w:val="22"/>
          <w:szCs w:val="22"/>
        </w:rPr>
        <w:t>10.5</w:t>
      </w:r>
      <w:r>
        <w:rPr>
          <w:rFonts w:cs="宋体" w:hint="eastAsia"/>
          <w:spacing w:val="24"/>
          <w:sz w:val="22"/>
          <w:szCs w:val="22"/>
        </w:rPr>
        <w:t>万平方米（含）不足</w:t>
      </w:r>
      <w:r>
        <w:rPr>
          <w:spacing w:val="24"/>
          <w:sz w:val="22"/>
          <w:szCs w:val="22"/>
        </w:rPr>
        <w:t>16.2</w:t>
      </w:r>
      <w:r>
        <w:rPr>
          <w:rFonts w:cs="宋体" w:hint="eastAsia"/>
          <w:spacing w:val="24"/>
          <w:sz w:val="22"/>
          <w:szCs w:val="22"/>
        </w:rPr>
        <w:t>万平方米，并且按规定标准配建幼儿园的，可不再缴纳配建幼儿园建设资金。</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（二）周边无小学服务的独立地段，居民住宅建筑面积达到</w:t>
      </w:r>
      <w:r>
        <w:rPr>
          <w:spacing w:val="24"/>
          <w:sz w:val="22"/>
          <w:szCs w:val="22"/>
        </w:rPr>
        <w:t>24.3</w:t>
      </w:r>
      <w:r>
        <w:rPr>
          <w:rFonts w:cs="宋体" w:hint="eastAsia"/>
          <w:spacing w:val="24"/>
          <w:sz w:val="22"/>
          <w:szCs w:val="22"/>
        </w:rPr>
        <w:t>万平方米（含）不足</w:t>
      </w:r>
      <w:r>
        <w:rPr>
          <w:spacing w:val="24"/>
          <w:sz w:val="22"/>
          <w:szCs w:val="22"/>
        </w:rPr>
        <w:t>36.4</w:t>
      </w:r>
      <w:r>
        <w:rPr>
          <w:rFonts w:cs="宋体" w:hint="eastAsia"/>
          <w:spacing w:val="24"/>
          <w:sz w:val="22"/>
          <w:szCs w:val="22"/>
        </w:rPr>
        <w:t>万平方米，并且按规定标准配建幼儿园和小学的，可不再缴纳配建幼儿园和小学建设资金。</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（三）居民住宅建筑面积达到</w:t>
      </w:r>
      <w:r>
        <w:rPr>
          <w:spacing w:val="24"/>
          <w:sz w:val="22"/>
          <w:szCs w:val="22"/>
        </w:rPr>
        <w:t>80.5</w:t>
      </w:r>
      <w:r>
        <w:rPr>
          <w:rFonts w:cs="宋体" w:hint="eastAsia"/>
          <w:spacing w:val="24"/>
          <w:sz w:val="22"/>
          <w:szCs w:val="22"/>
        </w:rPr>
        <w:t>万平方米（含）及以上，并且按规定标准配建幼儿园、小学和初中的，可不再缴纳配建幼儿园、小学和初中建设资金。</w:t>
      </w:r>
    </w:p>
    <w:p w:rsidR="00A32067" w:rsidRDefault="00A32067" w:rsidP="005431C7">
      <w:pPr>
        <w:spacing w:line="400" w:lineRule="exact"/>
        <w:ind w:firstLineChars="200" w:firstLine="31680"/>
        <w:rPr>
          <w:spacing w:val="24"/>
          <w:sz w:val="22"/>
          <w:szCs w:val="22"/>
        </w:rPr>
      </w:pPr>
      <w:r>
        <w:rPr>
          <w:rFonts w:cs="宋体" w:hint="eastAsia"/>
          <w:spacing w:val="24"/>
          <w:sz w:val="22"/>
          <w:szCs w:val="22"/>
        </w:rPr>
        <w:t>（四）根据规划需要，居民住宅建筑面积达到</w:t>
      </w:r>
      <w:r>
        <w:rPr>
          <w:spacing w:val="24"/>
          <w:sz w:val="22"/>
          <w:szCs w:val="22"/>
        </w:rPr>
        <w:t>34.1</w:t>
      </w:r>
      <w:r>
        <w:rPr>
          <w:rFonts w:cs="宋体" w:hint="eastAsia"/>
          <w:spacing w:val="24"/>
          <w:sz w:val="22"/>
          <w:szCs w:val="22"/>
        </w:rPr>
        <w:t>万平方米（含）及以上，并且按规定标准配建幼儿园和九年一贯制学校的，可不再缴纳配建幼儿园、小学和初中建设资金。</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第七条</w:t>
      </w:r>
      <w:r>
        <w:rPr>
          <w:rFonts w:cs="宋体" w:hint="eastAsia"/>
          <w:spacing w:val="24"/>
          <w:sz w:val="22"/>
          <w:szCs w:val="22"/>
        </w:rPr>
        <w:t>配建教育设施建设资金由石家庄市地税部门负责收缴。开发建设单位在缴纳城市基础设施配套费的同时，应当按照本办法第五条规定的缴纳标准，依据市规划部门出具的缴纳配建教育设施建设资金书面意见和教育部门核算的缴纳金额，到项目所在地主管地税机关足额缴纳配建教育设施建设资金。按标准足额缴纳配建教育设施建设资金的，由地税机关出具非税收入一般缴款书。对未按标准足额缴纳配建教育设施建设资金的住宅项目，地税部门要通过综合治税信息平台，加强对开发建设单位的监管；住建、房产、规划、国土等部门要采取综合措施，确保其按标准足额缴纳。</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第八条</w:t>
      </w:r>
      <w:r>
        <w:rPr>
          <w:rFonts w:cs="宋体" w:hint="eastAsia"/>
          <w:spacing w:val="24"/>
          <w:sz w:val="22"/>
          <w:szCs w:val="22"/>
        </w:rPr>
        <w:t>配建教育设施建设资金按标准统一收取后，全额缴入市级国库，统筹安排用于各区政府建设中小学、幼儿园，扩建现有中小学、幼儿园的校舍和场地，或者按照经市财政评审的建安成本补偿居民住宅项目超规模配建的教育设施，以满足区域内适龄儿童少年就近入园、入学需要。</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第九条</w:t>
      </w:r>
      <w:r>
        <w:rPr>
          <w:rFonts w:cs="宋体" w:hint="eastAsia"/>
          <w:spacing w:val="24"/>
          <w:sz w:val="22"/>
          <w:szCs w:val="22"/>
        </w:rPr>
        <w:t>居民住宅项目超规模配建的教育设施，是指根据区域规划和教育设施布局，需要居民住宅项目配建的教育设施同时承担周边其他居民住宅项目适龄儿童少年就近入园、入学任务，而超出本项目应配建教育设施规模的部分。超规模配建教育设施的，经教育部门认定后在居民住宅项目规划条件中予以说明。因配建教育设施办学轨制原因自然上浮的，不属于超规模配建教育设施。</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第十条</w:t>
      </w:r>
      <w:r>
        <w:rPr>
          <w:rFonts w:cs="宋体" w:hint="eastAsia"/>
          <w:spacing w:val="24"/>
          <w:sz w:val="22"/>
          <w:szCs w:val="22"/>
        </w:rPr>
        <w:t>市教育部门根据各区下年度中小学、幼儿园建设和补偿计划，商市财政部门预测配建教育设施建设资金收入预算，提出配建教育设施建设资金使用计划，报市政府审批后列入下年度预算。预算批复后，市财政、教育部门按照预算安排将资金下达各区。</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第十一条</w:t>
      </w:r>
      <w:r>
        <w:rPr>
          <w:rFonts w:cs="宋体" w:hint="eastAsia"/>
          <w:spacing w:val="24"/>
          <w:sz w:val="22"/>
          <w:szCs w:val="22"/>
        </w:rPr>
        <w:t>配建教育设施建设资金实行</w:t>
      </w:r>
      <w:r>
        <w:rPr>
          <w:spacing w:val="24"/>
          <w:sz w:val="22"/>
          <w:szCs w:val="22"/>
        </w:rPr>
        <w:t>“</w:t>
      </w:r>
      <w:r>
        <w:rPr>
          <w:rFonts w:cs="宋体" w:hint="eastAsia"/>
          <w:spacing w:val="24"/>
          <w:sz w:val="22"/>
          <w:szCs w:val="22"/>
        </w:rPr>
        <w:t>收支两条线</w:t>
      </w:r>
      <w:r>
        <w:rPr>
          <w:spacing w:val="24"/>
          <w:sz w:val="22"/>
          <w:szCs w:val="22"/>
        </w:rPr>
        <w:t>”</w:t>
      </w:r>
      <w:r>
        <w:rPr>
          <w:rFonts w:cs="宋体" w:hint="eastAsia"/>
          <w:spacing w:val="24"/>
          <w:sz w:val="22"/>
          <w:szCs w:val="22"/>
        </w:rPr>
        <w:t>管理，接受财政、审计部门的监督和审计，任何单位不得违规审批或擅自减免、截留、挪用配建教育设施建设资金。对于违规审批或擅自减免、截留、挪用配建教育设施建设资金的，由纪检监察机关对有关负责人和直接责任人按规定给予党纪、政纪处分；构成犯罪的，依法追究法律责任。</w:t>
      </w:r>
    </w:p>
    <w:p w:rsidR="00A32067" w:rsidRDefault="00A32067" w:rsidP="005431C7">
      <w:pPr>
        <w:spacing w:line="400" w:lineRule="exact"/>
        <w:ind w:firstLineChars="200" w:firstLine="31680"/>
        <w:rPr>
          <w:spacing w:val="24"/>
          <w:sz w:val="22"/>
          <w:szCs w:val="22"/>
        </w:rPr>
      </w:pPr>
      <w:r>
        <w:rPr>
          <w:rFonts w:cs="宋体" w:hint="eastAsia"/>
          <w:b/>
          <w:bCs/>
          <w:spacing w:val="24"/>
          <w:sz w:val="22"/>
          <w:szCs w:val="22"/>
        </w:rPr>
        <w:t>第十二条</w:t>
      </w:r>
      <w:r>
        <w:rPr>
          <w:rFonts w:cs="宋体" w:hint="eastAsia"/>
          <w:spacing w:val="24"/>
          <w:sz w:val="22"/>
          <w:szCs w:val="22"/>
        </w:rPr>
        <w:t>根据我市经济社会发展和工程造价水平变化情况，适时对配建教育设施建设资金缴纳标准进行评估，并根据评估情况进行调整。</w:t>
      </w:r>
    </w:p>
    <w:p w:rsidR="00A32067" w:rsidRDefault="00A32067">
      <w:pPr>
        <w:spacing w:line="220" w:lineRule="atLeast"/>
        <w:rPr>
          <w:spacing w:val="24"/>
          <w:sz w:val="24"/>
          <w:szCs w:val="24"/>
        </w:rPr>
      </w:pPr>
    </w:p>
    <w:p w:rsidR="00A32067" w:rsidRDefault="00A32067" w:rsidP="0002085C">
      <w:pPr>
        <w:pStyle w:val="NormalWeb"/>
        <w:shd w:val="clear" w:color="auto" w:fill="FFFFFF"/>
        <w:spacing w:beforeLines="50" w:beforeAutospacing="0" w:afterLines="100" w:afterAutospacing="0" w:line="360" w:lineRule="auto"/>
        <w:jc w:val="center"/>
        <w:outlineLvl w:val="2"/>
        <w:rPr>
          <w:rFonts w:ascii="Times New Roman" w:hAnsi="Times New Roman" w:cs="Times New Roman"/>
          <w:b/>
          <w:bCs/>
          <w:color w:val="333333"/>
          <w:spacing w:val="10"/>
          <w:sz w:val="44"/>
          <w:szCs w:val="44"/>
        </w:rPr>
      </w:pPr>
      <w:bookmarkStart w:id="98" w:name="_Toc519872325"/>
      <w:r>
        <w:rPr>
          <w:rFonts w:ascii="Times New Roman" w:hAnsi="Times New Roman" w:hint="eastAsia"/>
          <w:b/>
          <w:bCs/>
          <w:color w:val="333333"/>
          <w:spacing w:val="10"/>
          <w:sz w:val="44"/>
          <w:szCs w:val="44"/>
        </w:rPr>
        <w:t>河北省建筑工程造价管理办法</w:t>
      </w:r>
      <w:r>
        <w:rPr>
          <w:rFonts w:ascii="Times New Roman" w:hAnsi="Times New Roman" w:cs="Times New Roman"/>
          <w:b/>
          <w:bCs/>
          <w:color w:val="333333"/>
          <w:spacing w:val="10"/>
          <w:sz w:val="44"/>
          <w:szCs w:val="44"/>
        </w:rPr>
        <w:br/>
      </w:r>
      <w:r>
        <w:rPr>
          <w:rFonts w:ascii="Times New Roman" w:hAnsi="Times New Roman" w:hint="eastAsia"/>
          <w:color w:val="000000"/>
          <w:sz w:val="22"/>
          <w:szCs w:val="22"/>
        </w:rPr>
        <w:t>政府令〔</w:t>
      </w:r>
      <w:r>
        <w:rPr>
          <w:rFonts w:ascii="Times New Roman" w:hAnsi="Times New Roman" w:cs="Times New Roman"/>
          <w:color w:val="000000"/>
          <w:sz w:val="22"/>
          <w:szCs w:val="22"/>
        </w:rPr>
        <w:t>2014</w:t>
      </w:r>
      <w:r>
        <w:rPr>
          <w:rFonts w:ascii="Times New Roman" w:hAnsi="Times New Roman" w:hint="eastAsia"/>
          <w:color w:val="000000"/>
          <w:sz w:val="22"/>
          <w:szCs w:val="22"/>
        </w:rPr>
        <w:t>〕</w:t>
      </w:r>
      <w:r>
        <w:rPr>
          <w:rFonts w:ascii="Times New Roman" w:hAnsi="Times New Roman" w:cs="Times New Roman"/>
          <w:color w:val="000000"/>
          <w:sz w:val="22"/>
          <w:szCs w:val="22"/>
        </w:rPr>
        <w:t>8</w:t>
      </w:r>
      <w:r>
        <w:rPr>
          <w:rFonts w:ascii="Times New Roman" w:hAnsi="Times New Roman" w:hint="eastAsia"/>
          <w:color w:val="000000"/>
          <w:sz w:val="22"/>
          <w:szCs w:val="22"/>
        </w:rPr>
        <w:t>号</w:t>
      </w:r>
      <w:bookmarkEnd w:id="98"/>
    </w:p>
    <w:p w:rsidR="00A32067" w:rsidRDefault="00A32067" w:rsidP="005431C7">
      <w:pPr>
        <w:spacing w:line="360" w:lineRule="auto"/>
        <w:ind w:firstLineChars="200" w:firstLine="31680"/>
        <w:rPr>
          <w:spacing w:val="24"/>
          <w:sz w:val="22"/>
          <w:szCs w:val="22"/>
        </w:rPr>
      </w:pPr>
      <w:r>
        <w:rPr>
          <w:rFonts w:cs="宋体" w:hint="eastAsia"/>
          <w:spacing w:val="24"/>
          <w:sz w:val="22"/>
          <w:szCs w:val="22"/>
        </w:rPr>
        <w:t>《河北省建筑工程造价管理办法》已经</w:t>
      </w:r>
      <w:r>
        <w:rPr>
          <w:spacing w:val="24"/>
          <w:sz w:val="22"/>
          <w:szCs w:val="22"/>
        </w:rPr>
        <w:t>2014</w:t>
      </w:r>
      <w:r>
        <w:rPr>
          <w:rFonts w:cs="宋体" w:hint="eastAsia"/>
          <w:spacing w:val="24"/>
          <w:sz w:val="22"/>
          <w:szCs w:val="22"/>
        </w:rPr>
        <w:t>年</w:t>
      </w:r>
      <w:r>
        <w:rPr>
          <w:spacing w:val="24"/>
          <w:sz w:val="22"/>
          <w:szCs w:val="22"/>
        </w:rPr>
        <w:t>10</w:t>
      </w:r>
      <w:r>
        <w:rPr>
          <w:rFonts w:cs="宋体" w:hint="eastAsia"/>
          <w:spacing w:val="24"/>
          <w:sz w:val="22"/>
          <w:szCs w:val="22"/>
        </w:rPr>
        <w:t>月</w:t>
      </w:r>
      <w:r>
        <w:rPr>
          <w:spacing w:val="24"/>
          <w:sz w:val="22"/>
          <w:szCs w:val="22"/>
        </w:rPr>
        <w:t>24</w:t>
      </w:r>
      <w:r>
        <w:rPr>
          <w:rFonts w:cs="宋体" w:hint="eastAsia"/>
          <w:spacing w:val="24"/>
          <w:sz w:val="22"/>
          <w:szCs w:val="22"/>
        </w:rPr>
        <w:t>日省政府第</w:t>
      </w:r>
      <w:r>
        <w:rPr>
          <w:spacing w:val="24"/>
          <w:sz w:val="22"/>
          <w:szCs w:val="22"/>
        </w:rPr>
        <w:t>34</w:t>
      </w:r>
      <w:r>
        <w:rPr>
          <w:rFonts w:cs="宋体" w:hint="eastAsia"/>
          <w:spacing w:val="24"/>
          <w:sz w:val="22"/>
          <w:szCs w:val="22"/>
        </w:rPr>
        <w:t>次常务会议通过，现予公布，自</w:t>
      </w:r>
      <w:r>
        <w:rPr>
          <w:spacing w:val="24"/>
          <w:sz w:val="22"/>
          <w:szCs w:val="22"/>
        </w:rPr>
        <w:t>2015</w:t>
      </w:r>
      <w:r>
        <w:rPr>
          <w:rFonts w:cs="宋体" w:hint="eastAsia"/>
          <w:spacing w:val="24"/>
          <w:sz w:val="22"/>
          <w:szCs w:val="22"/>
        </w:rPr>
        <w:t>年</w:t>
      </w:r>
      <w:r>
        <w:rPr>
          <w:spacing w:val="24"/>
          <w:sz w:val="22"/>
          <w:szCs w:val="22"/>
        </w:rPr>
        <w:t>1</w:t>
      </w:r>
      <w:r>
        <w:rPr>
          <w:rFonts w:cs="宋体" w:hint="eastAsia"/>
          <w:spacing w:val="24"/>
          <w:sz w:val="22"/>
          <w:szCs w:val="22"/>
        </w:rPr>
        <w:t>月</w:t>
      </w:r>
      <w:r>
        <w:rPr>
          <w:spacing w:val="24"/>
          <w:sz w:val="22"/>
          <w:szCs w:val="22"/>
        </w:rPr>
        <w:t>1</w:t>
      </w:r>
      <w:r>
        <w:rPr>
          <w:rFonts w:cs="宋体" w:hint="eastAsia"/>
          <w:spacing w:val="24"/>
          <w:sz w:val="22"/>
          <w:szCs w:val="22"/>
        </w:rPr>
        <w:t>日起施行。</w:t>
      </w:r>
    </w:p>
    <w:p w:rsidR="00A32067" w:rsidRDefault="00A32067">
      <w:pPr>
        <w:pStyle w:val="NormalWeb"/>
        <w:spacing w:line="360" w:lineRule="auto"/>
        <w:ind w:right="288"/>
        <w:jc w:val="right"/>
        <w:rPr>
          <w:rFonts w:ascii="Times New Roman" w:hAnsi="Times New Roman" w:cs="Times New Roman"/>
          <w:spacing w:val="24"/>
          <w:kern w:val="2"/>
          <w:sz w:val="22"/>
          <w:szCs w:val="22"/>
        </w:rPr>
      </w:pPr>
      <w:r>
        <w:rPr>
          <w:rFonts w:ascii="Times New Roman" w:eastAsia="微软雅黑" w:hAnsi="Times New Roman" w:cs="微软雅黑" w:hint="eastAsia"/>
          <w:spacing w:val="24"/>
          <w:kern w:val="2"/>
        </w:rPr>
        <w:t xml:space="preserve">　　</w:t>
      </w:r>
      <w:r>
        <w:rPr>
          <w:rFonts w:ascii="Times New Roman" w:hAnsi="Times New Roman" w:hint="eastAsia"/>
          <w:spacing w:val="24"/>
          <w:kern w:val="2"/>
          <w:sz w:val="22"/>
          <w:szCs w:val="22"/>
        </w:rPr>
        <w:t>省长张庆伟</w:t>
      </w:r>
    </w:p>
    <w:p w:rsidR="00A32067" w:rsidRDefault="00A32067">
      <w:pPr>
        <w:pStyle w:val="NormalWeb"/>
        <w:spacing w:line="360" w:lineRule="auto"/>
        <w:jc w:val="right"/>
        <w:rPr>
          <w:rFonts w:ascii="Times New Roman" w:hAnsi="Times New Roman" w:cs="Times New Roman"/>
          <w:spacing w:val="24"/>
          <w:sz w:val="22"/>
          <w:szCs w:val="22"/>
        </w:rPr>
      </w:pPr>
      <w:r>
        <w:rPr>
          <w:rFonts w:ascii="Times New Roman" w:eastAsia="微软雅黑" w:hAnsi="Times New Roman" w:cs="微软雅黑" w:hint="eastAsia"/>
          <w:spacing w:val="24"/>
        </w:rPr>
        <w:t xml:space="preserve">　　</w:t>
      </w:r>
      <w:r>
        <w:rPr>
          <w:rFonts w:ascii="Times New Roman" w:hAnsi="Times New Roman" w:cs="Times New Roman"/>
          <w:spacing w:val="24"/>
          <w:sz w:val="22"/>
          <w:szCs w:val="22"/>
        </w:rPr>
        <w:t>2014</w:t>
      </w:r>
      <w:r>
        <w:rPr>
          <w:rFonts w:ascii="Times New Roman" w:hAnsi="Times New Roman" w:hint="eastAsia"/>
          <w:spacing w:val="24"/>
          <w:sz w:val="22"/>
          <w:szCs w:val="22"/>
        </w:rPr>
        <w:t>年</w:t>
      </w:r>
      <w:r>
        <w:rPr>
          <w:rFonts w:ascii="Times New Roman" w:hAnsi="Times New Roman" w:cs="Times New Roman"/>
          <w:spacing w:val="24"/>
          <w:sz w:val="22"/>
          <w:szCs w:val="22"/>
        </w:rPr>
        <w:t>11</w:t>
      </w:r>
      <w:r>
        <w:rPr>
          <w:rFonts w:ascii="Times New Roman" w:hAnsi="Times New Roman" w:hint="eastAsia"/>
          <w:spacing w:val="24"/>
          <w:sz w:val="22"/>
          <w:szCs w:val="22"/>
        </w:rPr>
        <w:t>月</w:t>
      </w:r>
      <w:r>
        <w:rPr>
          <w:rFonts w:ascii="Times New Roman" w:hAnsi="Times New Roman" w:cs="Times New Roman"/>
          <w:spacing w:val="24"/>
          <w:sz w:val="22"/>
          <w:szCs w:val="22"/>
        </w:rPr>
        <w:t>11</w:t>
      </w:r>
      <w:r>
        <w:rPr>
          <w:rFonts w:ascii="Times New Roman" w:hAnsi="Times New Roman" w:hint="eastAsia"/>
          <w:spacing w:val="24"/>
          <w:sz w:val="22"/>
          <w:szCs w:val="22"/>
        </w:rPr>
        <w:t>日</w:t>
      </w:r>
    </w:p>
    <w:p w:rsidR="00A32067" w:rsidRDefault="00A32067">
      <w:pPr>
        <w:jc w:val="center"/>
        <w:rPr>
          <w:rFonts w:eastAsia="微软雅黑"/>
          <w:b/>
          <w:bCs/>
          <w:color w:val="2F2F2F"/>
          <w:sz w:val="36"/>
          <w:szCs w:val="36"/>
        </w:rPr>
      </w:pPr>
      <w:r>
        <w:rPr>
          <w:rFonts w:eastAsia="微软雅黑" w:cs="微软雅黑" w:hint="eastAsia"/>
          <w:color w:val="2F2F2F"/>
        </w:rPr>
        <w:t xml:space="preserve">　　</w:t>
      </w:r>
      <w:r>
        <w:rPr>
          <w:rFonts w:cs="宋体" w:hint="eastAsia"/>
          <w:b/>
          <w:bCs/>
          <w:sz w:val="44"/>
          <w:szCs w:val="44"/>
        </w:rPr>
        <w:t>河北省建筑工程造价管理办法</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第一章</w:t>
      </w:r>
      <w:r>
        <w:rPr>
          <w:rFonts w:ascii="Times New Roman" w:hAnsi="Times New Roman" w:cs="Times New Roman"/>
          <w:b/>
          <w:bCs/>
          <w:color w:val="333333"/>
        </w:rPr>
        <w:t> </w:t>
      </w:r>
      <w:r>
        <w:rPr>
          <w:rFonts w:ascii="Times New Roman" w:hAnsi="Times New Roman" w:hint="eastAsia"/>
          <w:b/>
          <w:bCs/>
          <w:color w:val="333333"/>
        </w:rPr>
        <w:t>总</w:t>
      </w:r>
      <w:r>
        <w:rPr>
          <w:rFonts w:ascii="Times New Roman" w:hAnsi="Times New Roman" w:cs="Times New Roman"/>
          <w:b/>
          <w:bCs/>
          <w:color w:val="333333"/>
        </w:rPr>
        <w:t xml:space="preserve">  </w:t>
      </w:r>
      <w:r>
        <w:rPr>
          <w:rFonts w:ascii="Times New Roman" w:hAnsi="Times New Roman" w:hint="eastAsia"/>
          <w:b/>
          <w:bCs/>
          <w:color w:val="333333"/>
        </w:rPr>
        <w:t>则</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第一条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为规范建筑工程造价活动，保证工程质量和安全，维护工程建设各方合法权益，促进建筑市场健康发展，根据《中华人民共和国建筑法》、《河北省建筑条例》等有关法律、法规的规定，结合本省实际，制定本办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在本省行政区域内从事建筑工程造价活动及其监督管理工作，适用本办法。交通运输、水利等工程的造价管理，按照有关法律、法规和国家规定执行。</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本办法所称建筑工程，是指各类房屋建筑和市政基础设施以及与其配套的线路、管道、设备安装工程。</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本办法所称建筑工程造价，是指建筑工程从筹建到竣工验收交付，因工程建设活动所需发生的费用，包括建筑安装工程费用、设备购置费用、工程建设其他费用、预备费以及按照国家和本省规定应当计入的费用。</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从事建筑工程造价活动应当遵循公平、合法、诚实信用的原则，不得损害国家利益、社会公共利益和他人的合法权益。</w:t>
      </w:r>
    </w:p>
    <w:p w:rsidR="00A32067" w:rsidRDefault="00A32067">
      <w:pPr>
        <w:pStyle w:val="NormalWeb"/>
        <w:spacing w:before="0" w:beforeAutospacing="0" w:after="0" w:afterAutospacing="0" w:line="360" w:lineRule="auto"/>
        <w:ind w:firstLine="54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第四条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省、设区的市、县（市）人民政府应当建立建筑工程造价管理制度，完善监督管理机制，督促有关部门依法做好建筑工程造价管理工作。</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第五条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省、设区的市、县（市）人民政府住房城乡建设主管部门负责本行政区域内建筑工程造价活动的监督管理工作，具体工作可以委托其所属的工程造价管理机构实施。</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省、设区的市、县（市）人民政府发展改革、财政、审计等部门，按照各自职责负责相关的建筑工程造价活动的监督管理工作。</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第二章</w:t>
      </w:r>
      <w:r>
        <w:rPr>
          <w:rFonts w:ascii="Times New Roman" w:hAnsi="Times New Roman" w:cs="Times New Roman"/>
          <w:b/>
          <w:bCs/>
          <w:color w:val="333333"/>
        </w:rPr>
        <w:t> </w:t>
      </w:r>
      <w:r>
        <w:rPr>
          <w:rFonts w:ascii="Times New Roman" w:hAnsi="Times New Roman" w:hint="eastAsia"/>
          <w:b/>
          <w:bCs/>
          <w:color w:val="333333"/>
        </w:rPr>
        <w:t>工程造价计价依据</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hAnsi="Times New Roman" w:hint="eastAsia"/>
          <w:b/>
          <w:bCs/>
          <w:spacing w:val="24"/>
          <w:kern w:val="2"/>
          <w:sz w:val="22"/>
          <w:szCs w:val="22"/>
        </w:rPr>
        <w:t>第六条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建筑工程造价计价是指对建筑工程造价进行确定与控制的活动，主要包括下列内容：</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（一）编制和审核投资估算、设计概算、施工图预算、工程量清单、最高投标限价、招标标底、投标报价、工程结算和决算；</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（二）合同价款的约定和调整；</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（三）工程计量、工程价款支付；</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（四）工程费用索赔和签证变更计价；</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（五）工程造价的鉴定和争议处理。</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第七条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建筑工程造价计价依据是指用来合理确定和有效控制建筑工程造价的标准，主要包括下列内容：</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（一）投资估算指标、概算指标、概算定额及其基价；</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（二）预算定额或者消耗量定额及其基价；</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（三）费用定额、工期定额、劳动定额；</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（四）工程量清单计价规范、规程；</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（五）工程量计算规范、规则以及计价办法；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（六）人工、材料、设备、施工机械台班价格；</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（七）国家和本省规定的其他计价依据。</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投资估算指标、概算指标、概算定额由省人民政府住房城乡建设主管部门会同省人民政府发展改革部门编制、发布；其他计价依据由省人民政府住房城乡建设主管部门编制、发布。</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第八条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编制建筑工程造价计价依据应当根据法律、法规、规章和工程建设标准，并与经济社会和工程技术发展水平以及市场状况相适应。</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编制建筑工程造价计价依据应当采取论证会、座谈会或者其他方式，征求并听取工程建设各方以及有关专家的意见。</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第九条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省、设区的市人民政府住房城乡建设主管部门应当及时采集和整理人工、材料、设备、施工机械台班价格和工程造价指标、价格变化趋势等信息，定期向社会发布。</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省、设区的市人民政府住房城乡建设主管部门应当建立建筑工程造价信息数据库，及时更新工程造价信息。</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鼓励开发、应用建筑工程造价软件。</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软件开发单位销售的建筑工程造价软件应当符合国家和本省有关规定，并经过有关专家评审。</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第三章</w:t>
      </w:r>
      <w:r>
        <w:rPr>
          <w:rFonts w:ascii="Times New Roman" w:hAnsi="Times New Roman" w:cs="Times New Roman"/>
          <w:b/>
          <w:bCs/>
          <w:color w:val="333333"/>
        </w:rPr>
        <w:t> </w:t>
      </w:r>
      <w:r>
        <w:rPr>
          <w:rFonts w:ascii="Times New Roman" w:hAnsi="Times New Roman" w:hint="eastAsia"/>
          <w:b/>
          <w:bCs/>
          <w:color w:val="333333"/>
        </w:rPr>
        <w:t>工程造价确定</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hAnsi="Times New Roman" w:hint="eastAsia"/>
          <w:b/>
          <w:bCs/>
          <w:spacing w:val="24"/>
          <w:kern w:val="2"/>
          <w:sz w:val="22"/>
          <w:szCs w:val="22"/>
        </w:rPr>
        <w:t>第十一条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建设、施工等单位及其委托的工程造价咨询企业应当按照国家和本省有关规定，在工程建设不同阶段分别编制投资估算、设计概算、施工图预算、工程结算和决算等建筑工程造价计价文件。</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编制建筑工程造价计价文件，应当依据工程条件、设计文件、计价依据以及有关资料，并考虑工程建设期间的市场价格、利率、汇率变化等因素。</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第十二条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使用国有资金投资或者国家融资的建筑工程，经批准的投资估算、设计概算是控制工程造价的主要依据，不得随意突破；确需调整且超过国家和本省规定比例或者数额的，应当经原审批部门批准，并加强审计监督。</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第十三条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使用国有资金投资或者国家融资的建筑工程，应当采用工程量清单计价，并在招标时设立和发布最高投标限价。</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前款规定以外的建筑工程，鼓励采用工程量清单计价，在招标时可以设立和发布最高投标限价或者招标标底。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最高投标限价及其成果文件，应当由招标人报建筑工程所在地人民政府住房城乡建设主管部门备案。</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第十四条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建筑工程造价中的社会保障费、住房公积金、职工教育经费、工程排污费、安全生产文明施工费等项目，应当按照国家和本省规定的标准计取，不得降低，不得作为招标投标的竞争性费用。</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第十五条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建筑工程发包、承包双方签订的施工合同应当对下列工程造价事项作出约定：</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（一）工程计价方式和计价依据；</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（二）安全生产文明施工费的支付计划、使用要求；</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（三）工程材料、设备的供应方式、价款确定和结算方式；</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（四）工程价款的调整因素、方法、时限；</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（五）合同风险的范围、幅度、承担方式和风险超出约定时合同价款的调整办法；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（六）索赔事项和现场签证的程序、金额确认与支付时间；</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（七）提高工程质量标准或者压缩定额工期导致工程费用增加的计算方法；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（八）施工工期拖延违约责任和工期提前竣工奖励办法；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（九）工程竣工结算审核的方式和时限，工程预付款、工程进度款、工程结算价款的拨付数额、方式、时限；</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（十）工程质量保证金的数额、预扣方式和支付时限；</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（十一）工程计价争议的解决方式。</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第十六条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施工合同应当约定发生下列情形时合同价款的调整方法：</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（一）法律、法规、规章以及国家和本省有关政策变化影响合同价款的；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（二）工程造价管理机构发布价格调整信息的；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（三）经批准变更设计的；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（四）发包方更改经审定批准的施工组织设计造成费用增加的。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第十七条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经依法备案的施工合同应当作为工程造价活动、建筑工程结算、工程造价争议解决的依据。</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使用国有资金投资或者国家融资的建筑工程施工合同中涉及的工程造价事项明显与实际不符的，工程造价管理机构可以提出意见和建议。</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第十八条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建筑工程完工后，承包方应当在双方约定期限内向发包方提交竣工结算文件。</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使用国有资金投资或者国家融资的建筑工程发包方，应当在收到竣工结算文件后的双方约定期限内，向承包方提出由工程造价咨询企业出具的竣工结算文件审核意见。未在约定期限内提出审核意见的，按照合同的有关约定处理；合同没有约定的，竣工结算文件视为已被认可。</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前款规定以外的建筑工程发包方，应当在收到竣工结算文件后的双方约定期限内予以答复。未在约定期限内答复的，按照合同的有关约定处理；合同没有约定的，竣工结算文件视为已被认可。发包方对竣工结算文件有异议的，应当在双方约定期限内向承包方提出，并可以自提出异议之日起的约定协商期限内与承包方协商；未在约定协商期限内协商或者经协商未能达成协议的，发包方应当在协商期满后的约定期限内，向承包方提出由工程造价咨询企业出具的竣工结算文件审核意见。</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承包方对发包方委托工程造价咨询企业出具的竣工结算文件审核意见有异议的，可以自接到审核意见之日起三十日内，向工程造价管理机构或者有关行业组织申请调解；调解不成的，可以依法申请仲裁或者向人民法院提起诉讼。</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本条第一款、第二款、第三款规定的双方约定期限、协商期限在施工合同中未明确的，按照国家和本省的有关规定执行；国家和本省没有规定的，可以认定其期限为二十八日。</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第十九条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经发包方与承包方签字确认的工程竣工结算文件，应当作为工程决算的依据，未经一方同意，另一方不得对已生效的竣工结算文件委托工程造价咨询企业重复审核。发包方应当按照竣工结算文件及时支付竣工结算款。</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工程竣工验收合格后二十八日内，建设单位应当将竣工结算文件报工程所在地人民政府住房城乡建设主管部门备案。</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第四章</w:t>
      </w:r>
      <w:r>
        <w:rPr>
          <w:rFonts w:ascii="Times New Roman" w:hAnsi="Times New Roman" w:cs="Times New Roman"/>
          <w:b/>
          <w:bCs/>
          <w:color w:val="333333"/>
        </w:rPr>
        <w:t> </w:t>
      </w:r>
      <w:r>
        <w:rPr>
          <w:rFonts w:ascii="Times New Roman" w:hAnsi="Times New Roman" w:hint="eastAsia"/>
          <w:b/>
          <w:bCs/>
          <w:color w:val="333333"/>
        </w:rPr>
        <w:t>工程造价从业管理</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hAnsi="Times New Roman" w:hint="eastAsia"/>
          <w:b/>
          <w:bCs/>
          <w:spacing w:val="24"/>
          <w:kern w:val="2"/>
          <w:sz w:val="22"/>
          <w:szCs w:val="22"/>
        </w:rPr>
        <w:t>第二十一条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从事工程造价咨询活动的企业，应当依法取得工程造价咨询资质，并在资质许可的范围内从事工程造价咨询活动。</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未依法取得资质或者超越资质许可范围从事工程造价咨询活动的，其出具的工程造价成果文件无效。</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第二十二条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工程造价咨询企业从事工程造价咨询活动，应当按照有关规定出具工程造价成果文件，并承担相应的法律责任。</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工程造价成果文件应当由工程造价咨询企业加盖执业印章，并由执行咨询业务的注册造价工程师或者工程造价员签字、加盖执业印章。</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第二十三条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工程造价咨询企业设立分支机构或者省外工程造价咨询企业在本省从事工程造价咨询活动，应当符合国家和本省的有关规定。</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第二十四条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工程造价咨询企业承接工程造价咨询业务，应当与委托人签订书面合同。书面合同格式可以参照国家和本省制定的合同示范文本。</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第二十五条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工程造价咨询企业从事工程造价咨询活动，不得有下列行为：</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（一）涂改、倒卖、出租、出借或者以其他形式非法转让资质证书；</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（二）超越资质等级业务范围承接工程造价咨询业务；</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（三）出具有虚假记载、误导性陈述的工程造价成果文件；</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（四）同时接受招标人和投标人或者两个以上投标人对同一工程项目的工程造价咨询业务；</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（五）以给予回扣、恶意压低收费等方式进行不正当竞争；</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（六）转包承接的工程造价咨询业务。</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第二十六条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使用国有资金投资或者国家融资的建筑工程，造价咨询服务费的标准由省人民政府价格主管部门会同省人民政府住房城乡建设主管部门制定。</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第二十七条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工程造价咨询企业应当建立工程造价咨询业务编审质量控制、技术档案和财务管理等制度。</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第二十八条</w:t>
      </w:r>
      <w:r>
        <w:rPr>
          <w:rFonts w:ascii="Times New Roman" w:hAnsi="Times New Roman" w:hint="eastAsia"/>
          <w:spacing w:val="24"/>
          <w:kern w:val="2"/>
          <w:sz w:val="22"/>
          <w:szCs w:val="22"/>
        </w:rPr>
        <w:t>工程造价从业人员应当依法取得造价工程师注册证书或者工程造价员资格证书，按照国家和本省有关规定从业，并对其签字、加盖执业印章的工程造价成果文件承担相应的法律责任。</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第二十九条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工程造价从业人员从事工程造价咨询活动，不得有下列行为：</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（一）涂改、倒卖、出租、出借或者以其他形式非法转让注册证书、资格证书或者执业印章；</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（二）索贿、受贿或者谋取合同约定费以外的其他利益；</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（三）实施商业贿赂；</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（四）签署有虚假记载、误导性陈述的工程造价成果文件；</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（五）以个人名义承接工程造价业务；</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（六）允许他人以自己名义从事工程造价活动；</w:t>
      </w:r>
    </w:p>
    <w:p w:rsidR="00A32067" w:rsidRDefault="00A32067">
      <w:pPr>
        <w:pStyle w:val="NormalWeb"/>
        <w:spacing w:before="0" w:beforeAutospacing="0" w:after="0" w:afterAutospacing="0" w:line="360" w:lineRule="auto"/>
        <w:rPr>
          <w:rFonts w:ascii="Times New Roman" w:eastAsia="微软雅黑" w:hAnsi="Times New Roman" w:cs="Times New Roman"/>
          <w:spacing w:val="24"/>
          <w:kern w:val="2"/>
        </w:rPr>
      </w:pPr>
      <w:r>
        <w:rPr>
          <w:rFonts w:ascii="Times New Roman" w:hAnsi="Times New Roman" w:hint="eastAsia"/>
          <w:spacing w:val="24"/>
          <w:kern w:val="2"/>
          <w:sz w:val="22"/>
          <w:szCs w:val="22"/>
        </w:rPr>
        <w:t xml:space="preserve">　　（七）同时在两个或者两个以上单位从业。</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第五章监督管理</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县（市）人民政府住房城乡建设主管部门应当建立日常监督检查机制，通过备案审查、现场检查、专项检查和巡查等方式，对建设、施工等单位和工程造价咨询企业的工程造价活动及其成果文件进行检查，及时纠正违法行为。</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第三十一条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省、设区的市、县（市）人民政府住房城乡建设主管部门在监督检查中，有权采取下列措施：</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（一）要求被检查单位提供有关文件和资料；</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（二）就有关问题询问签署文件的人员；</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（三）要求改正违反有关法律、法规、规章或者工程建设强制性标准的行为。</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被检查单位和个人应当予以配合并如实提供有关资料。</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省、设区的市、县（市）人民政府住房城乡建设主管部门在监督检查中获悉的商业秘密和技术秘密，应当予以保密。</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第三十二条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省人民政府住房城乡建设主管部门应当建立工程造价咨询企业业务统计报告制度。</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省、设区的市、县（市）人民政府住房城乡建设主管部门应当建立工程造价咨询企业和工程造价从业人员社会信用档案，并向社会公布。</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工程造价咨询企业在建筑工程计价活动中，出具有虚假记载、误导性陈述的工程造价成果文件的，记入工程造价咨询企业信用档案。</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第三十三条</w:t>
      </w:r>
      <w:r>
        <w:rPr>
          <w:rFonts w:ascii="Times New Roman" w:hAnsi="Times New Roman" w:hint="eastAsia"/>
          <w:spacing w:val="24"/>
          <w:kern w:val="2"/>
          <w:sz w:val="22"/>
          <w:szCs w:val="22"/>
        </w:rPr>
        <w:t>任何单位和个人对工程造价活动中的违法行为，有权向住房城乡建设主管部门或者其他有关部门举报，受理部门应当依法查处，并向举报人反馈查处结果。</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第六章法律责任</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eastAsia="微软雅黑" w:hAnsi="Times New Roman" w:cs="微软雅黑" w:hint="eastAsia"/>
          <w:color w:val="2F2F2F"/>
        </w:rPr>
        <w:t xml:space="preserve">　</w:t>
      </w:r>
      <w:r>
        <w:rPr>
          <w:rFonts w:ascii="Times New Roman" w:eastAsia="微软雅黑" w:hAnsi="Times New Roman" w:cs="微软雅黑" w:hint="eastAsia"/>
          <w:spacing w:val="24"/>
          <w:kern w:val="2"/>
        </w:rPr>
        <w:t xml:space="preserve">　</w:t>
      </w:r>
      <w:r>
        <w:rPr>
          <w:rFonts w:ascii="Times New Roman" w:hAnsi="Times New Roman" w:hint="eastAsia"/>
          <w:b/>
          <w:bCs/>
          <w:spacing w:val="24"/>
          <w:kern w:val="2"/>
          <w:sz w:val="22"/>
          <w:szCs w:val="22"/>
        </w:rPr>
        <w:t>第三十四条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省、设区的市、县（市）人民政府住房城乡建设主管部门和其他有关部门工作人员在工程造价管理工作中玩忽职守、徇私舞弊、滥用职权的，对直接负责的主管人员和其他直接责任人员依法给予处分；构成犯罪的，依法追究刑事责任。</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第三十五条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建设单位有下列行为之一的，由省、设区的市、县（市）人民政府住房城乡建设主管部门责令限期改正；逾期不改正的，处一万元以上三万元以下的罚款：</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（一）使用国有资金投资或者国家融资的建筑工程未采用工程量清单计价的；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（二）使用国有资金投资或者国家融资的建筑工程未设立和发布最高投标限价，以及未按照规定备案的；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（三）竣工结算文件未按照规定备案的；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（四）委托无相应资质的单位编制或者审核工程造价成果文件的。</w:t>
      </w:r>
    </w:p>
    <w:p w:rsidR="00A32067" w:rsidRDefault="00A32067">
      <w:pPr>
        <w:pStyle w:val="NormalWeb"/>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 xml:space="preserve">　　</w:t>
      </w:r>
      <w:r>
        <w:rPr>
          <w:rFonts w:ascii="Times New Roman" w:hAnsi="Times New Roman" w:hint="eastAsia"/>
          <w:b/>
          <w:bCs/>
          <w:spacing w:val="24"/>
          <w:kern w:val="2"/>
          <w:sz w:val="22"/>
          <w:szCs w:val="22"/>
        </w:rPr>
        <w:t>第三十六条</w:t>
      </w:r>
      <w:r>
        <w:rPr>
          <w:rFonts w:ascii="Times New Roman" w:hAnsi="Times New Roman" w:hint="eastAsia"/>
          <w:spacing w:val="24"/>
          <w:kern w:val="2"/>
          <w:sz w:val="22"/>
          <w:szCs w:val="22"/>
        </w:rPr>
        <w:t>违反本办法第二十五条、第二十九条规定的，由省、设区的市、县（市）人民政府住房城乡建设主管部门责令改正，并对工程造价咨询企业处一万元以上三万元以下的罚款，对工程造价从业人员处一千元以上一万元以下的罚款；造成损失的，依法承担赔偿责任；构成犯罪的，依法追究刑事责任。</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 xml:space="preserve">　　第七章</w:t>
      </w:r>
      <w:r>
        <w:rPr>
          <w:rFonts w:ascii="Times New Roman" w:hAnsi="Times New Roman" w:cs="Times New Roman"/>
          <w:b/>
          <w:bCs/>
          <w:color w:val="333333"/>
        </w:rPr>
        <w:t> </w:t>
      </w:r>
      <w:r>
        <w:rPr>
          <w:rFonts w:ascii="Times New Roman" w:hAnsi="Times New Roman" w:hint="eastAsia"/>
          <w:b/>
          <w:bCs/>
          <w:color w:val="333333"/>
        </w:rPr>
        <w:t>附</w:t>
      </w:r>
      <w:r>
        <w:rPr>
          <w:rFonts w:ascii="Times New Roman" w:hAnsi="Times New Roman" w:cs="Times New Roman"/>
          <w:b/>
          <w:bCs/>
          <w:color w:val="333333"/>
        </w:rPr>
        <w:t xml:space="preserve">  </w:t>
      </w:r>
      <w:r>
        <w:rPr>
          <w:rFonts w:ascii="Times New Roman" w:hAnsi="Times New Roman" w:hint="eastAsia"/>
          <w:b/>
          <w:bCs/>
          <w:color w:val="333333"/>
        </w:rPr>
        <w:t>则</w:t>
      </w:r>
    </w:p>
    <w:p w:rsidR="00A32067" w:rsidRDefault="00A32067">
      <w:pPr>
        <w:pStyle w:val="NormalWeb"/>
        <w:spacing w:before="0" w:beforeAutospacing="0" w:after="0" w:afterAutospacing="0" w:line="360" w:lineRule="auto"/>
        <w:rPr>
          <w:rFonts w:ascii="Times New Roman" w:eastAsia="微软雅黑" w:hAnsi="Times New Roman" w:cs="Times New Roman"/>
          <w:spacing w:val="24"/>
        </w:rPr>
      </w:pPr>
      <w:r>
        <w:rPr>
          <w:rFonts w:ascii="Times New Roman" w:eastAsia="微软雅黑" w:hAnsi="Times New Roman" w:cs="微软雅黑" w:hint="eastAsia"/>
          <w:spacing w:val="24"/>
        </w:rPr>
        <w:t xml:space="preserve">　</w:t>
      </w:r>
      <w:r>
        <w:rPr>
          <w:rFonts w:ascii="Times New Roman" w:eastAsia="微软雅黑" w:hAnsi="Times New Roman" w:cs="微软雅黑" w:hint="eastAsia"/>
          <w:spacing w:val="24"/>
          <w:kern w:val="2"/>
        </w:rPr>
        <w:t xml:space="preserve">　</w:t>
      </w:r>
      <w:r>
        <w:rPr>
          <w:rFonts w:ascii="Times New Roman" w:hAnsi="Times New Roman" w:hint="eastAsia"/>
          <w:b/>
          <w:bCs/>
          <w:spacing w:val="24"/>
          <w:kern w:val="2"/>
          <w:sz w:val="22"/>
          <w:szCs w:val="22"/>
        </w:rPr>
        <w:t>第三十七条</w:t>
      </w:r>
      <w:r>
        <w:rPr>
          <w:rFonts w:ascii="Times New Roman" w:hAnsi="Times New Roman" w:cs="Times New Roman"/>
          <w:spacing w:val="24"/>
          <w:kern w:val="2"/>
          <w:sz w:val="22"/>
          <w:szCs w:val="22"/>
        </w:rPr>
        <w:t> </w:t>
      </w:r>
      <w:r>
        <w:rPr>
          <w:rFonts w:ascii="Times New Roman" w:hAnsi="Times New Roman" w:hint="eastAsia"/>
          <w:spacing w:val="24"/>
          <w:kern w:val="2"/>
          <w:sz w:val="22"/>
          <w:szCs w:val="22"/>
        </w:rPr>
        <w:t>本办法自</w:t>
      </w:r>
      <w:r>
        <w:rPr>
          <w:rFonts w:ascii="Times New Roman" w:hAnsi="Times New Roman" w:cs="Times New Roman"/>
          <w:spacing w:val="24"/>
          <w:kern w:val="2"/>
          <w:sz w:val="22"/>
          <w:szCs w:val="22"/>
        </w:rPr>
        <w:t>2015</w:t>
      </w:r>
      <w:r>
        <w:rPr>
          <w:rFonts w:ascii="Times New Roman" w:hAnsi="Times New Roman" w:hint="eastAsia"/>
          <w:spacing w:val="24"/>
          <w:kern w:val="2"/>
          <w:sz w:val="22"/>
          <w:szCs w:val="22"/>
        </w:rPr>
        <w:t>年</w:t>
      </w:r>
      <w:r>
        <w:rPr>
          <w:rFonts w:ascii="Times New Roman" w:hAnsi="Times New Roman" w:cs="Times New Roman"/>
          <w:spacing w:val="24"/>
          <w:kern w:val="2"/>
          <w:sz w:val="22"/>
          <w:szCs w:val="22"/>
        </w:rPr>
        <w:t>1</w:t>
      </w:r>
      <w:r>
        <w:rPr>
          <w:rFonts w:ascii="Times New Roman" w:hAnsi="Times New Roman" w:hint="eastAsia"/>
          <w:spacing w:val="24"/>
          <w:kern w:val="2"/>
          <w:sz w:val="22"/>
          <w:szCs w:val="22"/>
        </w:rPr>
        <w:t>月</w:t>
      </w:r>
      <w:r>
        <w:rPr>
          <w:rFonts w:ascii="Times New Roman" w:hAnsi="Times New Roman" w:cs="Times New Roman"/>
          <w:spacing w:val="24"/>
          <w:kern w:val="2"/>
          <w:sz w:val="22"/>
          <w:szCs w:val="22"/>
        </w:rPr>
        <w:t>1</w:t>
      </w:r>
      <w:r>
        <w:rPr>
          <w:rFonts w:ascii="Times New Roman" w:hAnsi="Times New Roman" w:hint="eastAsia"/>
          <w:spacing w:val="24"/>
          <w:kern w:val="2"/>
          <w:sz w:val="22"/>
          <w:szCs w:val="22"/>
        </w:rPr>
        <w:t>日起施行。</w:t>
      </w:r>
    </w:p>
    <w:p w:rsidR="00A32067" w:rsidRDefault="00A32067" w:rsidP="005431C7">
      <w:pPr>
        <w:spacing w:line="360" w:lineRule="auto"/>
        <w:ind w:firstLineChars="200" w:firstLine="31680"/>
        <w:rPr>
          <w:spacing w:val="24"/>
          <w:sz w:val="24"/>
          <w:szCs w:val="24"/>
        </w:rPr>
      </w:pPr>
    </w:p>
    <w:p w:rsidR="00A32067" w:rsidRDefault="00A32067" w:rsidP="005431C7">
      <w:pPr>
        <w:spacing w:line="360" w:lineRule="auto"/>
        <w:ind w:firstLineChars="200" w:firstLine="31680"/>
        <w:rPr>
          <w:spacing w:val="24"/>
          <w:sz w:val="24"/>
          <w:szCs w:val="24"/>
        </w:rPr>
      </w:pPr>
    </w:p>
    <w:p w:rsidR="00A32067" w:rsidRDefault="00A32067">
      <w:pPr>
        <w:spacing w:line="220" w:lineRule="atLeast"/>
        <w:rPr>
          <w:spacing w:val="24"/>
          <w:sz w:val="24"/>
          <w:szCs w:val="24"/>
        </w:rPr>
      </w:pPr>
      <w:r>
        <w:rPr>
          <w:spacing w:val="24"/>
          <w:sz w:val="24"/>
          <w:szCs w:val="24"/>
        </w:rPr>
        <w:br w:type="page"/>
      </w:r>
    </w:p>
    <w:p w:rsidR="00A32067" w:rsidRDefault="00A32067">
      <w:pPr>
        <w:pStyle w:val="NormalWeb"/>
        <w:shd w:val="clear" w:color="auto" w:fill="FFFFFF"/>
        <w:spacing w:before="0" w:beforeAutospacing="0" w:after="0" w:afterAutospacing="0" w:line="360" w:lineRule="auto"/>
        <w:jc w:val="center"/>
        <w:outlineLvl w:val="2"/>
        <w:rPr>
          <w:rFonts w:ascii="Times New Roman" w:hAnsi="Times New Roman" w:cs="Times New Roman"/>
          <w:b/>
          <w:bCs/>
          <w:color w:val="333333"/>
          <w:spacing w:val="10"/>
          <w:sz w:val="44"/>
          <w:szCs w:val="44"/>
        </w:rPr>
      </w:pPr>
      <w:bookmarkStart w:id="99" w:name="_Toc519872326"/>
      <w:r>
        <w:rPr>
          <w:rFonts w:ascii="Times New Roman" w:hAnsi="Times New Roman" w:hint="eastAsia"/>
          <w:b/>
          <w:bCs/>
          <w:color w:val="333333"/>
          <w:spacing w:val="10"/>
          <w:sz w:val="44"/>
          <w:szCs w:val="44"/>
        </w:rPr>
        <w:t>河北省省级预算内投资项目</w:t>
      </w:r>
      <w:r>
        <w:rPr>
          <w:rFonts w:ascii="Times New Roman" w:hAnsi="Times New Roman" w:cs="Times New Roman"/>
          <w:b/>
          <w:bCs/>
          <w:color w:val="333333"/>
          <w:spacing w:val="10"/>
          <w:sz w:val="44"/>
          <w:szCs w:val="44"/>
        </w:rPr>
        <w:br/>
      </w:r>
      <w:r>
        <w:rPr>
          <w:rFonts w:ascii="Times New Roman" w:hAnsi="Times New Roman" w:hint="eastAsia"/>
          <w:b/>
          <w:bCs/>
          <w:color w:val="333333"/>
          <w:spacing w:val="10"/>
          <w:sz w:val="44"/>
          <w:szCs w:val="44"/>
        </w:rPr>
        <w:t>概算管理暂行办法</w:t>
      </w:r>
      <w:bookmarkEnd w:id="99"/>
    </w:p>
    <w:p w:rsidR="00A32067" w:rsidRDefault="00A32067">
      <w:pPr>
        <w:pStyle w:val="NormalWeb"/>
        <w:shd w:val="clear" w:color="auto" w:fill="FFFFFF"/>
        <w:spacing w:before="0" w:beforeAutospacing="0" w:after="0" w:afterAutospacing="0" w:line="360" w:lineRule="auto"/>
        <w:jc w:val="center"/>
        <w:outlineLvl w:val="0"/>
        <w:rPr>
          <w:rFonts w:ascii="Times New Roman" w:hAnsi="Times New Roman" w:cs="Times New Roman"/>
          <w:b/>
          <w:bCs/>
          <w:color w:val="333333"/>
          <w:spacing w:val="10"/>
          <w:sz w:val="44"/>
          <w:szCs w:val="44"/>
        </w:rPr>
      </w:pPr>
    </w:p>
    <w:p w:rsidR="00A32067" w:rsidRDefault="00A32067" w:rsidP="005431C7">
      <w:pPr>
        <w:spacing w:line="360" w:lineRule="auto"/>
        <w:ind w:firstLineChars="200" w:firstLine="31680"/>
        <w:rPr>
          <w:spacing w:val="24"/>
          <w:sz w:val="22"/>
          <w:szCs w:val="22"/>
        </w:rPr>
      </w:pPr>
      <w:r>
        <w:rPr>
          <w:rFonts w:cs="宋体" w:hint="eastAsia"/>
          <w:spacing w:val="24"/>
          <w:sz w:val="22"/>
          <w:szCs w:val="22"/>
        </w:rPr>
        <w:t>本办法自</w:t>
      </w:r>
      <w:r>
        <w:rPr>
          <w:spacing w:val="24"/>
          <w:sz w:val="22"/>
          <w:szCs w:val="22"/>
        </w:rPr>
        <w:t>2016</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1</w:t>
      </w:r>
      <w:r>
        <w:rPr>
          <w:rFonts w:cs="宋体" w:hint="eastAsia"/>
          <w:spacing w:val="24"/>
          <w:sz w:val="22"/>
          <w:szCs w:val="22"/>
        </w:rPr>
        <w:t>日起施行，有效期至</w:t>
      </w:r>
      <w:r>
        <w:rPr>
          <w:spacing w:val="24"/>
          <w:sz w:val="22"/>
          <w:szCs w:val="22"/>
        </w:rPr>
        <w:t>2018</w:t>
      </w:r>
      <w:r>
        <w:rPr>
          <w:rFonts w:cs="宋体" w:hint="eastAsia"/>
          <w:spacing w:val="24"/>
          <w:sz w:val="22"/>
          <w:szCs w:val="22"/>
        </w:rPr>
        <w:t>年</w:t>
      </w:r>
      <w:r>
        <w:rPr>
          <w:spacing w:val="24"/>
          <w:sz w:val="22"/>
          <w:szCs w:val="22"/>
        </w:rPr>
        <w:t>3</w:t>
      </w:r>
      <w:r>
        <w:rPr>
          <w:rFonts w:cs="宋体" w:hint="eastAsia"/>
          <w:spacing w:val="24"/>
          <w:sz w:val="22"/>
          <w:szCs w:val="22"/>
        </w:rPr>
        <w:t>月</w:t>
      </w:r>
      <w:r>
        <w:rPr>
          <w:spacing w:val="24"/>
          <w:sz w:val="22"/>
          <w:szCs w:val="22"/>
        </w:rPr>
        <w:t>1</w:t>
      </w:r>
      <w:r>
        <w:rPr>
          <w:rFonts w:cs="宋体" w:hint="eastAsia"/>
          <w:spacing w:val="24"/>
          <w:sz w:val="22"/>
          <w:szCs w:val="22"/>
        </w:rPr>
        <w:t>日。</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第一条</w:t>
      </w:r>
      <w:r>
        <w:rPr>
          <w:rFonts w:ascii="Times New Roman" w:hAnsi="Times New Roman" w:hint="eastAsia"/>
          <w:spacing w:val="24"/>
          <w:kern w:val="2"/>
          <w:sz w:val="22"/>
          <w:szCs w:val="22"/>
        </w:rPr>
        <w:t>为进一步加强省级预算内投资项目概算管理，提高预算内投资效益和项目管理水平，依据《国务院关于投资体制改革的决定》和有关法律法规，参照国家发展改革委《中央预算内直接投资项目概算管理暂行办法》，制定本办法。</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第二条</w:t>
      </w:r>
      <w:r>
        <w:rPr>
          <w:rFonts w:ascii="Times New Roman" w:hAnsi="Times New Roman" w:hint="eastAsia"/>
          <w:spacing w:val="24"/>
          <w:kern w:val="2"/>
          <w:sz w:val="22"/>
          <w:szCs w:val="22"/>
        </w:rPr>
        <w:t>省级预算内投资项目，是指使用省级预算内资金建设的省本级</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包括省直部门及其派出机构、垂直管理单位、所属事业单位</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非经营性固定资产投资项目。</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spacing w:val="24"/>
          <w:kern w:val="2"/>
          <w:sz w:val="22"/>
          <w:szCs w:val="22"/>
        </w:rPr>
        <w:t>省发展改革委核定概算且安排全部投资的省级预算内直接投资项目</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以下简称项目</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概算管理适用本办法。省发展改革委核定概算且安排部分投资的，原则上超支不补，如超概算，由项目主管部门自行核定调整并处理。</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bookmarkStart w:id="100" w:name="BM2"/>
      <w:bookmarkStart w:id="101" w:name="sub19887822_2"/>
      <w:bookmarkStart w:id="102" w:name="第二章概算核定"/>
      <w:bookmarkEnd w:id="100"/>
      <w:bookmarkEnd w:id="101"/>
      <w:bookmarkEnd w:id="102"/>
      <w:r>
        <w:rPr>
          <w:rFonts w:ascii="Times New Roman" w:hAnsi="Times New Roman" w:hint="eastAsia"/>
          <w:b/>
          <w:bCs/>
          <w:color w:val="333333"/>
        </w:rPr>
        <w:t>第二章概算核定</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第三条</w:t>
      </w:r>
      <w:r>
        <w:rPr>
          <w:rFonts w:ascii="Times New Roman" w:hAnsi="Times New Roman" w:hint="eastAsia"/>
          <w:spacing w:val="24"/>
          <w:kern w:val="2"/>
          <w:sz w:val="22"/>
          <w:szCs w:val="22"/>
        </w:rPr>
        <w:t>概算由省发展改革委在项目初步设计阶段委托评审后核定。概算包括国家规定的项目建设所需的全部费用，包括工程费用、工程建设其他费用、基本预备费、价差预备费等。编制和核定概算时，价差预备费按年度投资价格指数分行业合理确定。实行代建制的项目，所需费用从建设单位管理费中列支。</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spacing w:val="24"/>
          <w:kern w:val="2"/>
          <w:sz w:val="22"/>
          <w:szCs w:val="22"/>
        </w:rPr>
        <w:t>除项目建设期价格大幅上涨、政策调整、地质条件发生重大变化和自然灾害等不可抗力因素外，经核定的概算不得突破。</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第四条</w:t>
      </w:r>
      <w:r>
        <w:rPr>
          <w:rFonts w:ascii="Times New Roman" w:hAnsi="Times New Roman" w:hint="eastAsia"/>
          <w:spacing w:val="24"/>
          <w:kern w:val="2"/>
          <w:sz w:val="22"/>
          <w:szCs w:val="22"/>
        </w:rPr>
        <w:t>（凡不涉及国家安全和国家秘密、法律法规未禁止公开的项目概算）省发展改革委按照政府信息公开的有关规定向社会公开。</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bookmarkStart w:id="103" w:name="第三章概算控制"/>
      <w:bookmarkStart w:id="104" w:name="sub19887822_3"/>
      <w:bookmarkStart w:id="105" w:name="BM3"/>
      <w:bookmarkEnd w:id="103"/>
      <w:bookmarkEnd w:id="104"/>
      <w:bookmarkEnd w:id="105"/>
      <w:r>
        <w:rPr>
          <w:rFonts w:ascii="Times New Roman" w:hAnsi="Times New Roman" w:hint="eastAsia"/>
          <w:b/>
          <w:bCs/>
          <w:color w:val="333333"/>
        </w:rPr>
        <w:t>第三章概算控制</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第五条</w:t>
      </w:r>
      <w:r>
        <w:rPr>
          <w:rFonts w:ascii="Times New Roman" w:hAnsi="Times New Roman" w:hint="eastAsia"/>
          <w:spacing w:val="24"/>
          <w:kern w:val="2"/>
          <w:sz w:val="22"/>
          <w:szCs w:val="22"/>
        </w:rPr>
        <w:t>经核定的概算应作为项目建设实施和控制投资的依据。项目主管部门、项目单位和设计单位、监理单位等参建单位应当加强项目投资全过程管理，确保项目总投资控制在概算以内。</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spacing w:val="24"/>
          <w:kern w:val="2"/>
          <w:sz w:val="22"/>
          <w:szCs w:val="22"/>
        </w:rPr>
        <w:t>省发展改革委和项目主管部门对投资概算全过程进行监管。</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第六条</w:t>
      </w:r>
      <w:r>
        <w:rPr>
          <w:rFonts w:ascii="Times New Roman" w:hAnsi="Times New Roman" w:hint="eastAsia"/>
          <w:spacing w:val="24"/>
          <w:kern w:val="2"/>
          <w:sz w:val="22"/>
          <w:szCs w:val="22"/>
        </w:rPr>
        <w:t>省发展改革委履行概算核定和监督责任，制止和纠正违规超概算行为，按照本办法规定受理调整概算。</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第七条</w:t>
      </w:r>
      <w:r>
        <w:rPr>
          <w:rFonts w:ascii="Times New Roman" w:hAnsi="Times New Roman" w:hint="eastAsia"/>
          <w:spacing w:val="24"/>
          <w:kern w:val="2"/>
          <w:sz w:val="22"/>
          <w:szCs w:val="22"/>
        </w:rPr>
        <w:t>项目主管部门履行概算管理和监督责任，按照核定概算严格控制，在施工图设计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含装修设计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、招标、结构封顶、装修、设备安装等重要节点应当开展概算控制检查，制止和纠正违规超概算行为。</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第八条</w:t>
      </w:r>
      <w:r>
        <w:rPr>
          <w:rFonts w:ascii="Times New Roman" w:hAnsi="Times New Roman" w:hint="eastAsia"/>
          <w:spacing w:val="24"/>
          <w:kern w:val="2"/>
          <w:sz w:val="22"/>
          <w:szCs w:val="22"/>
        </w:rPr>
        <w:t>项目单位在其主管部门领导和监督下对概算管理负主要责任，按照核定概算严格执行。概算核定后，项目单位应当按季度向项目主管部门报告项目进度和概算执行情况，包括施工图设计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含装修设计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及预算是否符合初步设计及概算，招标结果及合同是否控制在概算以内，项目建设是否按批准的内容、规模和标准进行以及是否超概算等。项目单位宜明确由总体设计单位对项目设计负总责，统筹各专业各专项设计。</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第九条</w:t>
      </w:r>
      <w:r>
        <w:rPr>
          <w:rFonts w:ascii="Times New Roman" w:hAnsi="Times New Roman" w:hint="eastAsia"/>
          <w:spacing w:val="24"/>
          <w:kern w:val="2"/>
          <w:sz w:val="22"/>
          <w:szCs w:val="22"/>
        </w:rPr>
        <w:t>实行代建制的项目，代建方按照与项目单位签订的合同，承担项目建设实施的相关权利义务，严格执行项目概算，加强概算管理和控制。</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第十条</w:t>
      </w:r>
      <w:r>
        <w:rPr>
          <w:rFonts w:ascii="Times New Roman" w:hAnsi="Times New Roman" w:hint="eastAsia"/>
          <w:spacing w:val="24"/>
          <w:kern w:val="2"/>
          <w:sz w:val="22"/>
          <w:szCs w:val="22"/>
        </w:rPr>
        <w:t>设计单位应当依照法律法规、设计规范和概算文件开展业务，做好概算控制。初步设计及概算应当符合可行性研究报告批复文件要求，并达到相应的深度和质量要求。初步设计及概算批复核定后，项目实行限额设计，施工图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含装修设计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及预算应当符合初步设计及概算。</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第十一条</w:t>
      </w:r>
      <w:r>
        <w:rPr>
          <w:rFonts w:ascii="Times New Roman" w:hAnsi="Times New Roman" w:hint="eastAsia"/>
          <w:spacing w:val="24"/>
          <w:kern w:val="2"/>
          <w:sz w:val="22"/>
          <w:szCs w:val="22"/>
        </w:rPr>
        <w:t>监理单位应当依照法律法规、有关技术标准、经批准的设计文件和建设内容、建设规模、建设标准，履行概算监督责任。</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第十二条</w:t>
      </w:r>
      <w:r>
        <w:rPr>
          <w:rFonts w:ascii="Times New Roman" w:hAnsi="Times New Roman" w:hint="eastAsia"/>
          <w:spacing w:val="24"/>
          <w:kern w:val="2"/>
          <w:sz w:val="22"/>
          <w:szCs w:val="22"/>
        </w:rPr>
        <w:t>工程咨询单位对编制的项目建议书、可行性研究报告内容的全面性和准确性负责；</w:t>
      </w:r>
      <w:hyperlink r:id="rId101" w:tgtFrame="_blank" w:history="1">
        <w:r>
          <w:rPr>
            <w:rFonts w:ascii="Times New Roman" w:hAnsi="Times New Roman" w:hint="eastAsia"/>
            <w:spacing w:val="24"/>
            <w:kern w:val="2"/>
            <w:sz w:val="22"/>
            <w:szCs w:val="22"/>
          </w:rPr>
          <w:t>评估</w:t>
        </w:r>
      </w:hyperlink>
      <w:r>
        <w:rPr>
          <w:rFonts w:ascii="Times New Roman" w:hAnsi="Times New Roman" w:hint="eastAsia"/>
          <w:spacing w:val="24"/>
          <w:kern w:val="2"/>
          <w:sz w:val="22"/>
          <w:szCs w:val="22"/>
        </w:rPr>
        <w:t>单位、招标代理单位、勘察单位、施工单位、设备材料供应商等参建单位依据法律法规和合同约定，履行相应的概算控制责任。</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bookmarkStart w:id="106" w:name="第四章概算调整"/>
      <w:bookmarkStart w:id="107" w:name="sub19887822_4"/>
      <w:bookmarkStart w:id="108" w:name="BM4"/>
      <w:bookmarkEnd w:id="106"/>
      <w:bookmarkEnd w:id="107"/>
      <w:bookmarkEnd w:id="108"/>
      <w:r>
        <w:rPr>
          <w:rFonts w:ascii="Times New Roman" w:hAnsi="Times New Roman" w:hint="eastAsia"/>
          <w:b/>
          <w:bCs/>
          <w:color w:val="333333"/>
        </w:rPr>
        <w:t>第四章概算调整</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第十三条</w:t>
      </w:r>
      <w:r>
        <w:rPr>
          <w:rFonts w:ascii="Times New Roman" w:hAnsi="Times New Roman" w:hint="eastAsia"/>
          <w:spacing w:val="24"/>
          <w:kern w:val="2"/>
          <w:sz w:val="22"/>
          <w:szCs w:val="22"/>
        </w:rPr>
        <w:t>项目初步设计及概算批复核定后，应当严格执行，不得擅自增加建设内容、扩大建设规模、提高建设标准或改变设计方案。确需调整且将会突破投资概算的，必须事前向省发展改革委正式申报；未经批准的，不得擅自调整实施。</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第十四条</w:t>
      </w:r>
      <w:r>
        <w:rPr>
          <w:rFonts w:ascii="Times New Roman" w:hAnsi="Times New Roman" w:hint="eastAsia"/>
          <w:spacing w:val="24"/>
          <w:kern w:val="2"/>
          <w:sz w:val="22"/>
          <w:szCs w:val="22"/>
        </w:rPr>
        <w:t>因项目建设期价格大幅上涨、政策调整、地质条件发生重大变化和自然灾害等不可抗力因素导致原核定概算不能满足工程实际需要的，可以向省发展改革委申请调整概算。</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第十五条</w:t>
      </w:r>
      <w:r>
        <w:rPr>
          <w:rFonts w:ascii="Times New Roman" w:hAnsi="Times New Roman" w:hint="eastAsia"/>
          <w:spacing w:val="24"/>
          <w:kern w:val="2"/>
          <w:sz w:val="22"/>
          <w:szCs w:val="22"/>
        </w:rPr>
        <w:t>申请调整概算的，提交以下申报材料：</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一</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原初步设计及概算文件和批复核定文件；</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二</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由具备相应资质单位编制的调整概算书，调整概算与原核定概算对比表，并分类定量说明调整概算的原因、依据和计算方法；</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三</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与调整概算有关的招标及合同文件，包括变更洽商部分；</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四</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施工图设计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含装修设计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及预算文件；</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cs="Times New Roman"/>
          <w:spacing w:val="24"/>
          <w:kern w:val="2"/>
          <w:sz w:val="22"/>
          <w:szCs w:val="22"/>
        </w:rPr>
        <w:t>(</w:t>
      </w:r>
      <w:r>
        <w:rPr>
          <w:rFonts w:ascii="Times New Roman" w:hAnsi="Times New Roman" w:hint="eastAsia"/>
          <w:spacing w:val="24"/>
          <w:kern w:val="2"/>
          <w:sz w:val="22"/>
          <w:szCs w:val="22"/>
        </w:rPr>
        <w:t>五</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调整概算所需的其他材料。</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第十六条</w:t>
      </w:r>
      <w:r>
        <w:rPr>
          <w:rFonts w:ascii="Times New Roman" w:hAnsi="Times New Roman" w:hint="eastAsia"/>
          <w:spacing w:val="24"/>
          <w:kern w:val="2"/>
          <w:sz w:val="22"/>
          <w:szCs w:val="22"/>
        </w:rPr>
        <w:t>申请调整概算的项目，对于使用预备费可以解决的，不予调整概算；对于确需调整概算的，省发展改革委委托评审后核定调整，由于价格上涨增加的投资不作为计算其他费用的取费基数。</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第十七条</w:t>
      </w:r>
      <w:r>
        <w:rPr>
          <w:rFonts w:ascii="Times New Roman" w:hAnsi="Times New Roman" w:hint="eastAsia"/>
          <w:spacing w:val="24"/>
          <w:kern w:val="2"/>
          <w:sz w:val="22"/>
          <w:szCs w:val="22"/>
        </w:rPr>
        <w:t>申请调整概算的项目，如有未经省发展改革委批准擅自增加建设内容、扩大建设规模、提高建设标准、改变设计方案等原因造成超概算的，除按照第十五条提交调整概算的申报材料外，必须同时界定违规超概算的责任主体，并提出自行筹措违规超概算投资的意见，以及对相关责任单位及责任人的处理意见。省发展改革委委托评审，待相关责任单位和责任人处理意见落实后核定调整概算。</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第十八条</w:t>
      </w:r>
      <w:r>
        <w:rPr>
          <w:rFonts w:ascii="Times New Roman" w:hAnsi="Times New Roman" w:hint="eastAsia"/>
          <w:spacing w:val="24"/>
          <w:kern w:val="2"/>
          <w:sz w:val="22"/>
          <w:szCs w:val="22"/>
        </w:rPr>
        <w:t>向省发展改革委申请概算调增幅度超过原核定概算百分之十及以上的，省发展改革委原则上先商请审计机关列入审计计划进行审计。</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bookmarkStart w:id="109" w:name="第五章法律责任"/>
      <w:bookmarkStart w:id="110" w:name="sub19887822_5"/>
      <w:bookmarkStart w:id="111" w:name="BM5"/>
      <w:bookmarkEnd w:id="109"/>
      <w:bookmarkEnd w:id="110"/>
      <w:bookmarkEnd w:id="111"/>
      <w:r>
        <w:rPr>
          <w:rFonts w:ascii="Times New Roman" w:hAnsi="Times New Roman" w:hint="eastAsia"/>
          <w:b/>
          <w:bCs/>
          <w:color w:val="333333"/>
        </w:rPr>
        <w:t>第五章法律责任</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第十九条</w:t>
      </w:r>
      <w:r>
        <w:rPr>
          <w:rFonts w:ascii="Times New Roman" w:hAnsi="Times New Roman" w:hint="eastAsia"/>
          <w:spacing w:val="24"/>
          <w:kern w:val="2"/>
          <w:sz w:val="22"/>
          <w:szCs w:val="22"/>
        </w:rPr>
        <w:t>省发展改革委未按程序核定或调整概算的，应当及时改正。对直接负责的主管人员和其他责任人员应当进行诫勉谈话、通报批评或者给予党纪政纪处分。</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第二十条</w:t>
      </w:r>
      <w:r>
        <w:rPr>
          <w:rFonts w:ascii="Times New Roman" w:hAnsi="Times New Roman" w:hint="eastAsia"/>
          <w:spacing w:val="24"/>
          <w:kern w:val="2"/>
          <w:sz w:val="22"/>
          <w:szCs w:val="22"/>
        </w:rPr>
        <w:t>因主管部门未履行概算管理和监督责任，授意或同意增加建设内容、扩大建设规模、提高建设标准、改变设计方案导致超概算的，主管部门应当对本部门直接负责的主管人员和其他责任人员进行诫勉谈话、通报批评或者给予党纪政纪处分。</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第二十一条</w:t>
      </w:r>
      <w:r>
        <w:rPr>
          <w:rFonts w:ascii="Times New Roman" w:hAnsi="Times New Roman" w:hint="eastAsia"/>
          <w:spacing w:val="24"/>
          <w:kern w:val="2"/>
          <w:sz w:val="22"/>
          <w:szCs w:val="22"/>
        </w:rPr>
        <w:t>因项目单位擅自增加建设内容、扩大建设规模、提高建设标准、改变设计方案，管理不善、故意漏项、报小建大等造成超概算的，主管部门应当依照职责权限对项目单位主要负责人和直接负责的主管人员以及其他责任人员进行诫勉谈话、通报批评或者给予党纪政纪处分；两年内暂停申报该单位其他项目。省发展改革委将其不良信用记录纳入省统一的信用信息共享交换平台；情节严重的，给予通报批评，并视情况公开曝光。</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第二十二条</w:t>
      </w:r>
      <w:r>
        <w:rPr>
          <w:rFonts w:ascii="Times New Roman" w:hAnsi="Times New Roman" w:hint="eastAsia"/>
          <w:spacing w:val="24"/>
          <w:kern w:val="2"/>
          <w:sz w:val="22"/>
          <w:szCs w:val="22"/>
        </w:rPr>
        <w:t>因设计单位未按照经批复核定的初步设计及概算编制施工图设计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含装修设计</w:t>
      </w:r>
      <w:r>
        <w:rPr>
          <w:rFonts w:ascii="Times New Roman" w:hAnsi="Times New Roman" w:cs="Times New Roman"/>
          <w:spacing w:val="24"/>
          <w:kern w:val="2"/>
          <w:sz w:val="22"/>
          <w:szCs w:val="22"/>
        </w:rPr>
        <w:t>)</w:t>
      </w:r>
      <w:r>
        <w:rPr>
          <w:rFonts w:ascii="Times New Roman" w:hAnsi="Times New Roman" w:hint="eastAsia"/>
          <w:spacing w:val="24"/>
          <w:kern w:val="2"/>
          <w:sz w:val="22"/>
          <w:szCs w:val="22"/>
        </w:rPr>
        <w:t>及预算，设计质量低劣存在错误、失误、漏项等造成超概算的，项目单位可以根据法律法规和合同约定向设计单位追偿；省发展改革委商请资质管理部门建立不良信用记录，纳入省统一的信用信息共享交换平台，作为相关部门降低资质等级、撤销资质的重要参考。情节严重的，省发展改革委作为限制其在一定期限内参与省级预算内直接投资项目设计的重要参考，并视情况公开曝光。</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第二十三条</w:t>
      </w:r>
      <w:r>
        <w:rPr>
          <w:rFonts w:ascii="Times New Roman" w:hAnsi="Times New Roman" w:hint="eastAsia"/>
          <w:spacing w:val="24"/>
          <w:kern w:val="2"/>
          <w:sz w:val="22"/>
          <w:szCs w:val="22"/>
        </w:rPr>
        <w:t>因代建方、工程咨询单位、评估单位、招标代理单位、勘察单位、施工单位、监理单位、设备材料供应商等参建单位过错造成超概算的，项目单位可以根据法律法规和合同约定向有关参建单位追偿；省发展改革委商请资质管理部门建立不良信用记录，纳入省统一的信用信息共享交换平台，作为相关部门资质评级、延续的重要参考。</w:t>
      </w:r>
    </w:p>
    <w:p w:rsidR="00A32067" w:rsidRDefault="00A32067" w:rsidP="0002085C">
      <w:pPr>
        <w:pStyle w:val="NormalWeb"/>
        <w:shd w:val="clear" w:color="auto" w:fill="FFFFFF"/>
        <w:spacing w:beforeLines="100" w:beforeAutospacing="0" w:afterLines="50" w:afterAutospacing="0" w:line="480" w:lineRule="auto"/>
        <w:jc w:val="center"/>
        <w:rPr>
          <w:rFonts w:ascii="Times New Roman" w:hAnsi="Times New Roman" w:cs="Times New Roman"/>
          <w:b/>
          <w:bCs/>
          <w:color w:val="333333"/>
        </w:rPr>
      </w:pPr>
      <w:bookmarkStart w:id="112" w:name="BM6"/>
      <w:bookmarkStart w:id="113" w:name="第六章附则"/>
      <w:bookmarkStart w:id="114" w:name="sub19887822_6"/>
      <w:bookmarkEnd w:id="112"/>
      <w:bookmarkEnd w:id="113"/>
      <w:bookmarkEnd w:id="114"/>
      <w:r>
        <w:rPr>
          <w:rFonts w:ascii="Times New Roman" w:hAnsi="Times New Roman" w:hint="eastAsia"/>
          <w:b/>
          <w:bCs/>
          <w:color w:val="333333"/>
        </w:rPr>
        <w:t>第六章附则</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第二十四条</w:t>
      </w:r>
      <w:r>
        <w:rPr>
          <w:rFonts w:ascii="Times New Roman" w:hAnsi="Times New Roman" w:hint="eastAsia"/>
          <w:spacing w:val="24"/>
          <w:kern w:val="2"/>
          <w:sz w:val="22"/>
          <w:szCs w:val="22"/>
        </w:rPr>
        <w:t>设区市、省直管县发展改革部门可以参照本办法制订本地区的概算管理办法。</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第二十五条</w:t>
      </w:r>
      <w:r>
        <w:rPr>
          <w:rFonts w:ascii="Times New Roman" w:hAnsi="Times New Roman" w:hint="eastAsia"/>
          <w:spacing w:val="24"/>
          <w:kern w:val="2"/>
          <w:sz w:val="22"/>
          <w:szCs w:val="22"/>
        </w:rPr>
        <w:t>本办法由省发展改革委负责解释。</w:t>
      </w:r>
    </w:p>
    <w:p w:rsidR="00A32067" w:rsidRDefault="00A32067" w:rsidP="005431C7">
      <w:pPr>
        <w:pStyle w:val="NormalWeb"/>
        <w:spacing w:before="0" w:beforeAutospacing="0" w:after="0" w:afterAutospacing="0" w:line="360" w:lineRule="auto"/>
        <w:ind w:firstLineChars="200" w:firstLine="31680"/>
        <w:rPr>
          <w:rFonts w:ascii="Times New Roman" w:hAnsi="Times New Roman" w:cs="Times New Roman"/>
          <w:spacing w:val="24"/>
          <w:kern w:val="2"/>
          <w:sz w:val="22"/>
          <w:szCs w:val="22"/>
        </w:rPr>
      </w:pPr>
      <w:r>
        <w:rPr>
          <w:rFonts w:ascii="Times New Roman" w:hAnsi="Times New Roman" w:hint="eastAsia"/>
          <w:b/>
          <w:bCs/>
          <w:spacing w:val="24"/>
          <w:kern w:val="2"/>
          <w:sz w:val="22"/>
          <w:szCs w:val="22"/>
        </w:rPr>
        <w:t>第二十六条</w:t>
      </w:r>
      <w:r>
        <w:rPr>
          <w:rFonts w:ascii="Times New Roman" w:hAnsi="Times New Roman" w:hint="eastAsia"/>
          <w:spacing w:val="24"/>
          <w:kern w:val="2"/>
          <w:sz w:val="22"/>
          <w:szCs w:val="22"/>
        </w:rPr>
        <w:t>本办法自</w:t>
      </w:r>
      <w:r>
        <w:rPr>
          <w:rFonts w:ascii="Times New Roman" w:hAnsi="Times New Roman" w:cs="Times New Roman"/>
          <w:spacing w:val="24"/>
          <w:kern w:val="2"/>
          <w:sz w:val="22"/>
          <w:szCs w:val="22"/>
        </w:rPr>
        <w:t>2016</w:t>
      </w:r>
      <w:r>
        <w:rPr>
          <w:rFonts w:ascii="Times New Roman" w:hAnsi="Times New Roman" w:hint="eastAsia"/>
          <w:spacing w:val="24"/>
          <w:kern w:val="2"/>
          <w:sz w:val="22"/>
          <w:szCs w:val="22"/>
        </w:rPr>
        <w:t>年</w:t>
      </w:r>
      <w:r>
        <w:rPr>
          <w:rFonts w:ascii="Times New Roman" w:hAnsi="Times New Roman" w:cs="Times New Roman"/>
          <w:spacing w:val="24"/>
          <w:kern w:val="2"/>
          <w:sz w:val="22"/>
          <w:szCs w:val="22"/>
        </w:rPr>
        <w:t>3</w:t>
      </w:r>
      <w:r>
        <w:rPr>
          <w:rFonts w:ascii="Times New Roman" w:hAnsi="Times New Roman" w:hint="eastAsia"/>
          <w:spacing w:val="24"/>
          <w:kern w:val="2"/>
          <w:sz w:val="22"/>
          <w:szCs w:val="22"/>
        </w:rPr>
        <w:t>月</w:t>
      </w:r>
      <w:r>
        <w:rPr>
          <w:rFonts w:ascii="Times New Roman" w:hAnsi="Times New Roman" w:cs="Times New Roman"/>
          <w:spacing w:val="24"/>
          <w:kern w:val="2"/>
          <w:sz w:val="22"/>
          <w:szCs w:val="22"/>
        </w:rPr>
        <w:t>1</w:t>
      </w:r>
      <w:r>
        <w:rPr>
          <w:rFonts w:ascii="Times New Roman" w:hAnsi="Times New Roman" w:hint="eastAsia"/>
          <w:spacing w:val="24"/>
          <w:kern w:val="2"/>
          <w:sz w:val="22"/>
          <w:szCs w:val="22"/>
        </w:rPr>
        <w:t>日起施行，有效期至</w:t>
      </w:r>
      <w:r>
        <w:rPr>
          <w:rFonts w:ascii="Times New Roman" w:hAnsi="Times New Roman" w:cs="Times New Roman"/>
          <w:spacing w:val="24"/>
          <w:kern w:val="2"/>
          <w:sz w:val="22"/>
          <w:szCs w:val="22"/>
        </w:rPr>
        <w:t>2018</w:t>
      </w:r>
      <w:r>
        <w:rPr>
          <w:rFonts w:ascii="Times New Roman" w:hAnsi="Times New Roman" w:hint="eastAsia"/>
          <w:spacing w:val="24"/>
          <w:kern w:val="2"/>
          <w:sz w:val="22"/>
          <w:szCs w:val="22"/>
        </w:rPr>
        <w:t>年</w:t>
      </w:r>
      <w:r>
        <w:rPr>
          <w:rFonts w:ascii="Times New Roman" w:hAnsi="Times New Roman" w:cs="Times New Roman"/>
          <w:spacing w:val="24"/>
          <w:kern w:val="2"/>
          <w:sz w:val="22"/>
          <w:szCs w:val="22"/>
        </w:rPr>
        <w:t>3</w:t>
      </w:r>
      <w:r>
        <w:rPr>
          <w:rFonts w:ascii="Times New Roman" w:hAnsi="Times New Roman" w:hint="eastAsia"/>
          <w:spacing w:val="24"/>
          <w:kern w:val="2"/>
          <w:sz w:val="22"/>
          <w:szCs w:val="22"/>
        </w:rPr>
        <w:t>月</w:t>
      </w:r>
      <w:r>
        <w:rPr>
          <w:rFonts w:ascii="Times New Roman" w:hAnsi="Times New Roman" w:cs="Times New Roman"/>
          <w:spacing w:val="24"/>
          <w:kern w:val="2"/>
          <w:sz w:val="22"/>
          <w:szCs w:val="22"/>
        </w:rPr>
        <w:t>1</w:t>
      </w:r>
      <w:r>
        <w:rPr>
          <w:rFonts w:ascii="Times New Roman" w:hAnsi="Times New Roman" w:hint="eastAsia"/>
          <w:spacing w:val="24"/>
          <w:kern w:val="2"/>
          <w:sz w:val="22"/>
          <w:szCs w:val="22"/>
        </w:rPr>
        <w:t>日。此前有关概算管理规定，凡与本办法有抵触的，均按本办法执行。</w:t>
      </w:r>
    </w:p>
    <w:p w:rsidR="00A32067" w:rsidRDefault="00A32067">
      <w:pPr>
        <w:spacing w:line="360" w:lineRule="auto"/>
        <w:rPr>
          <w:sz w:val="24"/>
          <w:szCs w:val="24"/>
        </w:rPr>
      </w:pPr>
    </w:p>
    <w:p w:rsidR="00A32067" w:rsidRDefault="00A32067" w:rsidP="005431C7">
      <w:pPr>
        <w:spacing w:line="360" w:lineRule="auto"/>
        <w:ind w:firstLineChars="200" w:firstLine="31680"/>
        <w:rPr>
          <w:spacing w:val="24"/>
          <w:sz w:val="24"/>
          <w:szCs w:val="24"/>
        </w:rPr>
      </w:pPr>
    </w:p>
    <w:p w:rsidR="00A32067" w:rsidRDefault="00A32067">
      <w:pPr>
        <w:spacing w:line="220" w:lineRule="atLeast"/>
        <w:rPr>
          <w:rStyle w:val="Strong"/>
          <w:b w:val="0"/>
          <w:bCs w:val="0"/>
          <w:spacing w:val="24"/>
          <w:sz w:val="24"/>
          <w:szCs w:val="24"/>
        </w:rPr>
      </w:pPr>
      <w:r>
        <w:rPr>
          <w:spacing w:val="24"/>
          <w:sz w:val="24"/>
          <w:szCs w:val="24"/>
        </w:rPr>
        <w:br w:type="page"/>
      </w:r>
    </w:p>
    <w:p w:rsidR="00A32067" w:rsidRDefault="00A32067">
      <w:pPr>
        <w:jc w:val="center"/>
        <w:outlineLvl w:val="0"/>
        <w:rPr>
          <w:sz w:val="44"/>
          <w:szCs w:val="44"/>
        </w:rPr>
      </w:pPr>
    </w:p>
    <w:p w:rsidR="00A32067" w:rsidRDefault="00A32067">
      <w:pPr>
        <w:jc w:val="center"/>
        <w:outlineLvl w:val="0"/>
        <w:rPr>
          <w:sz w:val="44"/>
          <w:szCs w:val="44"/>
        </w:rPr>
      </w:pPr>
    </w:p>
    <w:p w:rsidR="00A32067" w:rsidRDefault="00A32067">
      <w:pPr>
        <w:jc w:val="center"/>
        <w:outlineLvl w:val="0"/>
        <w:rPr>
          <w:sz w:val="44"/>
          <w:szCs w:val="44"/>
        </w:rPr>
      </w:pPr>
    </w:p>
    <w:p w:rsidR="00A32067" w:rsidRDefault="00A32067" w:rsidP="0002085C">
      <w:pPr>
        <w:spacing w:afterLines="50" w:line="360" w:lineRule="auto"/>
        <w:jc w:val="center"/>
        <w:outlineLvl w:val="2"/>
        <w:rPr>
          <w:sz w:val="44"/>
          <w:szCs w:val="44"/>
        </w:rPr>
      </w:pPr>
      <w:bookmarkStart w:id="115" w:name="_Toc519872327"/>
      <w:r>
        <w:rPr>
          <w:rFonts w:cs="宋体" w:hint="eastAsia"/>
          <w:sz w:val="44"/>
          <w:szCs w:val="44"/>
        </w:rPr>
        <w:t>国家计委中国人民建设银行印发《关于改进</w:t>
      </w:r>
      <w:r>
        <w:rPr>
          <w:sz w:val="44"/>
          <w:szCs w:val="44"/>
        </w:rPr>
        <w:br/>
      </w:r>
      <w:r>
        <w:rPr>
          <w:rFonts w:cs="宋体" w:hint="eastAsia"/>
          <w:sz w:val="44"/>
          <w:szCs w:val="44"/>
        </w:rPr>
        <w:t>工程建设概预算定额管理工作的若干</w:t>
      </w:r>
      <w:r>
        <w:rPr>
          <w:sz w:val="44"/>
          <w:szCs w:val="44"/>
        </w:rPr>
        <w:br/>
      </w:r>
      <w:r>
        <w:rPr>
          <w:rFonts w:cs="宋体" w:hint="eastAsia"/>
          <w:sz w:val="44"/>
          <w:szCs w:val="44"/>
        </w:rPr>
        <w:t>规定》等三个文件的通知</w:t>
      </w:r>
      <w:r>
        <w:rPr>
          <w:sz w:val="44"/>
          <w:szCs w:val="44"/>
        </w:rPr>
        <w:br/>
      </w:r>
      <w:r>
        <w:rPr>
          <w:rFonts w:cs="宋体" w:hint="eastAsia"/>
          <w:color w:val="000000"/>
          <w:sz w:val="22"/>
          <w:szCs w:val="22"/>
        </w:rPr>
        <w:t>（</w:t>
      </w:r>
      <w:r>
        <w:rPr>
          <w:color w:val="000000"/>
          <w:sz w:val="22"/>
          <w:szCs w:val="22"/>
        </w:rPr>
        <w:t>1985</w:t>
      </w:r>
      <w:r>
        <w:rPr>
          <w:rFonts w:cs="宋体" w:hint="eastAsia"/>
          <w:color w:val="000000"/>
          <w:sz w:val="22"/>
          <w:szCs w:val="22"/>
        </w:rPr>
        <w:t>年</w:t>
      </w:r>
      <w:r>
        <w:rPr>
          <w:color w:val="000000"/>
          <w:sz w:val="22"/>
          <w:szCs w:val="22"/>
        </w:rPr>
        <w:t>3</w:t>
      </w:r>
      <w:r>
        <w:rPr>
          <w:rFonts w:cs="宋体" w:hint="eastAsia"/>
          <w:color w:val="000000"/>
          <w:sz w:val="22"/>
          <w:szCs w:val="22"/>
        </w:rPr>
        <w:t>月</w:t>
      </w:r>
      <w:r>
        <w:rPr>
          <w:color w:val="000000"/>
          <w:sz w:val="22"/>
          <w:szCs w:val="22"/>
        </w:rPr>
        <w:t>5</w:t>
      </w:r>
      <w:r>
        <w:rPr>
          <w:rFonts w:cs="宋体" w:hint="eastAsia"/>
          <w:color w:val="000000"/>
          <w:sz w:val="22"/>
          <w:szCs w:val="22"/>
        </w:rPr>
        <w:t>日计标（</w:t>
      </w:r>
      <w:r>
        <w:rPr>
          <w:color w:val="000000"/>
          <w:sz w:val="22"/>
          <w:szCs w:val="22"/>
        </w:rPr>
        <w:t>85</w:t>
      </w:r>
      <w:r>
        <w:rPr>
          <w:rFonts w:cs="宋体" w:hint="eastAsia"/>
          <w:color w:val="000000"/>
          <w:sz w:val="22"/>
          <w:szCs w:val="22"/>
        </w:rPr>
        <w:t>）</w:t>
      </w:r>
      <w:r>
        <w:rPr>
          <w:color w:val="000000"/>
          <w:sz w:val="22"/>
          <w:szCs w:val="22"/>
        </w:rPr>
        <w:t>352</w:t>
      </w:r>
      <w:r>
        <w:rPr>
          <w:rFonts w:cs="宋体" w:hint="eastAsia"/>
          <w:color w:val="000000"/>
          <w:sz w:val="22"/>
          <w:szCs w:val="22"/>
        </w:rPr>
        <w:t>号）</w:t>
      </w:r>
      <w:bookmarkEnd w:id="115"/>
    </w:p>
    <w:p w:rsidR="00A32067" w:rsidRDefault="00A32067">
      <w:pPr>
        <w:pStyle w:val="NormalWeb"/>
        <w:shd w:val="clear" w:color="auto" w:fill="FFFFFF"/>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各省、自治区、直辖市计委、建委（建设厅）、建设银行分行，国务院各部委、各直属机构：</w:t>
      </w:r>
      <w:r>
        <w:rPr>
          <w:rFonts w:ascii="Times New Roman" w:hAnsi="Times New Roman" w:cs="Times New Roman"/>
          <w:spacing w:val="24"/>
          <w:kern w:val="2"/>
          <w:sz w:val="22"/>
          <w:szCs w:val="22"/>
        </w:rPr>
        <w:br/>
      </w:r>
      <w:r>
        <w:rPr>
          <w:rFonts w:ascii="Times New Roman" w:eastAsia="微软雅黑" w:hAnsi="Times New Roman" w:cs="微软雅黑" w:hint="eastAsia"/>
          <w:color w:val="000000"/>
        </w:rPr>
        <w:t xml:space="preserve">　　</w:t>
      </w:r>
      <w:r>
        <w:rPr>
          <w:rFonts w:ascii="Times New Roman" w:hAnsi="Times New Roman" w:hint="eastAsia"/>
          <w:spacing w:val="24"/>
          <w:kern w:val="2"/>
          <w:sz w:val="22"/>
          <w:szCs w:val="22"/>
        </w:rPr>
        <w:t>为了适应建筑业和基本建设管理体制改革的要求，有利于合理确定工程造价，提高投资效益，现将《关于改进工程建设概预算定额管理工作的若干规定》、《关于建筑安装工程费用项目划分暂行规定》和《关于工程建设其他费用项目划分暂行规定》等三个文件印发你们执行。请将执行中的新情况、新经验随时告诉我委标准定额局。</w:t>
      </w:r>
    </w:p>
    <w:p w:rsidR="00A32067" w:rsidRDefault="00A32067">
      <w:pPr>
        <w:pStyle w:val="NormalWeb"/>
        <w:shd w:val="clear" w:color="auto" w:fill="FFFFFF"/>
        <w:spacing w:before="0" w:beforeAutospacing="0" w:after="0" w:afterAutospacing="0" w:line="360" w:lineRule="auto"/>
        <w:rPr>
          <w:rFonts w:ascii="Times New Roman" w:hAnsi="Times New Roman" w:cs="Times New Roman"/>
          <w:spacing w:val="24"/>
          <w:kern w:val="2"/>
          <w:sz w:val="22"/>
          <w:szCs w:val="22"/>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ind w:firstLine="482"/>
        <w:rPr>
          <w:rFonts w:ascii="Times New Roman" w:hAnsi="Times New Roman" w:cs="Times New Roman"/>
          <w:color w:val="000000"/>
          <w:sz w:val="22"/>
          <w:szCs w:val="22"/>
        </w:rPr>
      </w:pPr>
      <w:r>
        <w:rPr>
          <w:rFonts w:ascii="Times New Roman" w:hAnsi="Times New Roman" w:hint="eastAsia"/>
          <w:color w:val="000000"/>
          <w:sz w:val="22"/>
          <w:szCs w:val="22"/>
        </w:rPr>
        <w:t>附件：一、关于改进工程建设概预算定额管理工作的若干规定</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二、关于建筑安装工程费用项目划分暂行规定</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三、关于工程建设其他费用项目划分暂行规定</w:t>
      </w: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rsidP="0002085C">
      <w:pPr>
        <w:pStyle w:val="NormalWeb"/>
        <w:shd w:val="clear" w:color="auto" w:fill="FFFFFF"/>
        <w:spacing w:beforeLines="50" w:beforeAutospacing="0" w:afterLines="50" w:afterAutospacing="0" w:line="360" w:lineRule="auto"/>
        <w:ind w:firstLine="480"/>
        <w:rPr>
          <w:rFonts w:ascii="Times New Roman" w:eastAsia="微软雅黑" w:hAnsi="Times New Roman" w:cs="Times New Roman"/>
          <w:color w:val="000000"/>
        </w:rPr>
      </w:pPr>
    </w:p>
    <w:p w:rsidR="00A32067" w:rsidRDefault="00A32067">
      <w:pPr>
        <w:spacing w:line="360" w:lineRule="auto"/>
        <w:rPr>
          <w:color w:val="000000"/>
          <w:kern w:val="36"/>
          <w:sz w:val="24"/>
          <w:szCs w:val="24"/>
        </w:rPr>
        <w:sectPr w:rsidR="00A32067">
          <w:pgSz w:w="11907" w:h="16840"/>
          <w:pgMar w:top="1134" w:right="1077" w:bottom="1134" w:left="1077" w:header="794" w:footer="567" w:gutter="284"/>
          <w:cols w:space="720"/>
          <w:docGrid w:linePitch="312"/>
        </w:sectPr>
      </w:pPr>
    </w:p>
    <w:p w:rsidR="00A32067" w:rsidRDefault="00A32067">
      <w:pPr>
        <w:spacing w:line="360" w:lineRule="auto"/>
        <w:rPr>
          <w:color w:val="000000"/>
          <w:kern w:val="36"/>
          <w:sz w:val="24"/>
          <w:szCs w:val="24"/>
        </w:rPr>
      </w:pPr>
      <w:r>
        <w:rPr>
          <w:rFonts w:cs="宋体" w:hint="eastAsia"/>
          <w:color w:val="000000"/>
          <w:kern w:val="36"/>
          <w:sz w:val="24"/>
          <w:szCs w:val="24"/>
        </w:rPr>
        <w:t>附件一：</w:t>
      </w:r>
    </w:p>
    <w:p w:rsidR="00A32067" w:rsidRDefault="00A32067">
      <w:pPr>
        <w:spacing w:line="360" w:lineRule="auto"/>
        <w:jc w:val="center"/>
        <w:rPr>
          <w:b/>
          <w:bCs/>
          <w:color w:val="000000"/>
          <w:kern w:val="36"/>
          <w:sz w:val="40"/>
          <w:szCs w:val="40"/>
        </w:rPr>
      </w:pPr>
      <w:r>
        <w:rPr>
          <w:rFonts w:cs="宋体" w:hint="eastAsia"/>
          <w:b/>
          <w:bCs/>
          <w:color w:val="000000"/>
          <w:kern w:val="36"/>
          <w:sz w:val="40"/>
          <w:szCs w:val="40"/>
        </w:rPr>
        <w:t>关于改进工程建设概预算定额管理</w:t>
      </w:r>
    </w:p>
    <w:p w:rsidR="00A32067" w:rsidRDefault="00A32067">
      <w:pPr>
        <w:spacing w:line="360" w:lineRule="auto"/>
        <w:jc w:val="center"/>
        <w:rPr>
          <w:b/>
          <w:bCs/>
          <w:color w:val="000000"/>
          <w:kern w:val="36"/>
          <w:sz w:val="40"/>
          <w:szCs w:val="40"/>
        </w:rPr>
      </w:pPr>
      <w:r>
        <w:rPr>
          <w:rFonts w:cs="宋体" w:hint="eastAsia"/>
          <w:b/>
          <w:bCs/>
          <w:color w:val="000000"/>
          <w:kern w:val="36"/>
          <w:sz w:val="40"/>
          <w:szCs w:val="40"/>
        </w:rPr>
        <w:t>工作的若干规定</w:t>
      </w:r>
    </w:p>
    <w:p w:rsidR="00A32067" w:rsidRDefault="00A32067">
      <w:pPr>
        <w:spacing w:line="360" w:lineRule="auto"/>
        <w:jc w:val="center"/>
        <w:outlineLvl w:val="0"/>
        <w:rPr>
          <w:color w:val="000000"/>
          <w:kern w:val="36"/>
          <w:sz w:val="40"/>
          <w:szCs w:val="40"/>
        </w:rPr>
      </w:pPr>
    </w:p>
    <w:p w:rsidR="00A32067" w:rsidRDefault="00A32067">
      <w:pPr>
        <w:spacing w:line="360" w:lineRule="auto"/>
        <w:ind w:firstLine="482"/>
        <w:rPr>
          <w:color w:val="000000"/>
          <w:kern w:val="0"/>
          <w:sz w:val="22"/>
          <w:szCs w:val="22"/>
        </w:rPr>
      </w:pPr>
      <w:r>
        <w:rPr>
          <w:rFonts w:cs="宋体" w:hint="eastAsia"/>
          <w:color w:val="000000"/>
          <w:kern w:val="0"/>
          <w:sz w:val="22"/>
          <w:szCs w:val="22"/>
        </w:rPr>
        <w:t>当前建筑业和基本建设管理体制的改革正在深入开展，自一九八五年起国家预算内基本建设投资一律由拨款改为贷款，投资包干责任制和招标承包制也将逐步全面推行。这些都对工程建设概预算定额管理工作提出了新的要求，必须相应地改进概预算定额管理工作，以适应形势发展的需要。为此，特制定本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一、关于概预算定额</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．预算定额是编制施工图预算的依据，也是编制概算定额、概算指标的基础。为合理简化施工图预算的编制工作，预算定额应在合理确定定额水平的前提下，适当综合扩大，做到简明适用。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概算定额、概算指标主要是编制初步设计概算的依据，经主管部门决定或有关单位同意，也可以作为编制施工图预算的依据。各有关部门、各省、自治区、直辖市应根据工作需要，，在预算定额的基础上进行编制。</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．估算指标主要是编制建设项目设计任务书（或可行性研究报告）投资估算的依据。各有关部门、各省、自治区、直辖市应根据工作需要，在现有工程造价资料等的基础上，经过分析整理进行编制。</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切实加强补充定额工作。各部门、各地区的定额管理机构，应按照管理分工把编制补充预算定额作为一项重要任务，经常收集整理分析有关资料，及时制订必要的补充预算定额，以适应工作的需要。有关部门、单位应加强概算定额、概算指标和估算指标的补充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二、关于费用定额</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．建筑安装工程费，为由直接费、间接费和法定利润组成。</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现行施工独立费中的各项费用属于直接费性质的（如冬雨季施工增加费、夜间施工增加费等），改为其他直接费；属于间接费性质的（如临时设施费、劳保支出等），改为其他间接费，同施工管理费合并为间接费；属于其他费用性质的（如施工机构迁移费），改列</w:t>
      </w:r>
      <w:r>
        <w:rPr>
          <w:rFonts w:ascii="Times New Roman" w:hAnsi="Times New Roman" w:cs="Times New Roman"/>
          <w:color w:val="000000"/>
          <w:sz w:val="22"/>
          <w:szCs w:val="22"/>
        </w:rPr>
        <w:t>“</w:t>
      </w:r>
      <w:r>
        <w:rPr>
          <w:rFonts w:ascii="Times New Roman" w:hAnsi="Times New Roman" w:hint="eastAsia"/>
          <w:color w:val="000000"/>
          <w:sz w:val="22"/>
          <w:szCs w:val="22"/>
        </w:rPr>
        <w:t>工程建设其他费用</w:t>
      </w:r>
      <w:r>
        <w:rPr>
          <w:rFonts w:ascii="Times New Roman" w:hAnsi="Times New Roman" w:cs="Times New Roman"/>
          <w:color w:val="000000"/>
          <w:sz w:val="22"/>
          <w:szCs w:val="22"/>
        </w:rPr>
        <w:t>”</w:t>
      </w:r>
      <w:r>
        <w:rPr>
          <w:rFonts w:ascii="Times New Roman" w:hAnsi="Times New Roman" w:hint="eastAsia"/>
          <w:color w:val="000000"/>
          <w:sz w:val="22"/>
          <w:szCs w:val="22"/>
        </w:rPr>
        <w:t>。</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间接费的组成内容详见</w:t>
      </w:r>
      <w:r>
        <w:rPr>
          <w:rFonts w:ascii="Times New Roman" w:hAnsi="Times New Roman" w:cs="Times New Roman"/>
          <w:color w:val="000000"/>
          <w:sz w:val="22"/>
          <w:szCs w:val="22"/>
        </w:rPr>
        <w:t>“</w:t>
      </w:r>
      <w:r>
        <w:rPr>
          <w:rFonts w:ascii="Times New Roman" w:hAnsi="Times New Roman" w:hint="eastAsia"/>
          <w:color w:val="000000"/>
          <w:sz w:val="22"/>
          <w:szCs w:val="22"/>
        </w:rPr>
        <w:t>关于建筑安装工程费用项目划分暂行规定</w:t>
      </w:r>
      <w:r>
        <w:rPr>
          <w:rFonts w:ascii="Times New Roman" w:hAnsi="Times New Roman" w:cs="Times New Roman"/>
          <w:color w:val="000000"/>
          <w:sz w:val="22"/>
          <w:szCs w:val="22"/>
        </w:rPr>
        <w:t>”</w:t>
      </w:r>
      <w:r>
        <w:rPr>
          <w:rFonts w:ascii="Times New Roman" w:hAnsi="Times New Roman" w:hint="eastAsia"/>
          <w:color w:val="000000"/>
          <w:sz w:val="22"/>
          <w:szCs w:val="22"/>
        </w:rPr>
        <w:t>。</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．间接费定额的计算基础，建设工程以直接费为计算基础，个别地区已以人工费加机械费或以人工费为计算基础的可继续采用；安装工程以人工费为计算基础。</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制订间接费率时，施工管理费和各项其他间接费应分别制订费率（有些专业工程不宜制订临时设施费率的除外）。编制概预算时，可以综合费率表示。施工管理费率应按不同类型的工程及施工企业等级进行制订。</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．法定利润的计算基础，由</w:t>
      </w:r>
      <w:r>
        <w:rPr>
          <w:rFonts w:ascii="Times New Roman" w:hAnsi="Times New Roman" w:cs="Times New Roman"/>
          <w:color w:val="000000"/>
          <w:sz w:val="22"/>
          <w:szCs w:val="22"/>
        </w:rPr>
        <w:t>“</w:t>
      </w:r>
      <w:r>
        <w:rPr>
          <w:rFonts w:ascii="Times New Roman" w:hAnsi="Times New Roman" w:hint="eastAsia"/>
          <w:color w:val="000000"/>
          <w:sz w:val="22"/>
          <w:szCs w:val="22"/>
        </w:rPr>
        <w:t>预算成本</w:t>
      </w:r>
      <w:r>
        <w:rPr>
          <w:rFonts w:ascii="Times New Roman" w:hAnsi="Times New Roman" w:cs="Times New Roman"/>
          <w:color w:val="000000"/>
          <w:sz w:val="22"/>
          <w:szCs w:val="22"/>
        </w:rPr>
        <w:t>”</w:t>
      </w:r>
      <w:r>
        <w:rPr>
          <w:rFonts w:ascii="Times New Roman" w:hAnsi="Times New Roman" w:hint="eastAsia"/>
          <w:color w:val="000000"/>
          <w:sz w:val="22"/>
          <w:szCs w:val="22"/>
        </w:rPr>
        <w:t>改为以</w:t>
      </w:r>
      <w:r>
        <w:rPr>
          <w:rFonts w:ascii="Times New Roman" w:hAnsi="Times New Roman" w:cs="Times New Roman"/>
          <w:color w:val="000000"/>
          <w:sz w:val="22"/>
          <w:szCs w:val="22"/>
        </w:rPr>
        <w:t>“</w:t>
      </w:r>
      <w:r>
        <w:rPr>
          <w:rFonts w:ascii="Times New Roman" w:hAnsi="Times New Roman" w:hint="eastAsia"/>
          <w:color w:val="000000"/>
          <w:sz w:val="22"/>
          <w:szCs w:val="22"/>
        </w:rPr>
        <w:t>直接费和间接费</w:t>
      </w:r>
      <w:r>
        <w:rPr>
          <w:rFonts w:ascii="Times New Roman" w:hAnsi="Times New Roman" w:cs="Times New Roman"/>
          <w:color w:val="000000"/>
          <w:sz w:val="22"/>
          <w:szCs w:val="22"/>
        </w:rPr>
        <w:t>”</w:t>
      </w:r>
      <w:r>
        <w:rPr>
          <w:rFonts w:ascii="Times New Roman" w:hAnsi="Times New Roman" w:hint="eastAsia"/>
          <w:color w:val="000000"/>
          <w:sz w:val="22"/>
          <w:szCs w:val="22"/>
        </w:rPr>
        <w:t>或人工费为基础计取。</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．施工技术装备费在新改革办法未制订前，仍按现行规定办。</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5</w:t>
      </w:r>
      <w:r>
        <w:rPr>
          <w:rFonts w:ascii="Times New Roman" w:hAnsi="Times New Roman" w:hint="eastAsia"/>
          <w:color w:val="000000"/>
          <w:sz w:val="22"/>
          <w:szCs w:val="22"/>
        </w:rPr>
        <w:t>．工程建设其他费用的项目、内容和计算方法，详见</w:t>
      </w:r>
      <w:r>
        <w:rPr>
          <w:rFonts w:ascii="Times New Roman" w:hAnsi="Times New Roman" w:cs="Times New Roman"/>
          <w:color w:val="000000"/>
          <w:sz w:val="22"/>
          <w:szCs w:val="22"/>
        </w:rPr>
        <w:t>“</w:t>
      </w:r>
      <w:r>
        <w:rPr>
          <w:rFonts w:ascii="Times New Roman" w:hAnsi="Times New Roman" w:hint="eastAsia"/>
          <w:color w:val="000000"/>
          <w:sz w:val="22"/>
          <w:szCs w:val="22"/>
        </w:rPr>
        <w:t>关于工程建设其他费用项目划分暂行规定</w:t>
      </w:r>
      <w:r>
        <w:rPr>
          <w:rFonts w:ascii="Times New Roman" w:hAnsi="Times New Roman" w:cs="Times New Roman"/>
          <w:color w:val="000000"/>
          <w:sz w:val="22"/>
          <w:szCs w:val="22"/>
        </w:rPr>
        <w:t>”</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三、关于定额的管理分工</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．把现行的</w:t>
      </w:r>
      <w:r>
        <w:rPr>
          <w:rFonts w:ascii="Times New Roman" w:hAnsi="Times New Roman" w:cs="Times New Roman"/>
          <w:color w:val="000000"/>
          <w:sz w:val="22"/>
          <w:szCs w:val="22"/>
        </w:rPr>
        <w:t>“</w:t>
      </w:r>
      <w:r>
        <w:rPr>
          <w:rFonts w:ascii="Times New Roman" w:hAnsi="Times New Roman" w:hint="eastAsia"/>
          <w:color w:val="000000"/>
          <w:sz w:val="22"/>
          <w:szCs w:val="22"/>
        </w:rPr>
        <w:t>一般通用</w:t>
      </w:r>
      <w:r>
        <w:rPr>
          <w:rFonts w:ascii="Times New Roman" w:hAnsi="Times New Roman" w:cs="Times New Roman"/>
          <w:color w:val="000000"/>
          <w:sz w:val="22"/>
          <w:szCs w:val="22"/>
        </w:rPr>
        <w:t>”</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专业通用</w:t>
      </w:r>
      <w:r>
        <w:rPr>
          <w:rFonts w:ascii="Times New Roman" w:hAnsi="Times New Roman" w:cs="Times New Roman"/>
          <w:color w:val="000000"/>
          <w:sz w:val="22"/>
          <w:szCs w:val="22"/>
        </w:rPr>
        <w:t>”</w:t>
      </w:r>
      <w:r>
        <w:rPr>
          <w:rFonts w:ascii="Times New Roman" w:hAnsi="Times New Roman" w:hint="eastAsia"/>
          <w:color w:val="000000"/>
          <w:sz w:val="22"/>
          <w:szCs w:val="22"/>
        </w:rPr>
        <w:t>、</w:t>
      </w:r>
      <w:r>
        <w:rPr>
          <w:rFonts w:ascii="Times New Roman" w:hAnsi="Times New Roman" w:cs="Times New Roman"/>
          <w:color w:val="000000"/>
          <w:sz w:val="22"/>
          <w:szCs w:val="22"/>
        </w:rPr>
        <w:t>“</w:t>
      </w:r>
      <w:r>
        <w:rPr>
          <w:rFonts w:ascii="Times New Roman" w:hAnsi="Times New Roman" w:hint="eastAsia"/>
          <w:color w:val="000000"/>
          <w:sz w:val="22"/>
          <w:szCs w:val="22"/>
        </w:rPr>
        <w:t>专业专用</w:t>
      </w:r>
      <w:r>
        <w:rPr>
          <w:rFonts w:ascii="Times New Roman" w:hAnsi="Times New Roman" w:cs="Times New Roman"/>
          <w:color w:val="000000"/>
          <w:sz w:val="22"/>
          <w:szCs w:val="22"/>
        </w:rPr>
        <w:t>”</w:t>
      </w:r>
      <w:r>
        <w:rPr>
          <w:rFonts w:ascii="Times New Roman" w:hAnsi="Times New Roman" w:hint="eastAsia"/>
          <w:color w:val="000000"/>
          <w:sz w:val="22"/>
          <w:szCs w:val="22"/>
        </w:rPr>
        <w:t>定额，改称</w:t>
      </w:r>
      <w:r>
        <w:rPr>
          <w:rFonts w:ascii="Times New Roman" w:hAnsi="Times New Roman" w:cs="Times New Roman"/>
          <w:color w:val="000000"/>
          <w:sz w:val="22"/>
          <w:szCs w:val="22"/>
        </w:rPr>
        <w:t>“</w:t>
      </w:r>
      <w:r>
        <w:rPr>
          <w:rFonts w:ascii="Times New Roman" w:hAnsi="Times New Roman" w:hint="eastAsia"/>
          <w:color w:val="000000"/>
          <w:sz w:val="22"/>
          <w:szCs w:val="22"/>
        </w:rPr>
        <w:t>全国统一定额</w:t>
      </w:r>
      <w:r>
        <w:rPr>
          <w:rFonts w:ascii="Times New Roman" w:hAnsi="Times New Roman" w:cs="Times New Roman"/>
          <w:color w:val="000000"/>
          <w:sz w:val="22"/>
          <w:szCs w:val="22"/>
        </w:rPr>
        <w:t>”</w:t>
      </w:r>
      <w:r>
        <w:rPr>
          <w:rFonts w:ascii="Times New Roman" w:hAnsi="Times New Roman" w:hint="eastAsia"/>
          <w:color w:val="000000"/>
          <w:sz w:val="22"/>
          <w:szCs w:val="22"/>
        </w:rPr>
        <w:t>或</w:t>
      </w:r>
      <w:r>
        <w:rPr>
          <w:rFonts w:ascii="Times New Roman" w:hAnsi="Times New Roman" w:cs="Times New Roman"/>
          <w:color w:val="000000"/>
          <w:sz w:val="22"/>
          <w:szCs w:val="22"/>
        </w:rPr>
        <w:t>“</w:t>
      </w:r>
      <w:r>
        <w:rPr>
          <w:rFonts w:ascii="Times New Roman" w:hAnsi="Times New Roman" w:hint="eastAsia"/>
          <w:color w:val="000000"/>
          <w:sz w:val="22"/>
          <w:szCs w:val="22"/>
        </w:rPr>
        <w:t>地区统一定额</w:t>
      </w:r>
      <w:r>
        <w:rPr>
          <w:rFonts w:ascii="Times New Roman" w:hAnsi="Times New Roman" w:cs="Times New Roman"/>
          <w:color w:val="000000"/>
          <w:sz w:val="22"/>
          <w:szCs w:val="22"/>
        </w:rPr>
        <w:t>”</w:t>
      </w:r>
      <w:r>
        <w:rPr>
          <w:rFonts w:ascii="Times New Roman" w:hAnsi="Times New Roman" w:hint="eastAsia"/>
          <w:color w:val="000000"/>
          <w:sz w:val="22"/>
          <w:szCs w:val="22"/>
        </w:rPr>
        <w:t>，并适当调整管理分工。</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现行的一般通用建筑工程预算定额，改称地区统一定额，由各省、自治区、直辖市计委、建委负责组织建设银行等有关单位，在国家有关统一规定的基础上进行制订；由计委、建委负责审批和管理，并报国家计委、建设银行总行备案。</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现行的通用设备安装工程预算定额、专业通用、专业专用的预算定额，改称全国统一定额。其中通用性强的全国统一预算定额由主编部门组织审查，报国家计委批准颁发；其余的均由主管部门审批，报国家计委备案。</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．概算定额、概算指标和估算指标，分别由各有关部门和各省、自治区、直辖市主管部门审批，并报国家计委备案。</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．费用定额的管理分工按</w:t>
      </w:r>
      <w:r>
        <w:rPr>
          <w:rFonts w:ascii="Times New Roman" w:hAnsi="Times New Roman" w:cs="Times New Roman"/>
          <w:color w:val="000000"/>
          <w:sz w:val="22"/>
          <w:szCs w:val="22"/>
        </w:rPr>
        <w:t>“</w:t>
      </w:r>
      <w:r>
        <w:rPr>
          <w:rFonts w:ascii="Times New Roman" w:hAnsi="Times New Roman" w:hint="eastAsia"/>
          <w:color w:val="000000"/>
          <w:sz w:val="22"/>
          <w:szCs w:val="22"/>
        </w:rPr>
        <w:t>关于建筑安装工程费用项目划分暂行规定</w:t>
      </w:r>
      <w:r>
        <w:rPr>
          <w:rFonts w:ascii="Times New Roman" w:hAnsi="Times New Roman" w:cs="Times New Roman"/>
          <w:color w:val="000000"/>
          <w:sz w:val="22"/>
          <w:szCs w:val="22"/>
        </w:rPr>
        <w:t>”</w:t>
      </w:r>
      <w:r>
        <w:rPr>
          <w:rFonts w:ascii="Times New Roman" w:hAnsi="Times New Roman" w:hint="eastAsia"/>
          <w:color w:val="000000"/>
          <w:sz w:val="22"/>
          <w:szCs w:val="22"/>
        </w:rPr>
        <w:t>和</w:t>
      </w:r>
      <w:r>
        <w:rPr>
          <w:rFonts w:ascii="Times New Roman" w:hAnsi="Times New Roman" w:cs="Times New Roman"/>
          <w:color w:val="000000"/>
          <w:sz w:val="22"/>
          <w:szCs w:val="22"/>
        </w:rPr>
        <w:t>“</w:t>
      </w:r>
      <w:r>
        <w:rPr>
          <w:rFonts w:ascii="Times New Roman" w:hAnsi="Times New Roman" w:hint="eastAsia"/>
          <w:color w:val="000000"/>
          <w:sz w:val="22"/>
          <w:szCs w:val="22"/>
        </w:rPr>
        <w:t>关于工程建设其他费用项目划分暂行规定</w:t>
      </w:r>
      <w:r>
        <w:rPr>
          <w:rFonts w:ascii="Times New Roman" w:hAnsi="Times New Roman" w:cs="Times New Roman"/>
          <w:color w:val="000000"/>
          <w:sz w:val="22"/>
          <w:szCs w:val="22"/>
        </w:rPr>
        <w:t>”</w:t>
      </w:r>
      <w:r>
        <w:rPr>
          <w:rFonts w:ascii="Times New Roman" w:hAnsi="Times New Roman" w:hint="eastAsia"/>
          <w:color w:val="000000"/>
          <w:sz w:val="22"/>
          <w:szCs w:val="22"/>
        </w:rPr>
        <w:t>的规定执行。</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．有关概预算定额等的编制管理办法、必要的统一性规定、定额的制订修订工作计划和通用性强的全国统一预算定额的审批等工作由国家计委负责。</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四、关于概预算定额的基价及其价差调整</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各种概预算定额一般应列出基价。全国统一定额应按北京地区的工资标准、材料预算价格、机械台班单价计算基价，主管部门另有规定的除外；地区统一定额和通用性强的全国统一预算定额，以省会所在地的工资标准、材料预算价格、机械台班单价计算基价。在定额表中一般应列出基价所依据的单价并在附录中列出材料预算价格取定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编制概预算时，对概预算定额基价的调整可采取：一是按概预算定额的附表中列出的不同类型工程的万元工料表和工程所在地的相应的工资标准和材料预算价格计算价差调整系数；二是按工程项目的主要材料、人工费、机械使用费的分析表和工程所在地的相应的工资标准、材料预算价格计算价差调整系数；或其他方法。</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各地区主管定额工作的综合部门，应会同有关部门负责提供计算价差调整系数必需的各种材料预算价格。</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五、关于定额的执行</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．实行干什么工程用什么定额的办法。一般工业与民用建筑工程一律采用工程所在地的地区统一定额。各专业都结合专业特点补充制订的预算定额，应具体明确适用于什么工程，以便有关单位采用。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间接费定额与直接费定额一般应配套使用，执行什么直接费定额就采用相应的间接费定额。各专业部结合专业特点补充制订的预算定额，仍应按间接费定额的管理分工，采用相应的间接费定额。</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．对于实行招标承包制的工程，施工企业在投标报价时，对各项定额可适当浮动。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．在按照本规定制订的间接费定额尚未颁发前，对于一般工业与民用建筑工程、通用设备安装工程的施工管理费定额及施工独立费定额，采用工程所在地的省、自治区、直辖市的有关规定。</w:t>
      </w: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line="360" w:lineRule="auto"/>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pStyle w:val="NormalWeb"/>
        <w:shd w:val="clear" w:color="auto" w:fill="FFFFFF"/>
        <w:spacing w:before="0" w:beforeAutospacing="0" w:after="0" w:afterAutospacing="0"/>
        <w:rPr>
          <w:rFonts w:ascii="Times New Roman" w:eastAsia="微软雅黑" w:hAnsi="Times New Roman" w:cs="Times New Roman"/>
          <w:color w:val="000000"/>
        </w:rPr>
      </w:pPr>
    </w:p>
    <w:p w:rsidR="00A32067" w:rsidRDefault="00A32067">
      <w:pPr>
        <w:spacing w:line="360" w:lineRule="auto"/>
        <w:rPr>
          <w:color w:val="000000"/>
          <w:kern w:val="36"/>
          <w:sz w:val="24"/>
          <w:szCs w:val="24"/>
        </w:rPr>
        <w:sectPr w:rsidR="00A32067">
          <w:pgSz w:w="11907" w:h="16840"/>
          <w:pgMar w:top="1134" w:right="1077" w:bottom="1134" w:left="1077" w:header="794" w:footer="567" w:gutter="284"/>
          <w:cols w:space="720"/>
          <w:docGrid w:linePitch="312"/>
        </w:sectPr>
      </w:pPr>
    </w:p>
    <w:p w:rsidR="00A32067" w:rsidRDefault="00A32067">
      <w:pPr>
        <w:spacing w:line="360" w:lineRule="auto"/>
        <w:rPr>
          <w:color w:val="000000"/>
          <w:kern w:val="36"/>
          <w:sz w:val="24"/>
          <w:szCs w:val="24"/>
        </w:rPr>
      </w:pPr>
      <w:r>
        <w:rPr>
          <w:rFonts w:cs="宋体" w:hint="eastAsia"/>
          <w:color w:val="000000"/>
          <w:kern w:val="36"/>
          <w:sz w:val="24"/>
          <w:szCs w:val="24"/>
        </w:rPr>
        <w:t>附件二：</w:t>
      </w:r>
    </w:p>
    <w:p w:rsidR="00A32067" w:rsidRDefault="00A32067" w:rsidP="0002085C">
      <w:pPr>
        <w:spacing w:afterLines="50" w:line="360" w:lineRule="auto"/>
        <w:jc w:val="center"/>
        <w:rPr>
          <w:b/>
          <w:bCs/>
          <w:color w:val="000000"/>
          <w:kern w:val="36"/>
          <w:sz w:val="40"/>
          <w:szCs w:val="40"/>
        </w:rPr>
      </w:pPr>
      <w:r>
        <w:rPr>
          <w:rFonts w:cs="宋体" w:hint="eastAsia"/>
          <w:b/>
          <w:bCs/>
          <w:color w:val="000000"/>
          <w:kern w:val="36"/>
          <w:sz w:val="40"/>
          <w:szCs w:val="40"/>
        </w:rPr>
        <w:t>关于建筑安装工程费用项目划分暂行规定</w:t>
      </w:r>
    </w:p>
    <w:p w:rsidR="00A32067" w:rsidRDefault="00A32067">
      <w:pPr>
        <w:spacing w:line="360" w:lineRule="auto"/>
        <w:ind w:firstLine="482"/>
        <w:rPr>
          <w:color w:val="000000"/>
          <w:kern w:val="0"/>
          <w:sz w:val="22"/>
          <w:szCs w:val="22"/>
        </w:rPr>
      </w:pPr>
      <w:r>
        <w:rPr>
          <w:rFonts w:cs="宋体" w:hint="eastAsia"/>
          <w:color w:val="000000"/>
          <w:kern w:val="0"/>
          <w:sz w:val="22"/>
          <w:szCs w:val="22"/>
        </w:rPr>
        <w:t>根据国务院国发〔</w:t>
      </w:r>
      <w:r>
        <w:rPr>
          <w:color w:val="000000"/>
          <w:kern w:val="0"/>
          <w:sz w:val="22"/>
          <w:szCs w:val="22"/>
        </w:rPr>
        <w:t>1984</w:t>
      </w:r>
      <w:r>
        <w:rPr>
          <w:rFonts w:cs="宋体" w:hint="eastAsia"/>
          <w:color w:val="000000"/>
          <w:kern w:val="0"/>
          <w:sz w:val="22"/>
          <w:szCs w:val="22"/>
        </w:rPr>
        <w:t>〕</w:t>
      </w:r>
      <w:r>
        <w:rPr>
          <w:color w:val="000000"/>
          <w:kern w:val="0"/>
          <w:sz w:val="22"/>
          <w:szCs w:val="22"/>
        </w:rPr>
        <w:t>35</w:t>
      </w:r>
      <w:r>
        <w:rPr>
          <w:rFonts w:cs="宋体" w:hint="eastAsia"/>
          <w:color w:val="000000"/>
          <w:kern w:val="0"/>
          <w:sz w:val="22"/>
          <w:szCs w:val="22"/>
        </w:rPr>
        <w:t>号批转国家计委《关于清理向建设项目取费和整顿意见的通知》的精神和要求，为统一建筑安装工程费用的项目、内容和计算方法，明确间接费定额的管理分工，特制定本规定。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一、建筑安装工程费用划分为直接费、间接费和法定利润三个部分。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二、直接费由人工费、材料费、施工机械使用费和其他直接费组成。直接费的内容：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人工费：指应列入预算定额的直接从事建筑安装工程施工工人（包括现场内水平、垂直运输等辅助工人）和附属辅助生产单位（非独立经济核算单位）工人的人工数和相应的基本工资、附加工资（未冲减部分）和工资性质的津贴（包括副食补贴、煤粮差价补贴等）计算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．材料费：指应列入预算定额的材料、构件、零件和半成品的用量以及周转材料的摊销量和相应的预算价格计算的费用。预算价格的组成：（</w:t>
      </w:r>
      <w:r>
        <w:rPr>
          <w:rFonts w:ascii="Times New Roman" w:hAnsi="Times New Roman" w:cs="Times New Roman"/>
          <w:color w:val="000000"/>
          <w:sz w:val="22"/>
          <w:szCs w:val="22"/>
        </w:rPr>
        <w:t>1</w:t>
      </w:r>
      <w:r>
        <w:rPr>
          <w:rFonts w:ascii="Times New Roman" w:hAnsi="Times New Roman" w:hint="eastAsia"/>
          <w:color w:val="000000"/>
          <w:sz w:val="22"/>
          <w:szCs w:val="22"/>
        </w:rPr>
        <w:t>）材料的原价；（</w:t>
      </w:r>
      <w:r>
        <w:rPr>
          <w:rFonts w:ascii="Times New Roman" w:hAnsi="Times New Roman" w:cs="Times New Roman"/>
          <w:color w:val="000000"/>
          <w:sz w:val="22"/>
          <w:szCs w:val="22"/>
        </w:rPr>
        <w:t>2</w:t>
      </w:r>
      <w:r>
        <w:rPr>
          <w:rFonts w:ascii="Times New Roman" w:hAnsi="Times New Roman" w:hint="eastAsia"/>
          <w:color w:val="000000"/>
          <w:sz w:val="22"/>
          <w:szCs w:val="22"/>
        </w:rPr>
        <w:t>）材料供销部门手续费（包括物资承包公司的劳务费）；（</w:t>
      </w:r>
      <w:r>
        <w:rPr>
          <w:rFonts w:ascii="Times New Roman" w:hAnsi="Times New Roman" w:cs="Times New Roman"/>
          <w:color w:val="000000"/>
          <w:sz w:val="22"/>
          <w:szCs w:val="22"/>
        </w:rPr>
        <w:t>3</w:t>
      </w:r>
      <w:r>
        <w:rPr>
          <w:rFonts w:ascii="Times New Roman" w:hAnsi="Times New Roman" w:hint="eastAsia"/>
          <w:color w:val="000000"/>
          <w:sz w:val="22"/>
          <w:szCs w:val="22"/>
        </w:rPr>
        <w:t>）包装费（不包括押金并减去回收值）；（</w:t>
      </w:r>
      <w:r>
        <w:rPr>
          <w:rFonts w:ascii="Times New Roman" w:hAnsi="Times New Roman" w:cs="Times New Roman"/>
          <w:color w:val="000000"/>
          <w:sz w:val="22"/>
          <w:szCs w:val="22"/>
        </w:rPr>
        <w:t>4</w:t>
      </w:r>
      <w:r>
        <w:rPr>
          <w:rFonts w:ascii="Times New Roman" w:hAnsi="Times New Roman" w:hint="eastAsia"/>
          <w:color w:val="000000"/>
          <w:sz w:val="22"/>
          <w:szCs w:val="22"/>
        </w:rPr>
        <w:t>）材料自来源地运至工地仓库（施工地点存放材料的地方）的全部运输过程中所支出的运输、装卸及合理的运输损耗等费用；（</w:t>
      </w:r>
      <w:r>
        <w:rPr>
          <w:rFonts w:ascii="Times New Roman" w:hAnsi="Times New Roman" w:cs="Times New Roman"/>
          <w:color w:val="000000"/>
          <w:sz w:val="22"/>
          <w:szCs w:val="22"/>
        </w:rPr>
        <w:t>5</w:t>
      </w:r>
      <w:r>
        <w:rPr>
          <w:rFonts w:ascii="Times New Roman" w:hAnsi="Times New Roman" w:hint="eastAsia"/>
          <w:color w:val="000000"/>
          <w:sz w:val="22"/>
          <w:szCs w:val="22"/>
        </w:rPr>
        <w:t>）材料采购及保管费。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施工机械使用费：指应列入预算定额的施工机械台班量和台班费用定额计算的建筑安装工程施工机械使用费、其他机械合作费和施工机械进出场费。台班费的内容包括：基本折旧和大修理折旧，中小修理费，替换设备、工具及附具费，润滑及擦拭材料费，安装、拆卸及辅助设施费，管理费，驾驶人员的基本工资、附加工资（未冲减部分）和工资性质的津贴，动力和燃料费，施工运输机械的养路费、车船使用税（即牌照税）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其他直接费：指预算定额分项中和间接费定额规定以外的现场施工生产需用的水、电、蒸汽，冬雨季施工增加费，夜间施工增加费，流动施工津贴，特殊地区（仅限原始森林地区，海拨２，０００米以上的高原地区）施工增加费，铁路、公路工程行车干扰费，送电工程干扰通讯保护措施费，特殊公程技术培训费，因场地狭小等特殊情况而发生的材料二次搬运费以及按照井巷工程辅助费定额计算的井巷工程辅助费等。其他直接费也可直接计入预算定额分项中，但不得重复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三、间接费：由施工管理费和其他间接费组成。</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．施工管理费的内容：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工作人员工资：指施工企业的政治、行政、经济、技术、试验、警卫、消防、炊事和勤杂人员以及行政管理部门汽车司机等的基本工资、附加工资（未冲减部分），辅助工资和工资性质的津贴（包括副食品补贴、流动施工津贴和煤粮差价补贴）。不包括由材料采购及保管费、职工福利基金、工会经费、营业外开支的人员的工资。</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生产工人辅助工资：指建筑安装工人（包括现场内水平、垂直运输等辅助工人）、附属生产单位（非独立经济核算单位）工人和驾驶施工机构、运输工具司机的辅助工资。内容包括：开会和执行必要的社会义务时间的工资，职工学习、培训期间的工资，调动工作期间的工资和探亲假期的工资，因气候影响停工的工资（如在预算定额内综合计算的不列），女工哺乳时间的工资，由行政直接支付的病（六个月以内）、产、婚、丧假期的工资，值班人员夜餐补助津贴，徒工服装补助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）工资附加费：指按照国家规定计算的职工福利基金和工会经费。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）办公费：指行政管理办公用的文具、纸张、帐表、印刷、邮电、书报、会议、水电、烧水和集体取暖（包括现场临时宿舍取暖）用煤等费用。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5</w:t>
      </w:r>
      <w:r>
        <w:rPr>
          <w:rFonts w:ascii="Times New Roman" w:hAnsi="Times New Roman" w:hint="eastAsia"/>
          <w:color w:val="000000"/>
          <w:sz w:val="22"/>
          <w:szCs w:val="22"/>
        </w:rPr>
        <w:t>）差旅交通费：指职工因公出差、调动工作（包括家属）的差旅费、住勤补助费、市内交通费和午餐补助费，职工上下班交通补贴费，职工探亲路费，劳动力招募费，职工退休、离休、退职一次性路费，工伤人员就医路费，工地转移费，以及行政管理部门使用的交通工具的油料、燃料、养路费、车船使用税（即牌照税）。</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6</w:t>
      </w:r>
      <w:r>
        <w:rPr>
          <w:rFonts w:ascii="Times New Roman" w:hAnsi="Times New Roman" w:hint="eastAsia"/>
          <w:color w:val="000000"/>
          <w:sz w:val="22"/>
          <w:szCs w:val="22"/>
        </w:rPr>
        <w:t>）固定资产使用费：行政管理、试验部门和附属生产单位（非独立经济核算单位）使用的属于固定资产的房屋、设备（附属生产单位的生产设备除外）、仪器等的折旧基金，大修理基金，维修、租赁费以及房产税，土地使用税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7</w:t>
      </w:r>
      <w:r>
        <w:rPr>
          <w:rFonts w:ascii="Times New Roman" w:hAnsi="Times New Roman" w:hint="eastAsia"/>
          <w:color w:val="000000"/>
          <w:sz w:val="22"/>
          <w:szCs w:val="22"/>
        </w:rPr>
        <w:t>）工具用具使用费：指施工、生产和行政管理使用的，不属于固定资产的工具、器具、家俱、交通工具和检验、试验、测绘、消防用具等的购置、摊销和维修费，以及支付给工人自备工具的补贴费。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8</w:t>
      </w:r>
      <w:r>
        <w:rPr>
          <w:rFonts w:ascii="Times New Roman" w:hAnsi="Times New Roman" w:hint="eastAsia"/>
          <w:color w:val="000000"/>
          <w:sz w:val="22"/>
          <w:szCs w:val="22"/>
        </w:rPr>
        <w:t>）劳动保护费：指按国家有关部门规定标准发放的劳动保护用品的购置费、修理费和保健费，防署降温费，技术安全设施费以及职工在工地洗澡、饮水的燃料费等。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9</w:t>
      </w:r>
      <w:r>
        <w:rPr>
          <w:rFonts w:ascii="Times New Roman" w:hAnsi="Times New Roman" w:hint="eastAsia"/>
          <w:color w:val="000000"/>
          <w:sz w:val="22"/>
          <w:szCs w:val="22"/>
        </w:rPr>
        <w:t>）检验试验费：指对建筑材料、构件和建筑物进行一般鉴定、检验所发生的费用（包括自设试验室进行试验所耗用的材料和化学药品费用等）以及技术革新和研究试验费。不包括新结构、新材料的试验费和建设单位要求对有出厂证明的材料进行试验和对构件破坏性试验和其他特殊要求检验试验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10</w:t>
      </w:r>
      <w:r>
        <w:rPr>
          <w:rFonts w:ascii="Times New Roman" w:hAnsi="Times New Roman" w:hint="eastAsia"/>
          <w:color w:val="000000"/>
          <w:sz w:val="22"/>
          <w:szCs w:val="22"/>
        </w:rPr>
        <w:t>）职工教育经费：按财政部有关规定在工资总额百分之一点五的范围内掌握开支的在职职工教育经费。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11</w:t>
      </w:r>
      <w:r>
        <w:rPr>
          <w:rFonts w:ascii="Times New Roman" w:hAnsi="Times New Roman" w:hint="eastAsia"/>
          <w:color w:val="000000"/>
          <w:sz w:val="22"/>
          <w:szCs w:val="22"/>
        </w:rPr>
        <w:t>）利息支出：指企业在按照规定支付银行的计划内流动资金贷款利息。</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12</w:t>
      </w:r>
      <w:r>
        <w:rPr>
          <w:rFonts w:ascii="Times New Roman" w:hAnsi="Times New Roman" w:hint="eastAsia"/>
          <w:color w:val="000000"/>
          <w:sz w:val="22"/>
          <w:szCs w:val="22"/>
        </w:rPr>
        <w:t>）其他费用：指上述项目以外的其他必要的费用支出，包括：定额测定、预算定额编制管理、定位复测、工程点交、场地清理、现场照明、支付临时工劳动力管理费、民兵训练以及有权部门批准应由企业负担的企业性上级管理费（没有规定向上级主管部门上交的不列）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远地施工时（指超过施工管理费一般考虑的范围），一般工业与民用建筑安装工程可适当增加施工管理费用。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其他间接费：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）临时设施费：指施工企业为进行建筑安装工程施工所必需的生活和生产用的临时建筑物、构筑物和其他临时设施费用等。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临时设施包括：临时宿舍、文化福利及公用事业房屋与构筑物，仓库、办公室、加工厂以及规定范围内道路、水、电、管线等临时设施和小型临时设施。不包括水利、电力、铁路、公路、水运、林业等工程单独编制临时工程设计的临时工程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临时设施费用的内容包括：临时设施的搭设、维修、拆除费和摊销费，以及施工期间专用公路养护费、维修费。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劳保支出：指国营施工企业由福利基金支出以外的，按劳保条例规定的退休职工、离休干部的费用和六个月以上的病假工资及按照上述职工工资提取的职工福利基金。年实际支出大于收入时，在施工企业税前利润中是支付，其盈余部分列作营业外收入。有条件的可实行由主管部门统筹使用的办法。待实行全行业劳动保险后，按新规定办理。</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施工队伍调遣费：指铁路、公路、通信线路、水运等工程，因建设任务的需要，根据合同规定应支付的队伍往返调遣费用。费用包括：职工的差旅费，职工调遣期间的工资，施工机械、设备、工具、用具和周转材料等的运杂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间接费的计算方法：（１）建筑工程一般以直接费为基础，安装工程以人工费为基础，按照间接费率计算。材料实际价格与预算价格的价差不应计取间接费。（２）施工队伍调遣费按照施工队伍调遣计划和有关费用规定计算。</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间接费定额的管理分工。一般工业与民用建筑工程，以及除规定由各主管部门制订、审批和管理以外的全国统一安装工程间接费定额，均由各省、自治区、直辖市计委、建委制订、审批和管理。对于临时设施费、劳保支出，各专业部有特殊要求时，经国家计委同意，可作补充规定。其余的建筑工程间接费定额分别由各主管部门制订、审批和管理。各项间接费定额均报国家计委备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四、法定利润：指按照国家规定的法定利润率诸取的利润。</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计算方法：以直接费和间接费或以人工费为基础计算。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五、以上费用项目划分，适用于各省、自治区、直辖市和国务院各部门。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六、各省、自治区、直辖市和国务院有关部门，可根据本规定，结合本地区、本行业的特点，制订实施细则并报国家计委备案。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七、本规定自颁发之日起，原国家建委、财政部颁发的（</w:t>
      </w:r>
      <w:r>
        <w:rPr>
          <w:rFonts w:ascii="Times New Roman" w:hAnsi="Times New Roman" w:cs="Times New Roman"/>
          <w:color w:val="000000"/>
          <w:sz w:val="22"/>
          <w:szCs w:val="22"/>
        </w:rPr>
        <w:t>78</w:t>
      </w:r>
      <w:r>
        <w:rPr>
          <w:rFonts w:ascii="Times New Roman" w:hAnsi="Times New Roman" w:hint="eastAsia"/>
          <w:color w:val="000000"/>
          <w:sz w:val="22"/>
          <w:szCs w:val="22"/>
        </w:rPr>
        <w:t>）建发施字第</w:t>
      </w:r>
      <w:r>
        <w:rPr>
          <w:rFonts w:ascii="Times New Roman" w:hAnsi="Times New Roman" w:cs="Times New Roman"/>
          <w:color w:val="000000"/>
          <w:sz w:val="22"/>
          <w:szCs w:val="22"/>
        </w:rPr>
        <w:t>98</w:t>
      </w:r>
      <w:r>
        <w:rPr>
          <w:rFonts w:ascii="Times New Roman" w:hAnsi="Times New Roman" w:hint="eastAsia"/>
          <w:color w:val="000000"/>
          <w:sz w:val="22"/>
          <w:szCs w:val="22"/>
        </w:rPr>
        <w:t>号附件二关于</w:t>
      </w:r>
      <w:r>
        <w:rPr>
          <w:rFonts w:ascii="Times New Roman" w:hAnsi="Times New Roman" w:cs="Times New Roman"/>
          <w:color w:val="000000"/>
          <w:sz w:val="22"/>
          <w:szCs w:val="22"/>
        </w:rPr>
        <w:t>“</w:t>
      </w:r>
      <w:r>
        <w:rPr>
          <w:rFonts w:ascii="Times New Roman" w:hAnsi="Times New Roman" w:hint="eastAsia"/>
          <w:color w:val="000000"/>
          <w:sz w:val="22"/>
          <w:szCs w:val="22"/>
        </w:rPr>
        <w:t>建筑安装工程费用项目划分暂行规定</w:t>
      </w:r>
      <w:r>
        <w:rPr>
          <w:rFonts w:ascii="Times New Roman" w:hAnsi="Times New Roman" w:cs="Times New Roman"/>
          <w:color w:val="000000"/>
          <w:sz w:val="22"/>
          <w:szCs w:val="22"/>
        </w:rPr>
        <w:t>”</w:t>
      </w:r>
      <w:r>
        <w:rPr>
          <w:rFonts w:ascii="Times New Roman" w:hAnsi="Times New Roman" w:hint="eastAsia"/>
          <w:color w:val="000000"/>
          <w:sz w:val="22"/>
          <w:szCs w:val="22"/>
        </w:rPr>
        <w:t>停止执行。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pPr>
        <w:spacing w:line="360" w:lineRule="auto"/>
        <w:outlineLvl w:val="0"/>
        <w:rPr>
          <w:color w:val="000000"/>
          <w:kern w:val="36"/>
          <w:sz w:val="24"/>
          <w:szCs w:val="24"/>
        </w:rPr>
      </w:pPr>
    </w:p>
    <w:p w:rsidR="00A32067" w:rsidRDefault="00A32067">
      <w:pPr>
        <w:spacing w:line="360" w:lineRule="auto"/>
        <w:rPr>
          <w:color w:val="000000"/>
          <w:kern w:val="36"/>
          <w:sz w:val="24"/>
          <w:szCs w:val="24"/>
        </w:rPr>
        <w:sectPr w:rsidR="00A32067">
          <w:pgSz w:w="11907" w:h="16840"/>
          <w:pgMar w:top="1134" w:right="1077" w:bottom="1134" w:left="1077" w:header="794" w:footer="567" w:gutter="284"/>
          <w:cols w:space="720"/>
          <w:docGrid w:linePitch="312"/>
        </w:sectPr>
      </w:pPr>
    </w:p>
    <w:p w:rsidR="00A32067" w:rsidRDefault="00A32067">
      <w:pPr>
        <w:spacing w:line="360" w:lineRule="auto"/>
        <w:rPr>
          <w:color w:val="000000"/>
          <w:kern w:val="36"/>
          <w:sz w:val="24"/>
          <w:szCs w:val="24"/>
        </w:rPr>
      </w:pPr>
      <w:r>
        <w:rPr>
          <w:rFonts w:cs="宋体" w:hint="eastAsia"/>
          <w:color w:val="000000"/>
          <w:kern w:val="36"/>
          <w:sz w:val="24"/>
          <w:szCs w:val="24"/>
        </w:rPr>
        <w:t>附件三：</w:t>
      </w:r>
    </w:p>
    <w:p w:rsidR="00A32067" w:rsidRDefault="00A32067" w:rsidP="0002085C">
      <w:pPr>
        <w:spacing w:afterLines="50" w:line="360" w:lineRule="auto"/>
        <w:jc w:val="center"/>
        <w:rPr>
          <w:b/>
          <w:bCs/>
          <w:color w:val="000000"/>
          <w:kern w:val="36"/>
          <w:sz w:val="40"/>
          <w:szCs w:val="40"/>
        </w:rPr>
      </w:pPr>
      <w:r>
        <w:rPr>
          <w:rFonts w:cs="宋体" w:hint="eastAsia"/>
          <w:b/>
          <w:bCs/>
          <w:color w:val="000000"/>
          <w:kern w:val="36"/>
          <w:sz w:val="40"/>
          <w:szCs w:val="40"/>
        </w:rPr>
        <w:t>关于工程建设其他费用项目划分暂行规定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根据国务院国发〔</w:t>
      </w:r>
      <w:r>
        <w:rPr>
          <w:rFonts w:ascii="Times New Roman" w:hAnsi="Times New Roman" w:cs="Times New Roman"/>
          <w:color w:val="000000"/>
          <w:sz w:val="22"/>
          <w:szCs w:val="22"/>
        </w:rPr>
        <w:t>1984</w:t>
      </w:r>
      <w:r>
        <w:rPr>
          <w:rFonts w:ascii="Times New Roman" w:hAnsi="Times New Roman" w:hint="eastAsia"/>
          <w:color w:val="000000"/>
          <w:sz w:val="22"/>
          <w:szCs w:val="22"/>
        </w:rPr>
        <w:t>〕</w:t>
      </w:r>
      <w:r>
        <w:rPr>
          <w:rFonts w:ascii="Times New Roman" w:hAnsi="Times New Roman" w:cs="Times New Roman"/>
          <w:color w:val="000000"/>
          <w:sz w:val="22"/>
          <w:szCs w:val="22"/>
        </w:rPr>
        <w:t>35</w:t>
      </w:r>
      <w:r>
        <w:rPr>
          <w:rFonts w:ascii="Times New Roman" w:hAnsi="Times New Roman" w:hint="eastAsia"/>
          <w:color w:val="000000"/>
          <w:sz w:val="22"/>
          <w:szCs w:val="22"/>
        </w:rPr>
        <w:t>号批转国家计委《关于清理向建设项目取费和整顿意见的通知》的精神和要求，为统一工程建设其他费用的项目、内容和编制方法，并为合理确定工程造价提供依据，特制定本规定。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一、工程建设其他费用，系指根据有关规定应在基本建设投资中支付的，并列入建设项目总概算或单项工程综合概预算的，除建设安装工程费用和设备、工器具购置费以外的一些费用。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二、工程建设其他费用定额的编制应贯彻细算粗编、不留活口的原则，以利于实行费用包干。</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各省、自治区、直辖市和国务院各有关部门应根据本规定编制各项费用的具体定额，一般不应增加新的费用项目。对项目所包含的内容也不要随意增加，对其中个别费用项目在本地区、本部门不发生的不应计列。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三、工程建设其他费用定额实行统一领导、分级管理的原则。</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工程建设其他费用的编制原则、项目划分、项目内容、计算方法以及全国能够统一和必须统一的定额由国家计委制订、颁发和管理。除统一定额以外的其他具体费用定额，分别由各省、自治区、直辖市和国务院有关部门按照以下分工的规定，负责制订、审批、颁发和管理并报国家计委备案。</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．土地、青苗等补偿费和安置补助费标准由各省、自治区、直辖市人民政府及有关部门按照《国家建设征用土地条例》制订实施细则并颁发执行。</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建设单位管理费、研究试验费、生产职工培训费、办公和生活家具购置费、联合试运转费、施工机构迁移费和工器具及生产家具购置费、矿山井巷维修费、预备费等定额，由国务院各主管部门制订、审批、颁发和管理。各省、自治区、直辖市对其所属建设项目可结合本地区的特点进行调整。</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．引进技术和进口设备的其他费用定额由国务院有关主管部门制订、审批、颁发和管理。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四、工程建设其他费用项目的组成内容和编制方法：</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土地、青苗等补偿费和安置补助费：指按照国务院关于《国家建设征用土地条例》规定所应支付的土地补偿费、青苗补偿费、被征用土地上的房屋、水井、树木等附着物补偿费、迁坟费和安置补助费以及土地征收管理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w:t>
      </w:r>
      <w:r>
        <w:rPr>
          <w:rFonts w:ascii="Times New Roman" w:hAnsi="Times New Roman" w:cs="Times New Roman"/>
          <w:color w:val="000000"/>
          <w:sz w:val="22"/>
          <w:szCs w:val="22"/>
        </w:rPr>
        <w:t>1</w:t>
      </w:r>
      <w:r>
        <w:rPr>
          <w:rFonts w:ascii="Times New Roman" w:hAnsi="Times New Roman" w:hint="eastAsia"/>
          <w:color w:val="000000"/>
          <w:sz w:val="22"/>
          <w:szCs w:val="22"/>
        </w:rPr>
        <w:t>）根据有权单位批准的建设用地、临时用地面积和各省、自治区、直辖市人民政府制订颁发的各项补偿费、安置补助费标准计算；大中型水利水电工程建设移民安置办法，按水电部等有关部门规定执行。（</w:t>
      </w:r>
      <w:r>
        <w:rPr>
          <w:rFonts w:ascii="Times New Roman" w:hAnsi="Times New Roman" w:cs="Times New Roman"/>
          <w:color w:val="000000"/>
          <w:sz w:val="22"/>
          <w:szCs w:val="22"/>
        </w:rPr>
        <w:t>2</w:t>
      </w:r>
      <w:r>
        <w:rPr>
          <w:rFonts w:ascii="Times New Roman" w:hAnsi="Times New Roman" w:hint="eastAsia"/>
          <w:color w:val="000000"/>
          <w:sz w:val="22"/>
          <w:szCs w:val="22"/>
        </w:rPr>
        <w:t>）此项费用除预备费外，不作其他费用计取的基础。</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．建设单位管理费：指建设单位为进行建设项目筹建、建设、联合试运转、验收总结等工作所发生的管理费用。不包括应计入设备、材料预算价格的建设单位采购及保管设备、材料所需的费用。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费用内容包括：工作人员的工资、工资际加费、劳保支出、差旅费、办公费、工具用具使用费、固定资产使用费、劳动保护费、零星固定资产购置费、招募生产工人费、技术图书资料费、合同公证费、工程质量监督检测费、完工清理费、建设单位的临时设施费和其他管理费用性质的开支。</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编制方法：以</w:t>
      </w:r>
      <w:r>
        <w:rPr>
          <w:rFonts w:ascii="Times New Roman" w:hAnsi="Times New Roman" w:cs="Times New Roman"/>
          <w:color w:val="000000"/>
          <w:sz w:val="22"/>
          <w:szCs w:val="22"/>
        </w:rPr>
        <w:t>“</w:t>
      </w:r>
      <w:r>
        <w:rPr>
          <w:rFonts w:ascii="Times New Roman" w:hAnsi="Times New Roman" w:hint="eastAsia"/>
          <w:color w:val="000000"/>
          <w:sz w:val="22"/>
          <w:szCs w:val="22"/>
        </w:rPr>
        <w:t>单项工程费用</w:t>
      </w:r>
      <w:r>
        <w:rPr>
          <w:rFonts w:ascii="Times New Roman" w:hAnsi="Times New Roman" w:cs="Times New Roman"/>
          <w:color w:val="000000"/>
          <w:sz w:val="22"/>
          <w:szCs w:val="22"/>
        </w:rPr>
        <w:t>”</w:t>
      </w:r>
      <w:r>
        <w:rPr>
          <w:rFonts w:ascii="Times New Roman" w:hAnsi="Times New Roman" w:hint="eastAsia"/>
          <w:color w:val="000000"/>
          <w:sz w:val="22"/>
          <w:szCs w:val="22"/>
        </w:rPr>
        <w:t>总和为基础，按照工程项目的不同规模分别制定的建设单位管理费率计算；或以管理费用金额总数表示。对于改、扩建项目应适当降低费率。</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．研究试验费：指为本建设项目提供或验证设计数据、资料进行必要的研究试验，按照设计规定在施工过程中必须进行试验所需的费用，以及支付科技成果、先进技术的一次性技术转让费。不包括：（</w:t>
      </w:r>
      <w:r>
        <w:rPr>
          <w:rFonts w:ascii="Times New Roman" w:hAnsi="Times New Roman" w:cs="Times New Roman"/>
          <w:color w:val="000000"/>
          <w:sz w:val="22"/>
          <w:szCs w:val="22"/>
        </w:rPr>
        <w:t>1</w:t>
      </w:r>
      <w:r>
        <w:rPr>
          <w:rFonts w:ascii="Times New Roman" w:hAnsi="Times New Roman" w:hint="eastAsia"/>
          <w:color w:val="000000"/>
          <w:sz w:val="22"/>
          <w:szCs w:val="22"/>
        </w:rPr>
        <w:t>）应由科技三项费用（即新产品试制费、中间试验费和重要科学研究补助费）开支的项目；（</w:t>
      </w:r>
      <w:r>
        <w:rPr>
          <w:rFonts w:ascii="Times New Roman" w:hAnsi="Times New Roman" w:cs="Times New Roman"/>
          <w:color w:val="000000"/>
          <w:sz w:val="22"/>
          <w:szCs w:val="22"/>
        </w:rPr>
        <w:t>2</w:t>
      </w:r>
      <w:r>
        <w:rPr>
          <w:rFonts w:ascii="Times New Roman" w:hAnsi="Times New Roman" w:hint="eastAsia"/>
          <w:color w:val="000000"/>
          <w:sz w:val="22"/>
          <w:szCs w:val="22"/>
        </w:rPr>
        <w:t>）应由间接费开支的施工企业对建筑材料、构件和建筑物进行一般鉴定、检查所发生的费用及技术革新的研究试验费；（</w:t>
      </w:r>
      <w:r>
        <w:rPr>
          <w:rFonts w:ascii="Times New Roman" w:hAnsi="Times New Roman" w:cs="Times New Roman"/>
          <w:color w:val="000000"/>
          <w:sz w:val="22"/>
          <w:szCs w:val="22"/>
        </w:rPr>
        <w:t>3</w:t>
      </w:r>
      <w:r>
        <w:rPr>
          <w:rFonts w:ascii="Times New Roman" w:hAnsi="Times New Roman" w:hint="eastAsia"/>
          <w:color w:val="000000"/>
          <w:sz w:val="22"/>
          <w:szCs w:val="22"/>
        </w:rPr>
        <w:t>）应由勘察设计费、勘察设计单位的事业费或基本建设投资中开支的项目。</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编制方法：按照设计提出的研究试验内容和要求进行编制。</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生产职工培训费：是指（１）新建企业或新增生产能力的扩建企业在交工验收前自行培训或委托其他厂矿培训技术人员、工人和管理人员所支出的费用；（２）生产单位为参加施工、设备安装、调试等以熟悉工艺流程、机器性能等需要提前进厂人员所支出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费用内容包括：培训人员和提前进厂人员的工资、工资附加费、差旅费、实习费和劳动保护费等。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编制方法：根据初步设计规定的培训人员数，提前进厂人数，培训方法、时间和职工培训费定额计算。</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有的工程不发生提前进厂费的，不得包括此内容。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5</w:t>
      </w:r>
      <w:r>
        <w:rPr>
          <w:rFonts w:ascii="Times New Roman" w:hAnsi="Times New Roman" w:hint="eastAsia"/>
          <w:color w:val="000000"/>
          <w:sz w:val="22"/>
          <w:szCs w:val="22"/>
        </w:rPr>
        <w:t>．办公和生活家具购置费：指为保证新建、改建、扩建项目初期正常生产、使用和管理所必需购置办公和生活家具、用具的费用。改、扩建项目所需的办公和生活用具购置费，应低于新建项目的费用。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范围包括：办公室、会议室、资料档案室、阅览室、文娱室、食堂、浴室、理发室、单身宿舍和设计规定必须建设的托儿所、卫生所、招待所、中小学校等的家具用具。应本着勤俭节约的精神，严格控制购置范围。</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编制方法：按照设计定员和办公生活用具综合费用定额，中学、小学、招待所、托儿所、卫生所六项费用定额计算，包干使用。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7</w:t>
      </w:r>
      <w:r>
        <w:rPr>
          <w:rFonts w:ascii="Times New Roman" w:hAnsi="Times New Roman" w:hint="eastAsia"/>
          <w:color w:val="000000"/>
          <w:sz w:val="22"/>
          <w:szCs w:val="22"/>
        </w:rPr>
        <w:t>．联合试运转费：指新建企业或新增加生产工艺过程的扩建企业，在竣工验收前，按照设计规定的工程质量标准，进行整个车间的负荷或无负荷联合试运转所发生的费用支出大于试运转收入的亏损部分；必要的工业炉烘炉费。不包括应由设备安装费用开支的试车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不发生试运转费的工程或者试运转收入和支出可相抵销的工程，不列此费用项目。</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费用内容包括：试运转所需的原料、燃料、油料和动力的消耗费用，机械使用费用，低值易耗品及其他物品的费用和施工单位参加联合试运转人员的工资等。</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试运转收入包括：试运转产品销售和其他收入。</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w:t>
      </w:r>
      <w:r>
        <w:rPr>
          <w:rFonts w:ascii="Times New Roman" w:hAnsi="Times New Roman" w:cs="Times New Roman"/>
          <w:color w:val="000000"/>
          <w:sz w:val="22"/>
          <w:szCs w:val="22"/>
        </w:rPr>
        <w:t>“</w:t>
      </w:r>
      <w:r>
        <w:rPr>
          <w:rFonts w:ascii="Times New Roman" w:hAnsi="Times New Roman" w:hint="eastAsia"/>
          <w:color w:val="000000"/>
          <w:sz w:val="22"/>
          <w:szCs w:val="22"/>
        </w:rPr>
        <w:t>以单项工程费用</w:t>
      </w:r>
      <w:r>
        <w:rPr>
          <w:rFonts w:ascii="Times New Roman" w:hAnsi="Times New Roman" w:cs="Times New Roman"/>
          <w:color w:val="000000"/>
          <w:sz w:val="22"/>
          <w:szCs w:val="22"/>
        </w:rPr>
        <w:t>”</w:t>
      </w:r>
      <w:r>
        <w:rPr>
          <w:rFonts w:ascii="Times New Roman" w:hAnsi="Times New Roman" w:hint="eastAsia"/>
          <w:color w:val="000000"/>
          <w:sz w:val="22"/>
          <w:szCs w:val="22"/>
        </w:rPr>
        <w:t>总和为基础，按照工程项目的不同规模分别规定的试运转费率计算或以运转费的总金额包干使用。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7</w:t>
      </w:r>
      <w:r>
        <w:rPr>
          <w:rFonts w:ascii="Times New Roman" w:hAnsi="Times New Roman" w:hint="eastAsia"/>
          <w:color w:val="000000"/>
          <w:sz w:val="22"/>
          <w:szCs w:val="22"/>
        </w:rPr>
        <w:t>．勘察设计费：指（</w:t>
      </w:r>
      <w:r>
        <w:rPr>
          <w:rFonts w:ascii="Times New Roman" w:hAnsi="Times New Roman" w:cs="Times New Roman"/>
          <w:color w:val="000000"/>
          <w:sz w:val="22"/>
          <w:szCs w:val="22"/>
        </w:rPr>
        <w:t>1</w:t>
      </w:r>
      <w:r>
        <w:rPr>
          <w:rFonts w:ascii="Times New Roman" w:hAnsi="Times New Roman" w:hint="eastAsia"/>
          <w:color w:val="000000"/>
          <w:sz w:val="22"/>
          <w:szCs w:val="22"/>
        </w:rPr>
        <w:t>）委托勘察设计单位进行勘察设计时，按规定应支付的工程勘察设计费；（</w:t>
      </w:r>
      <w:r>
        <w:rPr>
          <w:rFonts w:ascii="Times New Roman" w:hAnsi="Times New Roman" w:cs="Times New Roman"/>
          <w:color w:val="000000"/>
          <w:sz w:val="22"/>
          <w:szCs w:val="22"/>
        </w:rPr>
        <w:t>2</w:t>
      </w:r>
      <w:r>
        <w:rPr>
          <w:rFonts w:ascii="Times New Roman" w:hAnsi="Times New Roman" w:hint="eastAsia"/>
          <w:color w:val="000000"/>
          <w:sz w:val="22"/>
          <w:szCs w:val="22"/>
        </w:rPr>
        <w:t>）为本建设项目进行可行性研究而支付的费用；（</w:t>
      </w:r>
      <w:r>
        <w:rPr>
          <w:rFonts w:ascii="Times New Roman" w:hAnsi="Times New Roman" w:cs="Times New Roman"/>
          <w:color w:val="000000"/>
          <w:sz w:val="22"/>
          <w:szCs w:val="22"/>
        </w:rPr>
        <w:t>3</w:t>
      </w:r>
      <w:r>
        <w:rPr>
          <w:rFonts w:ascii="Times New Roman" w:hAnsi="Times New Roman" w:hint="eastAsia"/>
          <w:color w:val="000000"/>
          <w:sz w:val="22"/>
          <w:szCs w:val="22"/>
        </w:rPr>
        <w:t>）在规定范围内由建设单位自行勘察设计所需的费用。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编制方法：按国家计委颁发的工程勘察设计收费标准和有产规定进行编制。</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8</w:t>
      </w:r>
      <w:r>
        <w:rPr>
          <w:rFonts w:ascii="Times New Roman" w:hAnsi="Times New Roman" w:hint="eastAsia"/>
          <w:color w:val="000000"/>
          <w:sz w:val="22"/>
          <w:szCs w:val="22"/>
        </w:rPr>
        <w:t>．供电贴费：指按照国家规定，建设项目应交付的供电工程贴费、施工临时用电贴费。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编制方法：按国家计委批转水利电力部关于供电工程收取贴费的暂行规定执行。</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9</w:t>
      </w:r>
      <w:r>
        <w:rPr>
          <w:rFonts w:ascii="Times New Roman" w:hAnsi="Times New Roman" w:hint="eastAsia"/>
          <w:color w:val="000000"/>
          <w:sz w:val="22"/>
          <w:szCs w:val="22"/>
        </w:rPr>
        <w:t>．施工机构迁移费：指施工机构根据建设任务的需要，经有关部门决定成建制地（指公司或公司所属工程处、工区）由原驻地迁移到另一地区所发生的一次性搬迁费用。不包括（１）应由施工企业自行负担的，在规定距离范围内调动施工力量以及内部平衡施工力量所发生的迁移费用；（２）由于违反基建程序，盲目调迁队伍所发生的迁移费；（３）因中标而引进施工机构迁移所发生的迁移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费用内容包括：职工及随同家属的差旅费、调迁期间的工资、施工机械、设备、工具、用具和转转性材料等的搬运费。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编制方法：初步设计概算的编制，应经建设项目的主管部门同意按建筑安装工程费用的百分比或类似工程预算计算。施工图预算根据主管部门批准的施工队伍调迁计划进行计算。</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10</w:t>
      </w:r>
      <w:r>
        <w:rPr>
          <w:rFonts w:ascii="Times New Roman" w:hAnsi="Times New Roman" w:hint="eastAsia"/>
          <w:color w:val="000000"/>
          <w:sz w:val="22"/>
          <w:szCs w:val="22"/>
        </w:rPr>
        <w:t>．矿山巷道维修费：指锚喷支护巷道、木支架巷道、钢筋混凝土支架巷道建成后至称交生产前，由施工企业代管期间所发生的维修费。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编制方法：按照国务院主管部门规定执行。</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11</w:t>
      </w:r>
      <w:r>
        <w:rPr>
          <w:rFonts w:ascii="Times New Roman" w:hAnsi="Times New Roman" w:hint="eastAsia"/>
          <w:color w:val="000000"/>
          <w:sz w:val="22"/>
          <w:szCs w:val="22"/>
        </w:rPr>
        <w:t>．引进技术和进口设备项目的其他费用：指（</w:t>
      </w:r>
      <w:r>
        <w:rPr>
          <w:rFonts w:ascii="Times New Roman" w:hAnsi="Times New Roman" w:cs="Times New Roman"/>
          <w:color w:val="000000"/>
          <w:sz w:val="22"/>
          <w:szCs w:val="22"/>
        </w:rPr>
        <w:t>1</w:t>
      </w:r>
      <w:r>
        <w:rPr>
          <w:rFonts w:ascii="Times New Roman" w:hAnsi="Times New Roman" w:hint="eastAsia"/>
          <w:color w:val="000000"/>
          <w:sz w:val="22"/>
          <w:szCs w:val="22"/>
        </w:rPr>
        <w:t>）应聘来华的外国工程技术人员的生活和接待费；（</w:t>
      </w:r>
      <w:r>
        <w:rPr>
          <w:rFonts w:ascii="Times New Roman" w:hAnsi="Times New Roman" w:cs="Times New Roman"/>
          <w:color w:val="000000"/>
          <w:sz w:val="22"/>
          <w:szCs w:val="22"/>
        </w:rPr>
        <w:t>2</w:t>
      </w:r>
      <w:r>
        <w:rPr>
          <w:rFonts w:ascii="Times New Roman" w:hAnsi="Times New Roman" w:hint="eastAsia"/>
          <w:color w:val="000000"/>
          <w:sz w:val="22"/>
          <w:szCs w:val="22"/>
        </w:rPr>
        <w:t>）为引进技术和进口设备项目派出人员到国外培训和进行设计联络和设备材料检验所需的旅费、生活费和服装费等；（</w:t>
      </w:r>
      <w:r>
        <w:rPr>
          <w:rFonts w:ascii="Times New Roman" w:hAnsi="Times New Roman" w:cs="Times New Roman"/>
          <w:color w:val="000000"/>
          <w:sz w:val="22"/>
          <w:szCs w:val="22"/>
        </w:rPr>
        <w:t>3</w:t>
      </w:r>
      <w:r>
        <w:rPr>
          <w:rFonts w:ascii="Times New Roman" w:hAnsi="Times New Roman" w:hint="eastAsia"/>
          <w:color w:val="000000"/>
          <w:sz w:val="22"/>
          <w:szCs w:val="22"/>
        </w:rPr>
        <w:t>）国外设计及技术资料费、专利和技术保密费、延期或分期付款利息、进口设备材料检验等；（</w:t>
      </w:r>
      <w:r>
        <w:rPr>
          <w:rFonts w:ascii="Times New Roman" w:hAnsi="Times New Roman" w:cs="Times New Roman"/>
          <w:color w:val="000000"/>
          <w:sz w:val="22"/>
          <w:szCs w:val="22"/>
        </w:rPr>
        <w:t>4</w:t>
      </w:r>
      <w:r>
        <w:rPr>
          <w:rFonts w:ascii="Times New Roman" w:hAnsi="Times New Roman" w:hint="eastAsia"/>
          <w:color w:val="000000"/>
          <w:sz w:val="22"/>
          <w:szCs w:val="22"/>
        </w:rPr>
        <w:t>）从国外引进成套设备建设项目在工程建成投产前，建设单位向保险公司投保建筑工程险或安装工程险应缴付的保险费。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w:t>
      </w:r>
      <w:r>
        <w:rPr>
          <w:rFonts w:ascii="Times New Roman" w:hAnsi="Times New Roman" w:cs="Times New Roman"/>
          <w:color w:val="000000"/>
          <w:sz w:val="22"/>
          <w:szCs w:val="22"/>
        </w:rPr>
        <w:t>1</w:t>
      </w:r>
      <w:r>
        <w:rPr>
          <w:rFonts w:ascii="Times New Roman" w:hAnsi="Times New Roman" w:hint="eastAsia"/>
          <w:color w:val="000000"/>
          <w:sz w:val="22"/>
          <w:szCs w:val="22"/>
        </w:rPr>
        <w:t>）－（</w:t>
      </w:r>
      <w:r>
        <w:rPr>
          <w:rFonts w:ascii="Times New Roman" w:hAnsi="Times New Roman" w:cs="Times New Roman"/>
          <w:color w:val="000000"/>
          <w:sz w:val="22"/>
          <w:szCs w:val="22"/>
        </w:rPr>
        <w:t>3</w:t>
      </w:r>
      <w:r>
        <w:rPr>
          <w:rFonts w:ascii="Times New Roman" w:hAnsi="Times New Roman" w:hint="eastAsia"/>
          <w:color w:val="000000"/>
          <w:sz w:val="22"/>
          <w:szCs w:val="22"/>
        </w:rPr>
        <w:t>）项按照合同和国家有关规定计算。第（</w:t>
      </w:r>
      <w:r>
        <w:rPr>
          <w:rFonts w:ascii="Times New Roman" w:hAnsi="Times New Roman" w:cs="Times New Roman"/>
          <w:color w:val="000000"/>
          <w:sz w:val="22"/>
          <w:szCs w:val="22"/>
        </w:rPr>
        <w:t>4</w:t>
      </w:r>
      <w:r>
        <w:rPr>
          <w:rFonts w:ascii="Times New Roman" w:hAnsi="Times New Roman" w:hint="eastAsia"/>
          <w:color w:val="000000"/>
          <w:sz w:val="22"/>
          <w:szCs w:val="22"/>
        </w:rPr>
        <w:t>）项按照中国人民银行、国家计委、财政部、对外经济贸易部、外汇管理总公司的规定和中国人民保险公司规定的保险费率计算。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五、工器具及生产家具购置费：指新建项目为保证初期正常生产所必须购置的第一套不够固定资产标准的设备、仪器、工卡模具、器具等的费用。不包括备品备件的购置费，该费应随同有关设备列入设备费中。</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工器具及生产家具购置费按投资构成划分，应计入工器具费。</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编制方法：以全厂设备购置为基础，按照工器具及生产家具费率计算或按生产工人设计定员及定额计算或以工器具及生产家具购置费的金额总数由建设单位包干使用。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六、预算费：指在初步设计和概算中难以预料的工程和费用，其中包括实行按施工图预算加系数包干的预算包干费用，其用途如下：</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1</w:t>
      </w:r>
      <w:r>
        <w:rPr>
          <w:rFonts w:ascii="Times New Roman" w:hAnsi="Times New Roman" w:hint="eastAsia"/>
          <w:color w:val="000000"/>
          <w:sz w:val="22"/>
          <w:szCs w:val="22"/>
        </w:rPr>
        <w:t>．在进行技术设计、施工图设计和施工过程中，在批准的初步设计和概算范围内所增加的工程和费用。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2</w:t>
      </w:r>
      <w:r>
        <w:rPr>
          <w:rFonts w:ascii="Times New Roman" w:hAnsi="Times New Roman" w:hint="eastAsia"/>
          <w:color w:val="000000"/>
          <w:sz w:val="22"/>
          <w:szCs w:val="22"/>
        </w:rPr>
        <w:t>．设备、材料的价差。</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3</w:t>
      </w:r>
      <w:r>
        <w:rPr>
          <w:rFonts w:ascii="Times New Roman" w:hAnsi="Times New Roman" w:hint="eastAsia"/>
          <w:color w:val="000000"/>
          <w:sz w:val="22"/>
          <w:szCs w:val="22"/>
        </w:rPr>
        <w:t>．由于一般自然灾害所造成的损失和预防自然灾害所采取的措施费用。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w:t>
      </w:r>
      <w:r>
        <w:rPr>
          <w:rFonts w:ascii="Times New Roman" w:hAnsi="Times New Roman" w:cs="Times New Roman"/>
          <w:color w:val="000000"/>
          <w:sz w:val="22"/>
          <w:szCs w:val="22"/>
        </w:rPr>
        <w:t>4</w:t>
      </w:r>
      <w:r>
        <w:rPr>
          <w:rFonts w:ascii="Times New Roman" w:hAnsi="Times New Roman" w:hint="eastAsia"/>
          <w:color w:val="000000"/>
          <w:sz w:val="22"/>
          <w:szCs w:val="22"/>
        </w:rPr>
        <w:t>．在上级主管部门组织竣工验收时，验收委员会（或小组）为鉴定工程质量，必须开挖和修复隐蔽工程的费用。</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编制方法：以</w:t>
      </w:r>
      <w:r>
        <w:rPr>
          <w:rFonts w:ascii="Times New Roman" w:hAnsi="Times New Roman" w:cs="Times New Roman"/>
          <w:color w:val="000000"/>
          <w:sz w:val="22"/>
          <w:szCs w:val="22"/>
        </w:rPr>
        <w:t>“</w:t>
      </w:r>
      <w:r>
        <w:rPr>
          <w:rFonts w:ascii="Times New Roman" w:hAnsi="Times New Roman" w:hint="eastAsia"/>
          <w:color w:val="000000"/>
          <w:sz w:val="22"/>
          <w:szCs w:val="22"/>
        </w:rPr>
        <w:t>单项工程费用</w:t>
      </w:r>
      <w:r>
        <w:rPr>
          <w:rFonts w:ascii="Times New Roman" w:hAnsi="Times New Roman" w:cs="Times New Roman"/>
          <w:color w:val="000000"/>
          <w:sz w:val="22"/>
          <w:szCs w:val="22"/>
        </w:rPr>
        <w:t>”</w:t>
      </w:r>
      <w:r>
        <w:rPr>
          <w:rFonts w:ascii="Times New Roman" w:hAnsi="Times New Roman" w:hint="eastAsia"/>
          <w:color w:val="000000"/>
          <w:sz w:val="22"/>
          <w:szCs w:val="22"/>
        </w:rPr>
        <w:t>总计和工程建设其他费用（不包括本项费用）之和，按照规定的预备费率计算。引进技术和进口设备项目应按国内配套部分费用计算。</w:t>
      </w:r>
      <w:r>
        <w:rPr>
          <w:rFonts w:ascii="Times New Roman" w:hAnsi="Times New Roman" w:cs="Times New Roman"/>
          <w:color w:val="000000"/>
          <w:sz w:val="22"/>
          <w:szCs w:val="22"/>
        </w:rPr>
        <w:br/>
      </w:r>
      <w:r>
        <w:rPr>
          <w:rFonts w:ascii="Times New Roman" w:hAnsi="Times New Roman" w:hint="eastAsia"/>
          <w:color w:val="000000"/>
          <w:sz w:val="22"/>
          <w:szCs w:val="22"/>
        </w:rPr>
        <w:t xml:space="preserve">　　施工图预算包干系数，以直接费和间接费之和为基础计算。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七、工程建设各项费用的编制，应按规定的计算程序和省、自治区、直辖市和国务院各主管部门颁发的定额进行计算。（计算式附后）</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八、各省、自治区、直辖市和国务院各主管部门可根据本规定，结合本地区、本行业的特点制订实施细则并报国家计委备案。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r>
        <w:rPr>
          <w:rFonts w:ascii="Times New Roman" w:eastAsia="微软雅黑" w:hAnsi="Times New Roman" w:cs="微软雅黑" w:hint="eastAsia"/>
          <w:color w:val="000000"/>
        </w:rPr>
        <w:t>附：工程建设各项费用的计算程序及计算方式</w:t>
      </w:r>
    </w:p>
    <w:tbl>
      <w:tblPr>
        <w:tblW w:w="8931" w:type="dxa"/>
        <w:jc w:val="center"/>
        <w:tblLayout w:type="fixed"/>
        <w:tblCellMar>
          <w:left w:w="0" w:type="dxa"/>
          <w:right w:w="0" w:type="dxa"/>
        </w:tblCellMar>
        <w:tblLook w:val="00A0"/>
      </w:tblPr>
      <w:tblGrid>
        <w:gridCol w:w="993"/>
        <w:gridCol w:w="3119"/>
        <w:gridCol w:w="4819"/>
      </w:tblGrid>
      <w:tr w:rsidR="00A32067">
        <w:trPr>
          <w:trHeight w:val="427"/>
          <w:jc w:val="center"/>
        </w:trPr>
        <w:tc>
          <w:tcPr>
            <w:tcW w:w="993" w:type="dxa"/>
            <w:tcBorders>
              <w:top w:val="single" w:sz="8" w:space="0" w:color="auto"/>
              <w:bottom w:val="single" w:sz="8" w:space="0" w:color="auto"/>
              <w:right w:val="dashed" w:sz="4" w:space="0" w:color="auto"/>
            </w:tcBorders>
            <w:tcMar>
              <w:top w:w="0" w:type="dxa"/>
              <w:left w:w="108" w:type="dxa"/>
              <w:bottom w:w="0" w:type="dxa"/>
              <w:right w:w="108" w:type="dxa"/>
            </w:tcMar>
            <w:vAlign w:val="center"/>
          </w:tcPr>
          <w:p w:rsidR="00A32067" w:rsidRDefault="00A32067">
            <w:pPr>
              <w:jc w:val="center"/>
              <w:rPr>
                <w:kern w:val="36"/>
              </w:rPr>
            </w:pPr>
            <w:r>
              <w:rPr>
                <w:rFonts w:cs="宋体" w:hint="eastAsia"/>
                <w:kern w:val="36"/>
              </w:rPr>
              <w:t>代号式</w:t>
            </w:r>
          </w:p>
        </w:tc>
        <w:tc>
          <w:tcPr>
            <w:tcW w:w="3119" w:type="dxa"/>
            <w:tcBorders>
              <w:top w:val="single" w:sz="8" w:space="0" w:color="auto"/>
              <w:left w:val="dashed" w:sz="4" w:space="0" w:color="auto"/>
              <w:bottom w:val="single" w:sz="8" w:space="0" w:color="auto"/>
              <w:right w:val="dashed" w:sz="4" w:space="0" w:color="auto"/>
            </w:tcBorders>
            <w:tcMar>
              <w:top w:w="0" w:type="dxa"/>
              <w:left w:w="108" w:type="dxa"/>
              <w:bottom w:w="0" w:type="dxa"/>
              <w:right w:w="108" w:type="dxa"/>
            </w:tcMar>
            <w:vAlign w:val="center"/>
          </w:tcPr>
          <w:p w:rsidR="00A32067" w:rsidRDefault="00A32067">
            <w:pPr>
              <w:jc w:val="center"/>
              <w:rPr>
                <w:kern w:val="36"/>
              </w:rPr>
            </w:pPr>
            <w:r>
              <w:rPr>
                <w:rFonts w:cs="宋体" w:hint="eastAsia"/>
                <w:kern w:val="36"/>
              </w:rPr>
              <w:t>项目</w:t>
            </w:r>
          </w:p>
        </w:tc>
        <w:tc>
          <w:tcPr>
            <w:tcW w:w="4819" w:type="dxa"/>
            <w:tcBorders>
              <w:top w:val="single" w:sz="8" w:space="0" w:color="auto"/>
              <w:left w:val="dashed" w:sz="4" w:space="0" w:color="auto"/>
              <w:bottom w:val="single" w:sz="8" w:space="0" w:color="auto"/>
            </w:tcBorders>
            <w:tcMar>
              <w:top w:w="0" w:type="dxa"/>
              <w:left w:w="108" w:type="dxa"/>
              <w:bottom w:w="0" w:type="dxa"/>
              <w:right w:w="108" w:type="dxa"/>
            </w:tcMar>
            <w:vAlign w:val="center"/>
          </w:tcPr>
          <w:p w:rsidR="00A32067" w:rsidRDefault="00A32067">
            <w:pPr>
              <w:jc w:val="center"/>
              <w:rPr>
                <w:kern w:val="36"/>
              </w:rPr>
            </w:pPr>
            <w:r>
              <w:rPr>
                <w:rFonts w:cs="宋体" w:hint="eastAsia"/>
                <w:kern w:val="36"/>
              </w:rPr>
              <w:t>计算式</w:t>
            </w:r>
          </w:p>
        </w:tc>
      </w:tr>
      <w:tr w:rsidR="00A32067">
        <w:trPr>
          <w:trHeight w:val="330"/>
          <w:jc w:val="center"/>
        </w:trPr>
        <w:tc>
          <w:tcPr>
            <w:tcW w:w="993" w:type="dxa"/>
            <w:tcBorders>
              <w:top w:val="single" w:sz="8" w:space="0" w:color="auto"/>
              <w:right w:val="dashed" w:sz="4" w:space="0" w:color="auto"/>
            </w:tcBorders>
            <w:tcMar>
              <w:top w:w="0" w:type="dxa"/>
              <w:left w:w="108" w:type="dxa"/>
              <w:bottom w:w="0" w:type="dxa"/>
              <w:right w:w="108" w:type="dxa"/>
            </w:tcMar>
          </w:tcPr>
          <w:p w:rsidR="00A32067" w:rsidRDefault="00A32067">
            <w:pPr>
              <w:rPr>
                <w:kern w:val="36"/>
              </w:rPr>
            </w:pPr>
          </w:p>
        </w:tc>
        <w:tc>
          <w:tcPr>
            <w:tcW w:w="3119" w:type="dxa"/>
            <w:tcBorders>
              <w:top w:val="single" w:sz="8" w:space="0" w:color="auto"/>
              <w:left w:val="dashed" w:sz="4" w:space="0" w:color="auto"/>
              <w:right w:val="dashed" w:sz="4" w:space="0" w:color="auto"/>
            </w:tcBorders>
            <w:tcMar>
              <w:top w:w="0" w:type="dxa"/>
              <w:left w:w="108" w:type="dxa"/>
              <w:bottom w:w="0" w:type="dxa"/>
              <w:right w:w="108" w:type="dxa"/>
            </w:tcMar>
          </w:tcPr>
          <w:p w:rsidR="00A32067" w:rsidRDefault="00A32067">
            <w:pPr>
              <w:rPr>
                <w:kern w:val="36"/>
              </w:rPr>
            </w:pPr>
          </w:p>
        </w:tc>
        <w:tc>
          <w:tcPr>
            <w:tcW w:w="4819" w:type="dxa"/>
            <w:tcBorders>
              <w:top w:val="single" w:sz="8" w:space="0" w:color="auto"/>
              <w:left w:val="dashed" w:sz="4" w:space="0" w:color="auto"/>
            </w:tcBorders>
            <w:tcMar>
              <w:top w:w="0" w:type="dxa"/>
              <w:left w:w="108" w:type="dxa"/>
              <w:bottom w:w="0" w:type="dxa"/>
              <w:right w:w="108" w:type="dxa"/>
            </w:tcMar>
          </w:tcPr>
          <w:p w:rsidR="00A32067" w:rsidRDefault="00A32067">
            <w:pPr>
              <w:rPr>
                <w:kern w:val="36"/>
              </w:rPr>
            </w:pP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一</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直接费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kern w:val="36"/>
              </w:rPr>
              <w:t> </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二</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间接费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（一）</w:t>
            </w:r>
            <w:r>
              <w:rPr>
                <w:kern w:val="36"/>
              </w:rPr>
              <w:t>×</w:t>
            </w:r>
            <w:r>
              <w:rPr>
                <w:rFonts w:cs="宋体" w:hint="eastAsia"/>
                <w:kern w:val="36"/>
              </w:rPr>
              <w:t>间接费率或人工费</w:t>
            </w:r>
            <w:r>
              <w:rPr>
                <w:kern w:val="36"/>
              </w:rPr>
              <w:t>×</w:t>
            </w:r>
            <w:r>
              <w:rPr>
                <w:rFonts w:cs="宋体" w:hint="eastAsia"/>
                <w:kern w:val="36"/>
              </w:rPr>
              <w:t>间接费率</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三</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法定利润</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〔（一）＋（二）〕</w:t>
            </w:r>
            <w:r>
              <w:rPr>
                <w:kern w:val="36"/>
              </w:rPr>
              <w:t>×</w:t>
            </w:r>
            <w:r>
              <w:rPr>
                <w:rFonts w:cs="宋体" w:hint="eastAsia"/>
                <w:kern w:val="36"/>
              </w:rPr>
              <w:t>法定利润率或人工费</w:t>
            </w:r>
            <w:r>
              <w:rPr>
                <w:kern w:val="36"/>
              </w:rPr>
              <w:t>×</w:t>
            </w:r>
            <w:r>
              <w:rPr>
                <w:rFonts w:cs="宋体" w:hint="eastAsia"/>
                <w:kern w:val="36"/>
              </w:rPr>
              <w:t>法定利润率</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四</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建筑安装工程费用</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（一）＋（二）＋（三）</w:t>
            </w:r>
          </w:p>
        </w:tc>
      </w:tr>
      <w:tr w:rsidR="00A32067">
        <w:trPr>
          <w:trHeight w:hRule="exact" w:val="1212"/>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五</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设备、工器具购置费（包括备品备件）</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设备购置费＝设备原价</w:t>
            </w:r>
            <w:r>
              <w:rPr>
                <w:kern w:val="36"/>
              </w:rPr>
              <w:t>×</w:t>
            </w:r>
            <w:r>
              <w:rPr>
                <w:rFonts w:cs="宋体" w:hint="eastAsia"/>
                <w:kern w:val="36"/>
              </w:rPr>
              <w:t>〔１＋设备运杂费率（包括设备成套公司的成套服务费）〕</w:t>
            </w:r>
          </w:p>
          <w:p w:rsidR="00A32067" w:rsidRDefault="00A32067">
            <w:pPr>
              <w:rPr>
                <w:kern w:val="36"/>
              </w:rPr>
            </w:pPr>
            <w:r>
              <w:rPr>
                <w:rFonts w:cs="宋体" w:hint="eastAsia"/>
                <w:kern w:val="36"/>
              </w:rPr>
              <w:t>工器具及生产家具购置费</w:t>
            </w:r>
            <w:r>
              <w:rPr>
                <w:kern w:val="36"/>
              </w:rPr>
              <w:t>=</w:t>
            </w:r>
            <w:r>
              <w:rPr>
                <w:rFonts w:cs="宋体" w:hint="eastAsia"/>
                <w:kern w:val="36"/>
              </w:rPr>
              <w:t>设备购置费</w:t>
            </w:r>
            <w:r>
              <w:rPr>
                <w:kern w:val="36"/>
              </w:rPr>
              <w:t>*</w:t>
            </w:r>
            <w:r>
              <w:rPr>
                <w:rFonts w:cs="宋体" w:hint="eastAsia"/>
                <w:kern w:val="36"/>
              </w:rPr>
              <w:t>费率（或按规定的金额计算）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六</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单项工程费用</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（四）＋（五）</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七</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其他费用</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kern w:val="36"/>
              </w:rPr>
              <w:t> </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7.1</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土地补偿费和安置补助费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7.2</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建设单位管理费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（六）</w:t>
            </w:r>
            <w:r>
              <w:rPr>
                <w:kern w:val="36"/>
              </w:rPr>
              <w:t>×</w:t>
            </w:r>
            <w:r>
              <w:rPr>
                <w:rFonts w:cs="宋体" w:hint="eastAsia"/>
                <w:kern w:val="36"/>
              </w:rPr>
              <w:t>费率或按规定的金额计算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7.3</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研究试验费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按批准的计划编制</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7.4</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生产职工培训费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按有关定额计算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7.5</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办公和生活用家具购置费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按有关定额计算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7.6</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联合试运转费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（六）</w:t>
            </w:r>
            <w:r>
              <w:rPr>
                <w:kern w:val="36"/>
              </w:rPr>
              <w:t>×</w:t>
            </w:r>
            <w:r>
              <w:rPr>
                <w:rFonts w:cs="宋体" w:hint="eastAsia"/>
                <w:kern w:val="36"/>
              </w:rPr>
              <w:t>费率或按规定的金额计算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7.7</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勘察设计费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7.8</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供电贴费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7.9</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施工机构迁移费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7.10</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矿山巷道维修费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7.11</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引进技术和进口设备项目的</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按有关规定计算</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7.12</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其他费用</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kern w:val="36"/>
              </w:rPr>
              <w:t> </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八</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预备费</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〔（六）＋（七）〕</w:t>
            </w:r>
            <w:r>
              <w:rPr>
                <w:kern w:val="36"/>
              </w:rPr>
              <w:t>×</w:t>
            </w:r>
            <w:r>
              <w:rPr>
                <w:rFonts w:cs="宋体" w:hint="eastAsia"/>
                <w:kern w:val="36"/>
              </w:rPr>
              <w:t>费率</w:t>
            </w:r>
          </w:p>
        </w:tc>
      </w:tr>
      <w:tr w:rsidR="00A32067">
        <w:trPr>
          <w:trHeight w:hRule="exact" w:val="567"/>
          <w:jc w:val="center"/>
        </w:trPr>
        <w:tc>
          <w:tcPr>
            <w:tcW w:w="993" w:type="dxa"/>
            <w:tcBorders>
              <w:right w:val="dashed" w:sz="4" w:space="0" w:color="auto"/>
            </w:tcBorders>
            <w:tcMar>
              <w:top w:w="0" w:type="dxa"/>
              <w:left w:w="108" w:type="dxa"/>
              <w:bottom w:w="0" w:type="dxa"/>
              <w:right w:w="108" w:type="dxa"/>
            </w:tcMar>
          </w:tcPr>
          <w:p w:rsidR="00A32067" w:rsidRDefault="00A32067">
            <w:pPr>
              <w:rPr>
                <w:kern w:val="36"/>
              </w:rPr>
            </w:pPr>
            <w:r>
              <w:rPr>
                <w:kern w:val="36"/>
              </w:rPr>
              <w:t> </w:t>
            </w:r>
          </w:p>
        </w:tc>
        <w:tc>
          <w:tcPr>
            <w:tcW w:w="3119" w:type="dxa"/>
            <w:tcBorders>
              <w:left w:val="dashed" w:sz="4"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其中施工图预算包干系数</w:t>
            </w:r>
          </w:p>
        </w:tc>
        <w:tc>
          <w:tcPr>
            <w:tcW w:w="4819" w:type="dxa"/>
            <w:tcBorders>
              <w:lef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〔（一）＋（二）〕</w:t>
            </w:r>
            <w:r>
              <w:rPr>
                <w:kern w:val="36"/>
              </w:rPr>
              <w:t>×</w:t>
            </w:r>
            <w:r>
              <w:rPr>
                <w:rFonts w:cs="宋体" w:hint="eastAsia"/>
                <w:kern w:val="36"/>
              </w:rPr>
              <w:t>费率</w:t>
            </w:r>
          </w:p>
        </w:tc>
      </w:tr>
      <w:tr w:rsidR="00A32067">
        <w:trPr>
          <w:trHeight w:hRule="exact" w:val="462"/>
          <w:jc w:val="center"/>
        </w:trPr>
        <w:tc>
          <w:tcPr>
            <w:tcW w:w="993" w:type="dxa"/>
            <w:tcBorders>
              <w:bottom w:val="single" w:sz="8"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九</w:t>
            </w:r>
          </w:p>
        </w:tc>
        <w:tc>
          <w:tcPr>
            <w:tcW w:w="3119" w:type="dxa"/>
            <w:tcBorders>
              <w:left w:val="dashed" w:sz="4" w:space="0" w:color="auto"/>
              <w:bottom w:val="single" w:sz="8" w:space="0" w:color="auto"/>
              <w:right w:val="dashed" w:sz="4" w:space="0" w:color="auto"/>
            </w:tcBorders>
            <w:tcMar>
              <w:top w:w="0" w:type="dxa"/>
              <w:left w:w="108" w:type="dxa"/>
              <w:bottom w:w="0" w:type="dxa"/>
              <w:right w:w="108" w:type="dxa"/>
            </w:tcMar>
          </w:tcPr>
          <w:p w:rsidR="00A32067" w:rsidRDefault="00A32067">
            <w:pPr>
              <w:rPr>
                <w:kern w:val="36"/>
              </w:rPr>
            </w:pPr>
            <w:r>
              <w:rPr>
                <w:rFonts w:cs="宋体" w:hint="eastAsia"/>
                <w:kern w:val="36"/>
              </w:rPr>
              <w:t>建设项目总费用</w:t>
            </w:r>
          </w:p>
        </w:tc>
        <w:tc>
          <w:tcPr>
            <w:tcW w:w="4819" w:type="dxa"/>
            <w:tcBorders>
              <w:left w:val="dashed" w:sz="4" w:space="0" w:color="auto"/>
              <w:bottom w:val="single" w:sz="8" w:space="0" w:color="auto"/>
            </w:tcBorders>
            <w:tcMar>
              <w:top w:w="0" w:type="dxa"/>
              <w:left w:w="108" w:type="dxa"/>
              <w:bottom w:w="0" w:type="dxa"/>
              <w:right w:w="108" w:type="dxa"/>
            </w:tcMar>
          </w:tcPr>
          <w:p w:rsidR="00A32067" w:rsidRDefault="00A32067">
            <w:pPr>
              <w:rPr>
                <w:kern w:val="36"/>
              </w:rPr>
            </w:pPr>
            <w:r>
              <w:rPr>
                <w:rFonts w:cs="宋体" w:hint="eastAsia"/>
                <w:kern w:val="36"/>
              </w:rPr>
              <w:t>（六）＋（七）＋（八）</w:t>
            </w:r>
          </w:p>
        </w:tc>
      </w:tr>
    </w:tbl>
    <w:p w:rsidR="00A32067" w:rsidRDefault="00A32067" w:rsidP="0002085C">
      <w:pPr>
        <w:pStyle w:val="NormalWeb"/>
        <w:shd w:val="clear" w:color="auto" w:fill="FFFFFF"/>
        <w:spacing w:before="0" w:beforeAutospacing="0" w:afterLines="50" w:afterAutospacing="0" w:line="360" w:lineRule="auto"/>
        <w:jc w:val="center"/>
        <w:outlineLvl w:val="2"/>
        <w:rPr>
          <w:rFonts w:ascii="Times New Roman" w:hAnsi="Times New Roman" w:cs="Times New Roman"/>
          <w:color w:val="000000"/>
          <w:sz w:val="44"/>
          <w:szCs w:val="44"/>
        </w:rPr>
      </w:pPr>
      <w:bookmarkStart w:id="116" w:name="_Toc519872328"/>
      <w:r>
        <w:rPr>
          <w:rFonts w:ascii="Times New Roman" w:hAnsi="Times New Roman" w:hint="eastAsia"/>
          <w:color w:val="000000"/>
          <w:sz w:val="44"/>
          <w:szCs w:val="44"/>
        </w:rPr>
        <w:t>关于印发《河北省建设项目概算编制</w:t>
      </w:r>
      <w:r>
        <w:rPr>
          <w:rFonts w:ascii="Times New Roman" w:hAnsi="Times New Roman" w:cs="Times New Roman"/>
          <w:color w:val="000000"/>
          <w:sz w:val="44"/>
          <w:szCs w:val="44"/>
        </w:rPr>
        <w:br/>
      </w:r>
      <w:r>
        <w:rPr>
          <w:rFonts w:ascii="Times New Roman" w:hAnsi="Times New Roman" w:hint="eastAsia"/>
          <w:color w:val="000000"/>
          <w:sz w:val="44"/>
          <w:szCs w:val="44"/>
        </w:rPr>
        <w:t>暂行办法》的通知</w:t>
      </w:r>
      <w:r>
        <w:rPr>
          <w:rFonts w:ascii="Times New Roman" w:hAnsi="Times New Roman" w:cs="Times New Roman"/>
          <w:color w:val="000000"/>
          <w:sz w:val="44"/>
          <w:szCs w:val="44"/>
        </w:rPr>
        <w:br/>
      </w:r>
      <w:r>
        <w:rPr>
          <w:rFonts w:ascii="Times New Roman" w:hAnsi="Times New Roman" w:hint="eastAsia"/>
          <w:color w:val="000000"/>
          <w:sz w:val="22"/>
          <w:szCs w:val="22"/>
        </w:rPr>
        <w:t>冀建监</w:t>
      </w:r>
      <w:r>
        <w:rPr>
          <w:rFonts w:ascii="Times New Roman" w:hAnsi="Times New Roman" w:cs="Times New Roman"/>
          <w:color w:val="000000"/>
          <w:sz w:val="22"/>
          <w:szCs w:val="22"/>
        </w:rPr>
        <w:t>[1997]516</w:t>
      </w:r>
      <w:r>
        <w:rPr>
          <w:rFonts w:ascii="Times New Roman" w:hAnsi="Times New Roman" w:hint="eastAsia"/>
          <w:color w:val="000000"/>
          <w:sz w:val="22"/>
          <w:szCs w:val="22"/>
        </w:rPr>
        <w:t>号</w:t>
      </w:r>
      <w:bookmarkEnd w:id="116"/>
      <w:r>
        <w:rPr>
          <w:rFonts w:ascii="Times New Roman" w:hAnsi="Times New Roman" w:cs="Times New Roman"/>
          <w:color w:val="000000"/>
          <w:sz w:val="22"/>
          <w:szCs w:val="22"/>
        </w:rPr>
        <w:t> </w:t>
      </w:r>
    </w:p>
    <w:p w:rsidR="00A32067" w:rsidRDefault="00A32067">
      <w:pPr>
        <w:pStyle w:val="NormalWeb"/>
        <w:shd w:val="clear" w:color="auto" w:fill="FFFFFF"/>
        <w:spacing w:before="0" w:beforeAutospacing="0" w:after="0" w:afterAutospacing="0" w:line="360" w:lineRule="auto"/>
        <w:rPr>
          <w:rFonts w:ascii="Times New Roman" w:hAnsi="Times New Roman" w:cs="Times New Roman"/>
          <w:spacing w:val="24"/>
          <w:kern w:val="2"/>
          <w:sz w:val="22"/>
          <w:szCs w:val="22"/>
        </w:rPr>
      </w:pPr>
      <w:r>
        <w:rPr>
          <w:rFonts w:ascii="Times New Roman" w:hAnsi="Times New Roman" w:hint="eastAsia"/>
          <w:spacing w:val="24"/>
          <w:kern w:val="2"/>
          <w:sz w:val="22"/>
          <w:szCs w:val="22"/>
        </w:rPr>
        <w:t>各市建委、计委、省直有关部门：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color w:val="000000"/>
          <w:sz w:val="22"/>
          <w:szCs w:val="22"/>
        </w:rPr>
        <w:t>现将《河北省建设项目概算编制暂行办法》印发给你们，请认真贯彻执行。在执行中有何问题及建议，请反馈到省工程建设造价管理总站。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eastAsia="微软雅黑" w:hAnsi="Times New Roman" w:cs="Times New Roman"/>
          <w:color w:val="000000"/>
        </w:rPr>
      </w:pPr>
    </w:p>
    <w:p w:rsidR="00A32067" w:rsidRDefault="00A32067" w:rsidP="0002085C">
      <w:pPr>
        <w:spacing w:beforeLines="50" w:afterLines="50" w:line="360" w:lineRule="auto"/>
        <w:jc w:val="center"/>
        <w:rPr>
          <w:b/>
          <w:bCs/>
          <w:sz w:val="44"/>
          <w:szCs w:val="44"/>
        </w:rPr>
      </w:pPr>
      <w:r>
        <w:rPr>
          <w:rFonts w:cs="宋体" w:hint="eastAsia"/>
          <w:b/>
          <w:bCs/>
          <w:sz w:val="44"/>
          <w:szCs w:val="44"/>
        </w:rPr>
        <w:t>河北省建设项目概算编制暂行办法</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第一章总则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第一条</w:t>
      </w:r>
      <w:r>
        <w:rPr>
          <w:rFonts w:ascii="Times New Roman" w:hAnsi="Times New Roman" w:hint="eastAsia"/>
          <w:color w:val="000000"/>
          <w:sz w:val="22"/>
          <w:szCs w:val="22"/>
        </w:rPr>
        <w:t>为规范建设项目概算编制工作，合理确定工程造价，有效控制工程项目投资，根据《河北省建筑市场管理条例》及有关规定，制定本办法。</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第二条</w:t>
      </w:r>
      <w:r>
        <w:rPr>
          <w:rFonts w:ascii="Times New Roman" w:hAnsi="Times New Roman" w:cs="Times New Roman"/>
          <w:color w:val="000000"/>
          <w:sz w:val="22"/>
          <w:szCs w:val="22"/>
        </w:rPr>
        <w:t> </w:t>
      </w:r>
      <w:r>
        <w:rPr>
          <w:rFonts w:ascii="Times New Roman" w:hAnsi="Times New Roman" w:hint="eastAsia"/>
          <w:color w:val="000000"/>
          <w:sz w:val="22"/>
          <w:szCs w:val="22"/>
        </w:rPr>
        <w:t>本办法所称建设项目概算是指根据拟建工程项目初步设计内容，编制该建设项目所需投资额的文件。建设项目总概算应完整地反映建设项目从筹建至竣工交付使用所需的全部费用。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是初步设计文件的重要组成部分。采用两个阶段设计的建设项目，初步设计阶段必须编制设计概算；采用三个阶段设计的项目，技术设计阶段必须编制修正概算。经初步设计审批部门同意调整概算的建设项目，原概算编制单位还应编制调整概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第四条</w:t>
      </w:r>
      <w:r>
        <w:rPr>
          <w:rFonts w:ascii="Times New Roman" w:hAnsi="Times New Roman" w:cs="Times New Roman"/>
          <w:color w:val="000000"/>
          <w:sz w:val="22"/>
          <w:szCs w:val="22"/>
        </w:rPr>
        <w:t> </w:t>
      </w:r>
      <w:r>
        <w:rPr>
          <w:rFonts w:ascii="Times New Roman" w:hAnsi="Times New Roman" w:hint="eastAsia"/>
          <w:color w:val="000000"/>
          <w:sz w:val="22"/>
          <w:szCs w:val="22"/>
        </w:rPr>
        <w:t>建设项目初步设计概算、修正概算或调整概逄经批准后，编制单位应按审批意见编制建设项目的批准概算（或称审定概逄）、批准修正概算或批准调整概算。经批准的建设项目概算作为编制固定资产投资计划、签订贷款合同和项目总承包合同、控制施工图设计、考虑建设项目技术经济合理性的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第五条</w:t>
      </w:r>
      <w:r>
        <w:rPr>
          <w:rFonts w:ascii="Times New Roman" w:hAnsi="Times New Roman" w:cs="Times New Roman"/>
          <w:color w:val="000000"/>
          <w:sz w:val="22"/>
          <w:szCs w:val="22"/>
        </w:rPr>
        <w:t> </w:t>
      </w:r>
      <w:r>
        <w:rPr>
          <w:rFonts w:ascii="Times New Roman" w:hAnsi="Times New Roman" w:hint="eastAsia"/>
          <w:color w:val="000000"/>
          <w:sz w:val="22"/>
          <w:szCs w:val="22"/>
        </w:rPr>
        <w:t>河北省建设委员会是全省建设项目概算编制的主管部门。各级建设行政主管部门按照建设项目分级管理的划分权限，负责管理辖区内建设项目的概算编制工作。</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第六条</w:t>
      </w:r>
      <w:r>
        <w:rPr>
          <w:rFonts w:ascii="Times New Roman" w:hAnsi="Times New Roman" w:cs="Times New Roman"/>
          <w:color w:val="000000"/>
          <w:sz w:val="22"/>
          <w:szCs w:val="22"/>
        </w:rPr>
        <w:t> </w:t>
      </w:r>
      <w:r>
        <w:rPr>
          <w:rFonts w:ascii="Times New Roman" w:hAnsi="Times New Roman" w:hint="eastAsia"/>
          <w:color w:val="000000"/>
          <w:sz w:val="22"/>
          <w:szCs w:val="22"/>
        </w:rPr>
        <w:t>专业建设项目除国家另有规定的以外，凡在河北省境内建设的工程，其概算编制均执行本办法。</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第二章概算编制的原则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第七条</w:t>
      </w:r>
      <w:r>
        <w:rPr>
          <w:rFonts w:ascii="Times New Roman" w:hAnsi="Times New Roman" w:cs="Times New Roman"/>
          <w:color w:val="000000"/>
          <w:sz w:val="22"/>
          <w:szCs w:val="22"/>
        </w:rPr>
        <w:t> </w:t>
      </w:r>
      <w:r>
        <w:rPr>
          <w:rFonts w:ascii="Times New Roman" w:hAnsi="Times New Roman" w:hint="eastAsia"/>
          <w:color w:val="000000"/>
          <w:sz w:val="22"/>
          <w:szCs w:val="22"/>
        </w:rPr>
        <w:t>概算编制应严格执行国家和省的有关规定，执行现行定额、指标、价格及其它有关的计价依据。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第八条</w:t>
      </w:r>
      <w:r>
        <w:rPr>
          <w:rFonts w:ascii="Times New Roman" w:hAnsi="Times New Roman" w:cs="Times New Roman"/>
          <w:color w:val="000000"/>
          <w:sz w:val="22"/>
          <w:szCs w:val="22"/>
        </w:rPr>
        <w:t> </w:t>
      </w:r>
      <w:r>
        <w:rPr>
          <w:rFonts w:ascii="Times New Roman" w:hAnsi="Times New Roman" w:hint="eastAsia"/>
          <w:color w:val="000000"/>
          <w:sz w:val="22"/>
          <w:szCs w:val="22"/>
        </w:rPr>
        <w:t>经批准的可行性研究投资估算（静态）是初步设计概算（静态）的最高限额。未经原审批机关批准，不得随意突破。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第九条</w:t>
      </w:r>
      <w:r>
        <w:rPr>
          <w:rFonts w:ascii="Times New Roman" w:hAnsi="Times New Roman" w:cs="Times New Roman"/>
          <w:color w:val="000000"/>
          <w:sz w:val="22"/>
          <w:szCs w:val="22"/>
        </w:rPr>
        <w:t> </w:t>
      </w:r>
      <w:r>
        <w:rPr>
          <w:rFonts w:ascii="Times New Roman" w:hAnsi="Times New Roman" w:hint="eastAsia"/>
          <w:color w:val="000000"/>
          <w:sz w:val="22"/>
          <w:szCs w:val="22"/>
        </w:rPr>
        <w:t>概算编制应实事求是、科学合理，防止少算、漏算或高估冒算，应合理预测至项目建成期的造价，包括静态投资和建成期价格、费率、利率、汇率等动态调整部分，打足项目投资。</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第三章概算编制的依据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建设项目概算编制的依据是：</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（一）国家和本省有关工程建设的规定和政策；</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（二）经批准的建设项目可行性研究报告及据此编制的初步设计图纸；</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（三）设备清单、价格、运杂费等；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（四）省和国务院行业主管部门发布的统一概算定额（指标）、费用定额，以及人工费、设备、材料价格和造价指数等；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（五）有关合同、协议等；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（六）其他资料（如土地征购、施工场地租用、青苗、房屋赔偿的单价、费用及依据等）。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b/>
          <w:bCs/>
          <w:color w:val="000000"/>
          <w:sz w:val="22"/>
          <w:szCs w:val="22"/>
        </w:rPr>
        <w:t>第十一条</w:t>
      </w:r>
      <w:r>
        <w:rPr>
          <w:rFonts w:ascii="Times New Roman" w:hAnsi="Times New Roman" w:cs="Times New Roman"/>
          <w:color w:val="000000"/>
          <w:sz w:val="22"/>
          <w:szCs w:val="22"/>
        </w:rPr>
        <w:t> </w:t>
      </w:r>
      <w:r>
        <w:rPr>
          <w:rFonts w:ascii="Times New Roman" w:hAnsi="Times New Roman" w:hint="eastAsia"/>
          <w:color w:val="000000"/>
          <w:sz w:val="22"/>
          <w:szCs w:val="22"/>
        </w:rPr>
        <w:t>一般工业与民用建设项目的概算编制，执行国家和省颁布的现行概算定额（指标）、配套费用定额及各种计价依据；专业建设项目，可参照各专业系统的规定、概算指标（定额）、其他费用指标与参数编制概算。其中主体工程建筑物、构筑物及其它辅助工程的土建部分，以我省现行土建概算定额为编制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第十二条</w:t>
      </w:r>
      <w:r>
        <w:rPr>
          <w:rFonts w:ascii="Times New Roman" w:hAnsi="Times New Roman" w:cs="Times New Roman"/>
          <w:color w:val="000000"/>
          <w:sz w:val="22"/>
          <w:szCs w:val="22"/>
        </w:rPr>
        <w:t> </w:t>
      </w:r>
      <w:r>
        <w:rPr>
          <w:rFonts w:ascii="Times New Roman" w:hAnsi="Times New Roman" w:hint="eastAsia"/>
          <w:color w:val="000000"/>
          <w:sz w:val="22"/>
          <w:szCs w:val="22"/>
        </w:rPr>
        <w:t>材料预算价格按照省颁发的材料预算价格、编制办法和工程所在地工程造价管理部门发布的价格执行。缺项部分由概算主编单位编制补充定额经工程造价管理机构审核报概算定额批准机关批准。</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第四章概算费用构成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第十三条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费用由建筑安装工程费、设备及工器具购置费、工程建设其它费用、基本预备费（以上称静态投资），价差预备费、固定资产投资方向调节税、建设期贷款利息（以上称动态投资）及铺底流动资金组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第十四条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建设项目概算中的建筑安装工程费包括直接工程费、间接费、计划利润、税金。依照国家和省现行规定确定。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建筑安装工程费用计划见附表一。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第十五条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建设项目概算中的设备及工器具购置费是指按设计要求购置各种设备、工器具等所发生的费用。设备购置费包括：</w:t>
      </w:r>
      <w:r>
        <w:rPr>
          <w:rFonts w:ascii="Times New Roman" w:hAnsi="Times New Roman" w:cs="Times New Roman"/>
          <w:color w:val="000000"/>
          <w:sz w:val="22"/>
          <w:szCs w:val="22"/>
        </w:rPr>
        <w:t>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（一）设备原价</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1.</w:t>
      </w:r>
      <w:r>
        <w:rPr>
          <w:rFonts w:ascii="Times New Roman" w:hAnsi="Times New Roman" w:hint="eastAsia"/>
          <w:color w:val="000000"/>
          <w:sz w:val="22"/>
          <w:szCs w:val="22"/>
        </w:rPr>
        <w:t>国内标准设备按照市场询价或参考建设部、专业部价格信息中心提供的价格；</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2.</w:t>
      </w:r>
      <w:r>
        <w:rPr>
          <w:rFonts w:ascii="Times New Roman" w:hAnsi="Times New Roman" w:hint="eastAsia"/>
          <w:color w:val="000000"/>
          <w:sz w:val="22"/>
          <w:szCs w:val="22"/>
        </w:rPr>
        <w:t>非标准设备按照全国统一非标制作工程预算定额河北省单位估价表及有关规定计划；</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hint="eastAsia"/>
          <w:color w:val="000000"/>
          <w:sz w:val="22"/>
          <w:szCs w:val="22"/>
        </w:rPr>
        <w:t>进口设备按各进出口公司规定的进口设备价格或国外承制厂报价计算。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（二）运杂费。包括设备采购、运输装卸、保管等费用，除行业有规定以外，国产设备按设备原价的</w:t>
      </w:r>
      <w:r>
        <w:rPr>
          <w:rFonts w:ascii="Times New Roman" w:hAnsi="Times New Roman" w:cs="Times New Roman"/>
          <w:color w:val="000000"/>
          <w:sz w:val="22"/>
          <w:szCs w:val="22"/>
        </w:rPr>
        <w:t>5%</w:t>
      </w:r>
      <w:r>
        <w:rPr>
          <w:rFonts w:ascii="Times New Roman" w:hAnsi="Times New Roman" w:hint="eastAsia"/>
          <w:color w:val="000000"/>
          <w:sz w:val="22"/>
          <w:szCs w:val="22"/>
        </w:rPr>
        <w:t>计算；进口设备的国内运杂费按到岸价的</w:t>
      </w:r>
      <w:r>
        <w:rPr>
          <w:rFonts w:ascii="Times New Roman" w:hAnsi="Times New Roman" w:cs="Times New Roman"/>
          <w:color w:val="000000"/>
          <w:sz w:val="22"/>
          <w:szCs w:val="22"/>
        </w:rPr>
        <w:t>2%</w:t>
      </w:r>
      <w:r>
        <w:rPr>
          <w:rFonts w:ascii="Times New Roman" w:hAnsi="Times New Roman" w:hint="eastAsia"/>
          <w:color w:val="000000"/>
          <w:sz w:val="22"/>
          <w:szCs w:val="22"/>
        </w:rPr>
        <w:t>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进口设备的进口税费按财政部、国家技术进出口总公司、海关总署及相关行业主管部门规定计算。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（三）设备储备贷款利息。</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贷款期限一般为</w:t>
      </w:r>
      <w:r>
        <w:rPr>
          <w:rFonts w:ascii="Times New Roman" w:hAnsi="Times New Roman" w:cs="Times New Roman"/>
          <w:color w:val="000000"/>
          <w:sz w:val="22"/>
          <w:szCs w:val="22"/>
        </w:rPr>
        <w:t>6—12</w:t>
      </w:r>
      <w:r>
        <w:rPr>
          <w:rFonts w:ascii="Times New Roman" w:hAnsi="Times New Roman" w:hint="eastAsia"/>
          <w:color w:val="000000"/>
          <w:sz w:val="22"/>
          <w:szCs w:val="22"/>
        </w:rPr>
        <w:t>个月，由项目主管部门核定。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第十六条</w:t>
      </w:r>
      <w:r>
        <w:rPr>
          <w:rFonts w:ascii="Times New Roman" w:hAnsi="Times New Roman" w:cs="Times New Roman"/>
          <w:color w:val="000000"/>
          <w:sz w:val="22"/>
          <w:szCs w:val="22"/>
        </w:rPr>
        <w:t> </w:t>
      </w:r>
      <w:r>
        <w:rPr>
          <w:rFonts w:ascii="Times New Roman" w:hAnsi="Times New Roman" w:hint="eastAsia"/>
          <w:color w:val="000000"/>
          <w:sz w:val="22"/>
          <w:szCs w:val="22"/>
        </w:rPr>
        <w:t>概算费用中的工程建设其它费用是指建设项目从筹建到竣工验收交付使用全过程建设需要，但不形成工程实体，而按规定应在建设项目总投资中支付的费用，一般包括：</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（一）土地补偿费；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（二）安置补偿费；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（三）建设单位管理费；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（四）试验研究费；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（五）生产职工培训费；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（六）办公及生活用家具购置费；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（七）联合试运转费；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（八）勘察设计费；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（九）供电贴费；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（十）施工机械迁移费；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（十一）引进技术和进口设备的其它费用；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（十二）其它按规定应支付的税费（按各地有关规定计算，仅计发生部分）。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上述费用标准，专业建设项目执行各专业系统的其它费用规定，其余均执行省发布的标准。</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第十七条</w:t>
      </w:r>
      <w:r>
        <w:rPr>
          <w:rFonts w:ascii="Times New Roman" w:hAnsi="Times New Roman" w:cs="Times New Roman"/>
          <w:color w:val="000000"/>
          <w:sz w:val="22"/>
          <w:szCs w:val="22"/>
        </w:rPr>
        <w:t> </w:t>
      </w:r>
      <w:r>
        <w:rPr>
          <w:rFonts w:ascii="Times New Roman" w:hAnsi="Times New Roman" w:hint="eastAsia"/>
          <w:color w:val="000000"/>
          <w:sz w:val="22"/>
          <w:szCs w:val="22"/>
        </w:rPr>
        <w:t>基本预备费是指在编制概算时难以预料而在建设过程中可能发生的工程费用，以全部建筑安装工程费用、设备及工器具购置费与工程建设其它费用之和为基础，在初步设计阶段取</w:t>
      </w:r>
      <w:r>
        <w:rPr>
          <w:rFonts w:ascii="Times New Roman" w:hAnsi="Times New Roman" w:cs="Times New Roman"/>
          <w:color w:val="000000"/>
          <w:sz w:val="22"/>
          <w:szCs w:val="22"/>
        </w:rPr>
        <w:t>5—10%</w:t>
      </w:r>
      <w:r>
        <w:rPr>
          <w:rFonts w:ascii="Times New Roman" w:hAnsi="Times New Roman" w:hint="eastAsia"/>
          <w:color w:val="000000"/>
          <w:sz w:val="22"/>
          <w:szCs w:val="22"/>
        </w:rPr>
        <w:t>；在施工图设计修正概算阶段取</w:t>
      </w:r>
      <w:r>
        <w:rPr>
          <w:rFonts w:ascii="Times New Roman" w:hAnsi="Times New Roman" w:cs="Times New Roman"/>
          <w:color w:val="000000"/>
          <w:sz w:val="22"/>
          <w:szCs w:val="22"/>
        </w:rPr>
        <w:t>4—6%</w:t>
      </w:r>
      <w:r>
        <w:rPr>
          <w:rFonts w:ascii="Times New Roman" w:hAnsi="Times New Roman" w:hint="eastAsia"/>
          <w:color w:val="000000"/>
          <w:sz w:val="22"/>
          <w:szCs w:val="22"/>
        </w:rPr>
        <w:t>，根据不同工程在概算审查时核定。</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价差预备费是指概算编制期到工程竣工投产期间，因设备、材料等价格变动而发生的费用。计算式为：</w:t>
      </w:r>
    </w:p>
    <w:p w:rsidR="00A32067" w:rsidRDefault="00A32067" w:rsidP="005431C7">
      <w:pPr>
        <w:pStyle w:val="NormalWeb"/>
        <w:shd w:val="clear" w:color="auto" w:fill="FFFFFF"/>
        <w:spacing w:before="0" w:beforeAutospacing="0" w:after="0" w:afterAutospacing="0" w:line="360" w:lineRule="auto"/>
        <w:ind w:firstLineChars="650" w:firstLine="31680"/>
        <w:rPr>
          <w:rFonts w:ascii="Times New Roman" w:hAnsi="Times New Roman" w:cs="Times New Roman"/>
          <w:color w:val="000000"/>
          <w:sz w:val="22"/>
          <w:szCs w:val="22"/>
        </w:rPr>
      </w:pPr>
      <w:r>
        <w:rPr>
          <w:rFonts w:ascii="Times New Roman" w:hAnsi="Times New Roman" w:cs="Times New Roman"/>
          <w:color w:val="000000"/>
          <w:sz w:val="22"/>
          <w:szCs w:val="22"/>
        </w:rPr>
        <w:t>N2             </w:t>
      </w:r>
    </w:p>
    <w:p w:rsidR="00A32067" w:rsidRDefault="00A32067" w:rsidP="005431C7">
      <w:pPr>
        <w:pStyle w:val="NormalWeb"/>
        <w:shd w:val="clear" w:color="auto" w:fill="FFFFFF"/>
        <w:spacing w:before="0" w:beforeAutospacing="0" w:after="0" w:afterAutospacing="0" w:line="360" w:lineRule="auto"/>
        <w:ind w:firstLineChars="650" w:firstLine="31680"/>
        <w:rPr>
          <w:rFonts w:ascii="Times New Roman" w:hAnsi="Times New Roman" w:cs="Times New Roman"/>
          <w:color w:val="000000"/>
          <w:sz w:val="22"/>
          <w:szCs w:val="22"/>
        </w:rPr>
      </w:pPr>
      <w:r>
        <w:rPr>
          <w:rFonts w:ascii="Times New Roman" w:hAnsi="Times New Roman" w:cs="Times New Roman"/>
          <w:color w:val="000000"/>
          <w:sz w:val="22"/>
          <w:szCs w:val="22"/>
        </w:rPr>
        <w:t>C=∑Fi[(1+e)n1+i-1]</w:t>
      </w:r>
    </w:p>
    <w:p w:rsidR="00A32067" w:rsidRDefault="00A32067" w:rsidP="005431C7">
      <w:pPr>
        <w:pStyle w:val="NormalWeb"/>
        <w:shd w:val="clear" w:color="auto" w:fill="FFFFFF"/>
        <w:spacing w:before="0" w:beforeAutospacing="0" w:after="0" w:afterAutospacing="0" w:line="360" w:lineRule="auto"/>
        <w:ind w:firstLineChars="650" w:firstLine="31680"/>
        <w:rPr>
          <w:rFonts w:ascii="Times New Roman" w:hAnsi="Times New Roman" w:cs="Times New Roman"/>
          <w:color w:val="000000"/>
          <w:sz w:val="22"/>
          <w:szCs w:val="22"/>
        </w:rPr>
      </w:pPr>
      <w:r>
        <w:rPr>
          <w:rFonts w:ascii="Times New Roman" w:hAnsi="Times New Roman" w:cs="Times New Roman"/>
          <w:color w:val="000000"/>
          <w:sz w:val="22"/>
          <w:szCs w:val="22"/>
        </w:rPr>
        <w:t>i=1              </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hint="eastAsia"/>
          <w:color w:val="000000"/>
          <w:sz w:val="22"/>
          <w:szCs w:val="22"/>
        </w:rPr>
        <w:t>式中：</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C—</w:t>
      </w:r>
      <w:r>
        <w:rPr>
          <w:rFonts w:ascii="Times New Roman" w:hAnsi="Times New Roman" w:hint="eastAsia"/>
          <w:color w:val="000000"/>
          <w:sz w:val="22"/>
          <w:szCs w:val="22"/>
        </w:rPr>
        <w:t>价差预备费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n1—</w:t>
      </w:r>
      <w:r>
        <w:rPr>
          <w:rFonts w:ascii="Times New Roman" w:hAnsi="Times New Roman" w:hint="eastAsia"/>
          <w:color w:val="000000"/>
          <w:sz w:val="22"/>
          <w:szCs w:val="22"/>
        </w:rPr>
        <w:t>概算编制年与开工年的间隔</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n2—</w:t>
      </w:r>
      <w:r>
        <w:rPr>
          <w:rFonts w:ascii="Times New Roman" w:hAnsi="Times New Roman" w:hint="eastAsia"/>
          <w:color w:val="000000"/>
          <w:sz w:val="22"/>
          <w:szCs w:val="22"/>
        </w:rPr>
        <w:t>开工年与竣工年的间隔</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e—</w:t>
      </w:r>
      <w:r>
        <w:rPr>
          <w:rFonts w:ascii="Times New Roman" w:hAnsi="Times New Roman" w:hint="eastAsia"/>
          <w:color w:val="000000"/>
          <w:sz w:val="22"/>
          <w:szCs w:val="22"/>
        </w:rPr>
        <w:t>工程造价平均上涨率（按国家发布指数执行）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i—</w:t>
      </w:r>
      <w:r>
        <w:rPr>
          <w:rFonts w:ascii="Times New Roman" w:hAnsi="Times New Roman" w:hint="eastAsia"/>
          <w:color w:val="000000"/>
          <w:sz w:val="22"/>
          <w:szCs w:val="22"/>
        </w:rPr>
        <w:t>自开工年起的第</w:t>
      </w:r>
      <w:r>
        <w:rPr>
          <w:rFonts w:ascii="Times New Roman" w:hAnsi="Times New Roman" w:cs="Times New Roman"/>
          <w:color w:val="000000"/>
          <w:sz w:val="22"/>
          <w:szCs w:val="22"/>
        </w:rPr>
        <w:t>i</w:t>
      </w:r>
      <w:r>
        <w:rPr>
          <w:rFonts w:ascii="Times New Roman" w:hAnsi="Times New Roman" w:hint="eastAsia"/>
          <w:color w:val="000000"/>
          <w:sz w:val="22"/>
          <w:szCs w:val="22"/>
        </w:rPr>
        <w:t>年</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Fi—</w:t>
      </w:r>
      <w:r>
        <w:rPr>
          <w:rFonts w:ascii="Times New Roman" w:hAnsi="Times New Roman" w:hint="eastAsia"/>
          <w:color w:val="000000"/>
          <w:sz w:val="22"/>
          <w:szCs w:val="22"/>
        </w:rPr>
        <w:t>第</w:t>
      </w:r>
      <w:r>
        <w:rPr>
          <w:rFonts w:ascii="Times New Roman" w:hAnsi="Times New Roman" w:cs="Times New Roman"/>
          <w:color w:val="000000"/>
          <w:sz w:val="22"/>
          <w:szCs w:val="22"/>
        </w:rPr>
        <w:t>i</w:t>
      </w:r>
      <w:r>
        <w:rPr>
          <w:rFonts w:ascii="Times New Roman" w:hAnsi="Times New Roman" w:hint="eastAsia"/>
          <w:color w:val="000000"/>
          <w:sz w:val="22"/>
          <w:szCs w:val="22"/>
        </w:rPr>
        <w:t>年的现金流量</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第十八条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中的固定资产投资方向调节税是指国家为了贯彻产业政策，控制投资规模，引导投资方向，高速投资结构，加强重点建设而规定向建设项目征收的税款，按照《中华人民共和国固定资产投资方向调节税暂行条例》规定计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第十九条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建设项目概算中的建设期贷款利息是指建设项目使用贷款在建设期间需支付的贷款利息。应按规定利率逐年计算应付利息。</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建设项目概算中的辅底流动资金是指项目建成投产所需的启动流动资金，按国家计委《关于核定在建基本建设大中型项目概算等总是的通知》（计建设</w:t>
      </w:r>
      <w:r>
        <w:rPr>
          <w:rFonts w:ascii="Times New Roman" w:hAnsi="Times New Roman" w:cs="Times New Roman"/>
          <w:color w:val="000000"/>
          <w:sz w:val="22"/>
          <w:szCs w:val="22"/>
        </w:rPr>
        <w:t>[1996]1154</w:t>
      </w:r>
      <w:r>
        <w:rPr>
          <w:rFonts w:ascii="Times New Roman" w:hAnsi="Times New Roman" w:hint="eastAsia"/>
          <w:color w:val="000000"/>
          <w:sz w:val="22"/>
          <w:szCs w:val="22"/>
        </w:rPr>
        <w:t>号文），取流动资金需要量的</w:t>
      </w:r>
      <w:r>
        <w:rPr>
          <w:rFonts w:ascii="Times New Roman" w:hAnsi="Times New Roman" w:cs="Times New Roman"/>
          <w:color w:val="000000"/>
          <w:sz w:val="22"/>
          <w:szCs w:val="22"/>
        </w:rPr>
        <w:t>30%</w:t>
      </w:r>
      <w:r>
        <w:rPr>
          <w:rFonts w:ascii="Times New Roman" w:hAnsi="Times New Roman" w:hint="eastAsia"/>
          <w:color w:val="000000"/>
          <w:sz w:val="22"/>
          <w:szCs w:val="22"/>
        </w:rPr>
        <w:t>。</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第五章概算文件的组成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第二十一条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建设项目概算文件包括以下内容：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（一）封面、签署页及目录；（附件一）（附件二）；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（二）编制说明；（附件三）；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（三）总概算表（附表二</w:t>
      </w:r>
      <w:r>
        <w:rPr>
          <w:rFonts w:ascii="Times New Roman" w:hAnsi="Times New Roman" w:cs="Times New Roman"/>
          <w:color w:val="000000"/>
          <w:sz w:val="22"/>
          <w:szCs w:val="22"/>
        </w:rPr>
        <w:t>—1</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（四）单项工程综合概算表（附表二</w:t>
      </w:r>
      <w:r>
        <w:rPr>
          <w:rFonts w:ascii="Times New Roman" w:hAnsi="Times New Roman" w:cs="Times New Roman"/>
          <w:color w:val="000000"/>
          <w:sz w:val="22"/>
          <w:szCs w:val="22"/>
        </w:rPr>
        <w:t>—1</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（五）单位工程概算表（附表二</w:t>
      </w:r>
      <w:r>
        <w:rPr>
          <w:rFonts w:ascii="Times New Roman" w:hAnsi="Times New Roman" w:cs="Times New Roman"/>
          <w:color w:val="000000"/>
          <w:sz w:val="22"/>
          <w:szCs w:val="22"/>
        </w:rPr>
        <w:t>—2</w:t>
      </w:r>
      <w:r>
        <w:rPr>
          <w:rFonts w:ascii="Times New Roman" w:hAnsi="Times New Roman" w:hint="eastAsia"/>
          <w:color w:val="000000"/>
          <w:sz w:val="22"/>
          <w:szCs w:val="22"/>
        </w:rPr>
        <w:t>）、（附表二</w:t>
      </w:r>
      <w:r>
        <w:rPr>
          <w:rFonts w:ascii="Times New Roman" w:hAnsi="Times New Roman" w:cs="Times New Roman"/>
          <w:color w:val="000000"/>
          <w:sz w:val="22"/>
          <w:szCs w:val="22"/>
        </w:rPr>
        <w:t>—3</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（六）其它费用概算表（附表二</w:t>
      </w:r>
      <w:r>
        <w:rPr>
          <w:rFonts w:ascii="Times New Roman" w:hAnsi="Times New Roman" w:cs="Times New Roman"/>
          <w:color w:val="000000"/>
          <w:sz w:val="22"/>
          <w:szCs w:val="22"/>
        </w:rPr>
        <w:t>—4</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（七）资金来源及分年度投资汇总表（附表二</w:t>
      </w:r>
      <w:r>
        <w:rPr>
          <w:rFonts w:ascii="Times New Roman" w:hAnsi="Times New Roman" w:cs="Times New Roman"/>
          <w:color w:val="000000"/>
          <w:sz w:val="22"/>
          <w:szCs w:val="22"/>
        </w:rPr>
        <w:t>—5</w:t>
      </w:r>
      <w:r>
        <w:rPr>
          <w:rFonts w:ascii="Times New Roman" w:hAnsi="Times New Roman" w:hint="eastAsia"/>
          <w:color w:val="000000"/>
          <w:sz w:val="22"/>
          <w:szCs w:val="22"/>
        </w:rPr>
        <w:t>）；</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（八）附件：包括主要建筑材料（附表二</w:t>
      </w:r>
      <w:r>
        <w:rPr>
          <w:rFonts w:ascii="Times New Roman" w:hAnsi="Times New Roman" w:cs="Times New Roman"/>
          <w:color w:val="000000"/>
          <w:sz w:val="22"/>
          <w:szCs w:val="22"/>
        </w:rPr>
        <w:t>—6</w:t>
      </w:r>
      <w:r>
        <w:rPr>
          <w:rFonts w:ascii="Times New Roman" w:hAnsi="Times New Roman" w:hint="eastAsia"/>
          <w:color w:val="000000"/>
          <w:sz w:val="22"/>
          <w:szCs w:val="22"/>
        </w:rPr>
        <w:t>）及设备清单表等。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第二十二条</w:t>
      </w:r>
      <w:r>
        <w:rPr>
          <w:rFonts w:ascii="Times New Roman" w:hAnsi="Times New Roman" w:cs="Times New Roman"/>
          <w:color w:val="000000"/>
          <w:sz w:val="22"/>
          <w:szCs w:val="22"/>
        </w:rPr>
        <w:t> </w:t>
      </w:r>
      <w:r>
        <w:rPr>
          <w:rFonts w:ascii="Times New Roman" w:hAnsi="Times New Roman" w:hint="eastAsia"/>
          <w:color w:val="000000"/>
          <w:sz w:val="22"/>
          <w:szCs w:val="22"/>
        </w:rPr>
        <w:t>封面及签署页格式应统一。封面包括工程编号、工程名称、编制单位和编制日期等。签署页应设立工程经济人员的概、预算（或造价工程师）资格证书栏目，填写编、校、审人员的姓名、证号。详见附件一、二（由省工程造价管理总站统一监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第二十三条</w:t>
      </w:r>
      <w:r>
        <w:rPr>
          <w:rFonts w:ascii="Times New Roman" w:hAnsi="Times New Roman" w:cs="Times New Roman"/>
          <w:color w:val="000000"/>
          <w:sz w:val="22"/>
          <w:szCs w:val="22"/>
        </w:rPr>
        <w:t> </w:t>
      </w:r>
      <w:r>
        <w:rPr>
          <w:rFonts w:ascii="Times New Roman" w:hAnsi="Times New Roman" w:hint="eastAsia"/>
          <w:color w:val="000000"/>
          <w:sz w:val="22"/>
          <w:szCs w:val="22"/>
        </w:rPr>
        <w:t>编制说明应包括以下主要内容：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（一）工程概况：说明建设项目建设单位、建设规模、性质、特点，以及建设地点、建设周期等主要情况。引进项目应说明引进内容和国内配套工程等主要情况。</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（二）投资范围：明确其中包括和不包括的工程项目及有关费用。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（三）编制依据：说明设计依据、定额依据、价格依据及费用指标依据等。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（四）编制方法：说明概算编制是采用概算定额、概算指标还是参考类似预算指标的方法等。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（五）投资分析及费用构成分析：主要分析各项投资的比例，以及同类似工程比较，分析投资高低原因，并说明该设计是否经济合理；分析费用构成是否合理等。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（六）主要技术经济指标。</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（七）其它有关问题。说明在编制过程中存在的其他有关问题。</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详见附件三。</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第二十四条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建设项目总概算表是确定一个建设项目从筹建到竣工验收交付使用所需全部建设费用的总文件。应根据工程项目的一览表、各单项工程综合概算表和工程建设其它费用表为基础汇总编制。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第二十五条</w:t>
      </w:r>
      <w:r>
        <w:rPr>
          <w:rFonts w:ascii="Times New Roman" w:hAnsi="Times New Roman" w:cs="Times New Roman"/>
          <w:color w:val="000000"/>
          <w:sz w:val="22"/>
          <w:szCs w:val="22"/>
        </w:rPr>
        <w:t> </w:t>
      </w:r>
      <w:r>
        <w:rPr>
          <w:rFonts w:ascii="Times New Roman" w:hAnsi="Times New Roman" w:hint="eastAsia"/>
          <w:color w:val="000000"/>
          <w:sz w:val="22"/>
          <w:szCs w:val="22"/>
        </w:rPr>
        <w:t>单项工程综合概算表是单项工程建设费用的综合性文件，应以所包括的单位工程概算为基础汇总编制，它是编制总概算表中的工程费用的依据。</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一个建设项目只有一个单项工程时可编制单项工程总概算，费用应包括项目建设的全部费用。</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第二十六条</w:t>
      </w:r>
      <w:r>
        <w:rPr>
          <w:rFonts w:ascii="Times New Roman" w:hAnsi="Times New Roman" w:cs="Times New Roman"/>
          <w:color w:val="000000"/>
          <w:sz w:val="22"/>
          <w:szCs w:val="22"/>
        </w:rPr>
        <w:t> </w:t>
      </w:r>
      <w:r>
        <w:rPr>
          <w:rFonts w:ascii="Times New Roman" w:hAnsi="Times New Roman" w:hint="eastAsia"/>
          <w:color w:val="000000"/>
          <w:sz w:val="22"/>
          <w:szCs w:val="22"/>
        </w:rPr>
        <w:t>单位工程概算表是指一个独立建筑物中分专业工程计算费用的概算文件，如土建、给排水、电气、暖通及其它专业工程概算表等，费用由直接费、间接费、计划利润和税金组成。</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第二十七条</w:t>
      </w:r>
      <w:r>
        <w:rPr>
          <w:rFonts w:ascii="Times New Roman" w:hAnsi="Times New Roman" w:cs="Times New Roman"/>
          <w:color w:val="000000"/>
          <w:sz w:val="22"/>
          <w:szCs w:val="22"/>
        </w:rPr>
        <w:t> </w:t>
      </w:r>
      <w:r>
        <w:rPr>
          <w:rFonts w:ascii="Times New Roman" w:hAnsi="Times New Roman" w:hint="eastAsia"/>
          <w:color w:val="000000"/>
          <w:sz w:val="22"/>
          <w:szCs w:val="22"/>
        </w:rPr>
        <w:t>资金来源及分年度投资汇总表应依据建设项目建设总进度安排的分年度投资额及资金供应计划进行编制。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第二十八条</w:t>
      </w:r>
      <w:r>
        <w:rPr>
          <w:rFonts w:ascii="Times New Roman" w:hAnsi="Times New Roman" w:cs="Times New Roman"/>
          <w:color w:val="000000"/>
          <w:sz w:val="22"/>
          <w:szCs w:val="22"/>
        </w:rPr>
        <w:t> </w:t>
      </w:r>
      <w:r>
        <w:rPr>
          <w:rFonts w:ascii="Times New Roman" w:hAnsi="Times New Roman" w:hint="eastAsia"/>
          <w:color w:val="000000"/>
          <w:sz w:val="22"/>
          <w:szCs w:val="22"/>
        </w:rPr>
        <w:t>概算表中各项资金单位。凡国内投资均以人民币表示；合资项目分列人民币及外币，合计金额应以人民币计算。</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第六章概算编制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第二十九条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建设项目概算必须由有相应资质的设计单位或造价中介机构编制。概算编审人员必须经国家或省建设行政主管部门考评、注册，并取得相应的资格证书。</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第三十条</w:t>
      </w:r>
      <w:r>
        <w:rPr>
          <w:rFonts w:ascii="Times New Roman" w:hAnsi="Times New Roman" w:cs="Times New Roman"/>
          <w:color w:val="000000"/>
          <w:sz w:val="22"/>
          <w:szCs w:val="22"/>
        </w:rPr>
        <w:t> </w:t>
      </w:r>
      <w:r>
        <w:rPr>
          <w:rFonts w:ascii="Times New Roman" w:hAnsi="Times New Roman" w:hint="eastAsia"/>
          <w:color w:val="000000"/>
          <w:sz w:val="22"/>
          <w:szCs w:val="22"/>
        </w:rPr>
        <w:t>概算编制可选择按概算定额、概算指标和参考类似工程技术经济指标编制的方法。</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第三十一条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编制单位应对编制质量负责。一个建设项目如有几个设计单位，主体设计单位应负责制定统一概算的编制原则、编制依据及有关事项等并负责汇总概算；其他设计单位负责各自承担设计的概算编制，并搞好协作、配合。</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第三十二条</w:t>
      </w:r>
      <w:r>
        <w:rPr>
          <w:rFonts w:ascii="Times New Roman" w:hAnsi="Times New Roman" w:cs="Times New Roman"/>
          <w:color w:val="000000"/>
          <w:sz w:val="22"/>
          <w:szCs w:val="22"/>
        </w:rPr>
        <w:t> </w:t>
      </w:r>
      <w:r>
        <w:rPr>
          <w:rFonts w:ascii="Times New Roman" w:hAnsi="Times New Roman" w:hint="eastAsia"/>
          <w:color w:val="000000"/>
          <w:sz w:val="22"/>
          <w:szCs w:val="22"/>
        </w:rPr>
        <w:t>工程设计实行单项工程限额设计。设计工作应保证概算编制所需的深度，并列出工程量清单；工程经济人员负责设计概算文件的编制，并参与设计全过程的工作，配合设计方案比较，选择好技术与经济结合的最佳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第三十三条</w:t>
      </w:r>
      <w:r>
        <w:rPr>
          <w:rFonts w:ascii="Times New Roman" w:hAnsi="Times New Roman" w:cs="Times New Roman"/>
          <w:color w:val="000000"/>
          <w:sz w:val="22"/>
          <w:szCs w:val="22"/>
        </w:rPr>
        <w:t> </w:t>
      </w:r>
      <w:r>
        <w:rPr>
          <w:rFonts w:ascii="Times New Roman" w:hAnsi="Times New Roman" w:hint="eastAsia"/>
          <w:color w:val="000000"/>
          <w:sz w:val="22"/>
          <w:szCs w:val="22"/>
        </w:rPr>
        <w:t>建设项目概算是初步设计文件的组成部分，应同初步设计文件一并经建设项目的主管部门报初步设计审批部门审查批准。编制单位必须如实地向审批部门反映概算的编制情况及存在问题，并按要求提供有关基础资料，报送文件要求内容齐全、完整。</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第七章调整概算的编制</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第三十四条</w:t>
      </w:r>
      <w:r>
        <w:rPr>
          <w:rFonts w:ascii="Times New Roman" w:hAnsi="Times New Roman" w:cs="Times New Roman"/>
          <w:color w:val="000000"/>
          <w:sz w:val="22"/>
          <w:szCs w:val="22"/>
        </w:rPr>
        <w:t> </w:t>
      </w:r>
      <w:r>
        <w:rPr>
          <w:rFonts w:ascii="Times New Roman" w:hAnsi="Times New Roman" w:hint="eastAsia"/>
          <w:color w:val="000000"/>
          <w:sz w:val="22"/>
          <w:szCs w:val="22"/>
        </w:rPr>
        <w:t>对于因建设周期长，建设规模变动，投资规模发生较大变化的建设项目，经初步设计审批部门同意，原概算编制单位应编制调整概算。</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第三十五条</w:t>
      </w:r>
      <w:r>
        <w:rPr>
          <w:rFonts w:ascii="Times New Roman" w:hAnsi="Times New Roman" w:cs="Times New Roman"/>
          <w:color w:val="000000"/>
          <w:sz w:val="22"/>
          <w:szCs w:val="22"/>
        </w:rPr>
        <w:t> </w:t>
      </w:r>
      <w:r>
        <w:rPr>
          <w:rFonts w:ascii="Times New Roman" w:hAnsi="Times New Roman" w:hint="eastAsia"/>
          <w:color w:val="000000"/>
          <w:sz w:val="22"/>
          <w:szCs w:val="22"/>
        </w:rPr>
        <w:t>调整概算的编制原则：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（一）调整概算不调整预算。实施阶段的施工图预算不能作为调整概算的依据，不能实报实销。</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二）除经批准的重大设计变更可据实调整工程量外，调整概算只调整价格不调整工程量。主要设备和材料用量以批准的初步设计为基础，仅调整实际发生的价差。价差冲减原批准概算中的价差瞀费；汇率发生变化时，按用汇额度和结算当日银行外汇牌价据实调整。人工、机械台班、定额、费率、税金等价格标准变动而发生的费用增加列入政策性调整增加费。</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color w:val="000000"/>
          <w:sz w:val="22"/>
          <w:szCs w:val="22"/>
        </w:rPr>
        <w:t>（三）建设期利息、投资方向调节税调整应按国家有关规定执行。</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hint="eastAsia"/>
          <w:b/>
          <w:bCs/>
          <w:color w:val="000000"/>
          <w:sz w:val="22"/>
          <w:szCs w:val="22"/>
        </w:rPr>
        <w:t>第三十六条</w:t>
      </w:r>
      <w:r>
        <w:rPr>
          <w:rFonts w:ascii="Times New Roman" w:hAnsi="Times New Roman" w:cs="Times New Roman"/>
          <w:color w:val="000000"/>
          <w:sz w:val="22"/>
          <w:szCs w:val="22"/>
        </w:rPr>
        <w:t> </w:t>
      </w:r>
      <w:r>
        <w:rPr>
          <w:rFonts w:ascii="Times New Roman" w:hAnsi="Times New Roman" w:hint="eastAsia"/>
          <w:color w:val="000000"/>
          <w:sz w:val="22"/>
          <w:szCs w:val="22"/>
        </w:rPr>
        <w:t>调整概算的编制除行业有规定外，与原概算的方法相同。单位工程调整概算的编制应充分体现设备、材料价差、政策性调整、设计变更及其它费用的投资增加额，且与原批准概算逐项相应；单项工程调整综合概算应与原批准单项工程综合概算逐项相对应；调整总概算应与原批准总概算、修正总概算逐相对应。调整总概算表见附表三。</w:t>
      </w:r>
    </w:p>
    <w:p w:rsidR="00A32067" w:rsidRDefault="00A32067" w:rsidP="0002085C">
      <w:pPr>
        <w:pStyle w:val="NormalWeb"/>
        <w:shd w:val="clear" w:color="auto" w:fill="FFFFFF"/>
        <w:spacing w:beforeLines="50" w:beforeAutospacing="0" w:afterLines="50" w:afterAutospacing="0" w:line="480" w:lineRule="auto"/>
        <w:jc w:val="center"/>
        <w:rPr>
          <w:rFonts w:ascii="Times New Roman" w:hAnsi="Times New Roman" w:cs="Times New Roman"/>
          <w:b/>
          <w:bCs/>
          <w:color w:val="333333"/>
        </w:rPr>
      </w:pPr>
      <w:r>
        <w:rPr>
          <w:rFonts w:ascii="Times New Roman" w:hAnsi="Times New Roman" w:hint="eastAsia"/>
          <w:b/>
          <w:bCs/>
          <w:color w:val="333333"/>
        </w:rPr>
        <w:t>第八章附则</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b/>
          <w:bCs/>
          <w:color w:val="000000"/>
          <w:sz w:val="22"/>
          <w:szCs w:val="22"/>
        </w:rPr>
        <w:t>第三十七条</w:t>
      </w:r>
      <w:r>
        <w:rPr>
          <w:rFonts w:ascii="Times New Roman" w:hAnsi="Times New Roman" w:cs="Times New Roman"/>
          <w:color w:val="000000"/>
          <w:sz w:val="22"/>
          <w:szCs w:val="22"/>
        </w:rPr>
        <w:t> </w:t>
      </w:r>
      <w:r>
        <w:rPr>
          <w:rFonts w:ascii="Times New Roman" w:hAnsi="Times New Roman" w:hint="eastAsia"/>
          <w:color w:val="000000"/>
          <w:sz w:val="22"/>
          <w:szCs w:val="22"/>
        </w:rPr>
        <w:t>本办法的具体应用，委托河北省工程建设造价管理总站负责解释。</w:t>
      </w:r>
    </w:p>
    <w:p w:rsidR="00A32067" w:rsidRDefault="00A32067" w:rsidP="005431C7">
      <w:pPr>
        <w:pStyle w:val="NormalWeb"/>
        <w:shd w:val="clear" w:color="auto" w:fill="FFFFFF"/>
        <w:spacing w:before="0" w:beforeAutospacing="0" w:after="0" w:afterAutospacing="0" w:line="360" w:lineRule="auto"/>
        <w:ind w:firstLineChars="200" w:firstLine="31680"/>
        <w:rPr>
          <w:rFonts w:ascii="Times New Roman" w:hAnsi="Times New Roman" w:cs="Times New Roman"/>
          <w:color w:val="000000"/>
          <w:sz w:val="22"/>
          <w:szCs w:val="22"/>
        </w:rPr>
      </w:pPr>
      <w:r>
        <w:rPr>
          <w:rFonts w:ascii="Times New Roman" w:hAnsi="Times New Roman" w:cs="Times New Roman"/>
          <w:color w:val="000000"/>
          <w:sz w:val="22"/>
          <w:szCs w:val="22"/>
        </w:rPr>
        <w:t> </w:t>
      </w:r>
      <w:r>
        <w:rPr>
          <w:rFonts w:ascii="Times New Roman" w:hAnsi="Times New Roman" w:hint="eastAsia"/>
          <w:b/>
          <w:bCs/>
          <w:color w:val="000000"/>
          <w:sz w:val="22"/>
          <w:szCs w:val="22"/>
        </w:rPr>
        <w:t>第三十八条</w:t>
      </w:r>
      <w:r>
        <w:rPr>
          <w:rFonts w:ascii="Times New Roman" w:hAnsi="Times New Roman" w:cs="Times New Roman"/>
          <w:color w:val="000000"/>
          <w:sz w:val="22"/>
          <w:szCs w:val="22"/>
        </w:rPr>
        <w:t> </w:t>
      </w:r>
      <w:r>
        <w:rPr>
          <w:rFonts w:ascii="Times New Roman" w:hAnsi="Times New Roman" w:hint="eastAsia"/>
          <w:color w:val="000000"/>
          <w:sz w:val="22"/>
          <w:szCs w:val="22"/>
        </w:rPr>
        <w:t>本办法自颁布之日执行。</w:t>
      </w:r>
    </w:p>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p w:rsidR="00A32067" w:rsidRDefault="00A32067"/>
    <w:sectPr w:rsidR="00A32067" w:rsidSect="00394DE1">
      <w:pgSz w:w="11907" w:h="16840"/>
      <w:pgMar w:top="1134" w:right="1077" w:bottom="1134" w:left="1077" w:header="794" w:footer="567" w:gutter="284"/>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067" w:rsidRDefault="00A32067">
      <w:r>
        <w:separator/>
      </w:r>
    </w:p>
  </w:endnote>
  <w:endnote w:type="continuationSeparator" w:id="0">
    <w:p w:rsidR="00A32067" w:rsidRDefault="00A320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ingLiU">
    <w:altName w:val="?朢痽"/>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MS Mincho">
    <w:altName w:val="昒? 瀡?"/>
    <w:panose1 w:val="02020609040205080304"/>
    <w:charset w:val="80"/>
    <w:family w:val="modern"/>
    <w:pitch w:val="fixed"/>
    <w:sig w:usb0="E00002FF" w:usb1="6AC7FDFB" w:usb2="00000012" w:usb3="00000000" w:csb0="0002009F" w:csb1="00000000"/>
  </w:font>
  <w:font w:name="Batang">
    <w:altName w:val="委?"/>
    <w:panose1 w:val="02030600000101010101"/>
    <w:charset w:val="81"/>
    <w:family w:val="roman"/>
    <w:pitch w:val="variable"/>
    <w:sig w:usb0="B00002AF" w:usb1="69D77CFB" w:usb2="00000030" w:usb3="00000000" w:csb0="0008009F" w:csb1="00000000"/>
  </w:font>
  <w:font w:name="方正大标宋简体">
    <w:altName w:val="微软雅黑"/>
    <w:panose1 w:val="00000000000000000000"/>
    <w:charset w:val="86"/>
    <w:family w:val="auto"/>
    <w:notTrueType/>
    <w:pitch w:val="default"/>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r>
      <w:t>1</w:t>
    </w:r>
  </w:p>
  <w:p w:rsidR="00A32067" w:rsidRDefault="00A3206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p>
  <w:p w:rsidR="00A32067" w:rsidRDefault="00A3206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tabs>
        <w:tab w:val="left" w:pos="11733"/>
        <w:tab w:val="right" w:pos="14692"/>
      </w:tabs>
    </w:pPr>
    <w:r>
      <w:rPr>
        <w:noProof/>
        <w:lang w:val="en-US"/>
      </w:rPr>
      <w:pict>
        <v:shapetype id="_x0000_t202" coordsize="21600,21600" o:spt="202" path="m,l,21600r21600,l21600,xe">
          <v:stroke joinstyle="miter"/>
          <v:path gradientshapeok="t" o:connecttype="rect"/>
        </v:shapetype>
        <v:shape id="_x0000_s2053" type="#_x0000_t202" style="position:absolute;margin-left:-8.35pt;margin-top:-5.25pt;width:29.5pt;height:18.5pt;z-index:251650560" strokecolor="white">
          <v:textbox style="layout-flow:vertical-ideographic">
            <w:txbxContent>
              <w:p w:rsidR="00A32067" w:rsidRDefault="00A32067">
                <w:fldSimple w:instr=" PAGE  \* Arabic  \* MERGEFORMAT ">
                  <w:r>
                    <w:rPr>
                      <w:noProof/>
                    </w:rPr>
                    <w:t>15</w:t>
                  </w:r>
                </w:fldSimple>
              </w:p>
              <w:p w:rsidR="00A32067" w:rsidRDefault="00A32067"/>
            </w:txbxContent>
          </v:textbox>
        </v:shape>
      </w:pict>
    </w:r>
    <w:r>
      <w:rPr>
        <w:noProof/>
        <w:lang w:val="en-US"/>
      </w:rPr>
      <w:pict>
        <v:shape id="_x0000_s2054" type="#_x0000_t202" style="position:absolute;margin-left:0;margin-top:0;width:2in;height:2in;z-index:251647488;mso-wrap-style:none;mso-position-horizontal:inside;mso-position-horizontal-relative:margin" filled="f" strokecolor="white">
          <v:textbox style="mso-fit-shape-to-text:t" inset="0,0,0,0">
            <w:txbxContent>
              <w:p w:rsidR="00A32067" w:rsidRDefault="00A32067">
                <w:pPr>
                  <w:pStyle w:val="Footer"/>
                  <w:jc w:val="right"/>
                </w:pPr>
              </w:p>
              <w:p w:rsidR="00A32067" w:rsidRDefault="00A32067">
                <w:pPr>
                  <w:pStyle w:val="Footer"/>
                  <w:jc w:val="right"/>
                </w:pPr>
              </w:p>
              <w:p w:rsidR="00A32067" w:rsidRDefault="00A32067"/>
            </w:txbxContent>
          </v:textbox>
          <w10:wrap anchorx="margin"/>
        </v:shape>
      </w:pict>
    </w:r>
    <w:r>
      <w:tab/>
    </w:r>
    <w:r>
      <w:tab/>
    </w:r>
    <w:r>
      <w:tab/>
    </w:r>
    <w:r>
      <w:tab/>
    </w:r>
  </w:p>
  <w:p w:rsidR="00A32067" w:rsidRDefault="00A32067">
    <w:pPr>
      <w:pStyle w:val="Footer"/>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55" type="#_x0000_t202" style="position:absolute;margin-left:5.45pt;margin-top:-3.75pt;width:2in;height:2in;z-index:251649536;mso-wrap-style:none;mso-position-horizontal-relative:margin" filled="f" stroked="f">
          <v:textbox style="mso-fit-shape-to-text:t" inset="0,0,0,0">
            <w:txbxContent>
              <w:p w:rsidR="00A32067" w:rsidRDefault="00A32067">
                <w:pPr>
                  <w:pStyle w:val="Footer"/>
                </w:pPr>
                <w:fldSimple w:instr=" PAGE   \* MERGEFORMAT ">
                  <w:r>
                    <w:rPr>
                      <w:noProof/>
                    </w:rPr>
                    <w:t>16</w:t>
                  </w:r>
                </w:fldSimple>
              </w:p>
              <w:p w:rsidR="00A32067" w:rsidRDefault="00A32067"/>
            </w:txbxContent>
          </v:textbox>
          <w10:wrap anchorx="margin"/>
        </v:shape>
      </w:pict>
    </w:r>
  </w:p>
  <w:p w:rsidR="00A32067" w:rsidRDefault="00A3206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r>
      <w:rPr>
        <w:noProof/>
        <w:lang w:val="en-US"/>
      </w:rPr>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48512;mso-wrap-style:none;mso-position-horizontal:inside;mso-position-horizontal-relative:margin" filled="f" stroked="f">
          <v:textbox style="mso-fit-shape-to-text:t" inset="0,0,0,0">
            <w:txbxContent>
              <w:p w:rsidR="00A32067" w:rsidRDefault="00A32067">
                <w:pPr>
                  <w:pStyle w:val="Footer"/>
                  <w:jc w:val="right"/>
                </w:pPr>
                <w:fldSimple w:instr=" PAGE  \* Arabic  \* MERGEFORMAT ">
                  <w:r>
                    <w:t>3</w:t>
                  </w:r>
                </w:fldSimple>
              </w:p>
              <w:p w:rsidR="00A32067" w:rsidRDefault="00A32067"/>
            </w:txbxContent>
          </v:textbox>
          <w10:wrap anchorx="margin"/>
        </v:shape>
      </w:pict>
    </w:r>
  </w:p>
  <w:p w:rsidR="00A32067" w:rsidRDefault="00A32067">
    <w:pPr>
      <w:pStyle w:val="Footer"/>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57" type="#_x0000_t202" style="position:absolute;margin-left:312pt;margin-top:-3.75pt;width:2in;height:2in;z-index:251662848;mso-wrap-style:none;mso-position-horizontal:outside;mso-position-horizontal-relative:margin" filled="f" stroked="f">
          <v:textbox style="mso-fit-shape-to-text:t" inset="0,0,0,0">
            <w:txbxContent>
              <w:p w:rsidR="00A32067" w:rsidRDefault="00A32067">
                <w:pPr>
                  <w:pStyle w:val="Footer"/>
                </w:pPr>
                <w:fldSimple w:instr=" PAGE   \* MERGEFORMAT ">
                  <w:r>
                    <w:rPr>
                      <w:noProof/>
                    </w:rPr>
                    <w:t>266</w:t>
                  </w:r>
                </w:fldSimple>
              </w:p>
              <w:p w:rsidR="00A32067" w:rsidRDefault="00A32067"/>
            </w:txbxContent>
          </v:textbox>
          <w10:wrap anchorx="margin"/>
        </v:shape>
      </w:pict>
    </w:r>
  </w:p>
  <w:p w:rsidR="00A32067" w:rsidRDefault="00A32067">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r>
      <w:rPr>
        <w:noProof/>
        <w:lang w:val="en-US"/>
      </w:rPr>
      <w:pict>
        <v:shapetype id="_x0000_t202" coordsize="21600,21600" o:spt="202" path="m,l,21600r21600,l21600,xe">
          <v:stroke joinstyle="miter"/>
          <v:path gradientshapeok="t" o:connecttype="rect"/>
        </v:shapetype>
        <v:shape id="_x0000_s2058" type="#_x0000_t202" style="position:absolute;left:0;text-align:left;margin-left:457.7pt;margin-top:-3.75pt;width:2in;height:2in;z-index:251661824;mso-wrap-style:none;mso-position-horizontal-relative:margin" filled="f" stroked="f">
          <v:textbox style="mso-fit-shape-to-text:t" inset="0,0,0,0">
            <w:txbxContent>
              <w:p w:rsidR="00A32067" w:rsidRDefault="00A32067">
                <w:pPr>
                  <w:pStyle w:val="Footer"/>
                  <w:jc w:val="right"/>
                </w:pPr>
                <w:fldSimple w:instr=" PAGE  \* Arabic  \* MERGEFORMAT ">
                  <w:r>
                    <w:rPr>
                      <w:noProof/>
                    </w:rPr>
                    <w:t>265</w:t>
                  </w:r>
                </w:fldSimple>
              </w:p>
              <w:p w:rsidR="00A32067" w:rsidRDefault="00A32067"/>
            </w:txbxContent>
          </v:textbox>
          <w10:wrap anchorx="margin"/>
        </v:shape>
      </w:pict>
    </w:r>
  </w:p>
  <w:p w:rsidR="00A32067" w:rsidRDefault="00A32067">
    <w:pPr>
      <w:pStyle w:val="Footer"/>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tabs>
        <w:tab w:val="clear" w:pos="4153"/>
        <w:tab w:val="left" w:pos="297"/>
      </w:tabs>
    </w:pPr>
    <w:r>
      <w:tab/>
    </w:r>
    <w:r>
      <w:rPr>
        <w:noProof/>
        <w:lang w:val="en-US"/>
      </w:rPr>
      <w:pict>
        <v:shapetype id="_x0000_t202" coordsize="21600,21600" o:spt="202" path="m,l,21600r21600,l21600,xe">
          <v:stroke joinstyle="miter"/>
          <v:path gradientshapeok="t" o:connecttype="rect"/>
        </v:shapetype>
        <v:shape id="_x0000_s2061" type="#_x0000_t202" style="position:absolute;margin-left:23.25pt;margin-top:-480.85pt;width:20.25pt;height:12.35pt;rotation:90;z-index:251655680;mso-position-horizontal-relative:margin;mso-position-vertical-relative:text" filled="f" stroked="f">
          <v:textbox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p>
  <w:p w:rsidR="00A32067" w:rsidRDefault="00A32067">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p>
  <w:p w:rsidR="00A32067" w:rsidRDefault="00A32067">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tabs>
        <w:tab w:val="clear" w:pos="4153"/>
        <w:tab w:val="left" w:pos="297"/>
      </w:tabs>
    </w:pPr>
    <w:r>
      <w:rPr>
        <w:noProof/>
        <w:lang w:val="en-US"/>
      </w:rPr>
      <w:pict>
        <v:shapetype id="_x0000_t202" coordsize="21600,21600" o:spt="202" path="m,l,21600r21600,l21600,xe">
          <v:stroke joinstyle="miter"/>
          <v:path gradientshapeok="t" o:connecttype="rect"/>
        </v:shapetype>
        <v:shape id="_x0000_s2063" type="#_x0000_t202" style="position:absolute;margin-left:312pt;margin-top:0;width:2in;height:2in;z-index:251659776;mso-wrap-style:none;mso-position-horizontal:outside;mso-position-horizontal-relative:margin" filled="f" stroked="f">
          <v:textbox style="mso-fit-shape-to-text:t" inset="0,0,0,0">
            <w:txbxContent>
              <w:p w:rsidR="00A32067" w:rsidRDefault="00A32067">
                <w:pPr>
                  <w:pStyle w:val="Footer"/>
                </w:pPr>
                <w:fldSimple w:instr=" PAGE  \* MERGEFORMAT ">
                  <w:r>
                    <w:rPr>
                      <w:noProof/>
                    </w:rPr>
                    <w:t>268</w:t>
                  </w:r>
                </w:fldSimple>
              </w:p>
            </w:txbxContent>
          </v:textbox>
          <w10:wrap anchorx="margin"/>
        </v:shape>
      </w:pict>
    </w:r>
    <w:r>
      <w:rPr>
        <w:noProof/>
        <w:lang w:val="en-US"/>
      </w:rPr>
      <w:pict>
        <v:shape id="_x0000_s2064" type="#_x0000_t202" style="position:absolute;margin-left:-.75pt;margin-top:-504.85pt;width:20.25pt;height:12.35pt;rotation:90;z-index:251656704;mso-position-horizontal-relative:margin" filled="f" stroked="f">
          <v:textbox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r>
      <w:tab/>
    </w:r>
    <w:r>
      <w:rPr>
        <w:noProof/>
        <w:lang w:val="en-US"/>
      </w:rPr>
      <w:pict>
        <v:shape id="_x0000_s2065" type="#_x0000_t202" style="position:absolute;margin-left:23.25pt;margin-top:-480.85pt;width:20.25pt;height:12.35pt;rotation:90;z-index:251660800;mso-position-horizontal-relative:margin;mso-position-vertical-relative:text" filled="f" stroked="f">
          <v:textbox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r>
      <w:rPr>
        <w:noProof/>
        <w:lang w:val="en-US"/>
      </w:rPr>
      <w:pict>
        <v:shape id="_x0000_s2066" type="#_x0000_t202" style="position:absolute;margin-left:11.25pt;margin-top:-492.85pt;width:20.25pt;height:12.35pt;rotation:90;z-index:251657728;mso-position-horizontal-relative:margin;mso-position-vertical-relative:text" filled="f" stroked="f">
          <v:textbox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p>
  <w:p w:rsidR="00A32067" w:rsidRDefault="00A32067">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67" type="#_x0000_t202" style="position:absolute;margin-left:-7.15pt;margin-top:-9.75pt;width:23.2pt;height:20.1pt;rotation:90;z-index:251658752;mso-position-horizontal-relative:margin" filled="f" stroked="f">
          <v:textbox style="layout-flow:vertical-ideographic" inset="0,0,0,0">
            <w:txbxContent>
              <w:p w:rsidR="00A32067" w:rsidRDefault="00A32067">
                <w:pPr>
                  <w:pStyle w:val="Footer"/>
                </w:pPr>
                <w:fldSimple w:instr=" PAGE  \* MERGEFORMAT ">
                  <w:r>
                    <w:rPr>
                      <w:noProof/>
                    </w:rPr>
                    <w:t>267</w:t>
                  </w:r>
                </w:fldSimple>
              </w:p>
            </w:txbxContent>
          </v:textbox>
          <w10:wrap anchorx="margin"/>
        </v:shape>
      </w:pict>
    </w:r>
  </w:p>
  <w:p w:rsidR="00A32067" w:rsidRDefault="00A320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fldSimple w:instr=" PAGE   \* MERGEFORMAT ">
      <w:r>
        <w:rPr>
          <w:noProof/>
        </w:rPr>
        <w:t>2</w:t>
      </w:r>
    </w:fldSimple>
  </w:p>
  <w:p w:rsidR="00A32067" w:rsidRDefault="00A32067">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68" type="#_x0000_t202" style="position:absolute;margin-left:312pt;margin-top:-5.65pt;width:2in;height:2in;rotation:-3;z-index:251651584;mso-wrap-style:none;mso-position-horizontal:outside;mso-position-horizontal-relative:margin" filled="f" stroked="f">
          <v:textbox style="mso-fit-shape-to-text:t" inset="0,0,0,0">
            <w:txbxContent>
              <w:p w:rsidR="00A32067" w:rsidRDefault="00A32067">
                <w:pPr>
                  <w:pStyle w:val="Footer"/>
                </w:pPr>
                <w:fldSimple w:instr=" PAGE   \* MERGEFORMAT ">
                  <w:r>
                    <w:rPr>
                      <w:noProof/>
                    </w:rPr>
                    <w:t>344</w:t>
                  </w:r>
                </w:fldSimple>
              </w:p>
              <w:p w:rsidR="00A32067" w:rsidRDefault="00A32067"/>
            </w:txbxContent>
          </v:textbox>
          <w10:wrap anchorx="margin"/>
        </v:shape>
      </w:pict>
    </w:r>
  </w:p>
  <w:p w:rsidR="00A32067" w:rsidRDefault="00A32067">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69" type="#_x0000_t202" style="position:absolute;margin-left:312pt;margin-top:0;width:2in;height:2in;z-index:251652608;mso-wrap-style:none;mso-position-horizontal:outside;mso-position-horizontal-relative:margin" filled="f" stroked="f">
          <v:textbox style="mso-fit-shape-to-text:t" inset="0,0,0,0">
            <w:txbxContent>
              <w:p w:rsidR="00A32067" w:rsidRDefault="00A32067">
                <w:pPr>
                  <w:pStyle w:val="Footer"/>
                </w:pPr>
                <w:fldSimple w:instr=" PAGE  \* MERGEFORMAT ">
                  <w:r>
                    <w:rPr>
                      <w:noProof/>
                    </w:rPr>
                    <w:t>339</w:t>
                  </w:r>
                </w:fldSimple>
              </w:p>
            </w:txbxContent>
          </v:textbox>
          <w10:wrap anchorx="margin"/>
        </v:shape>
      </w:pict>
    </w:r>
  </w:p>
  <w:p w:rsidR="00A32067" w:rsidRDefault="00A320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fldSimple w:instr=" PAGE   \* MERGEFORMAT ">
      <w:r>
        <w:t>1</w:t>
      </w:r>
    </w:fldSimple>
  </w:p>
  <w:p w:rsidR="00A32067" w:rsidRDefault="00A3206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fldSimple w:instr=" PAGE   \* MERGEFORMAT ">
      <w:r>
        <w:t>4</w:t>
      </w:r>
    </w:fldSimple>
  </w:p>
  <w:p w:rsidR="00A32067" w:rsidRDefault="00A3206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fldSimple w:instr=" PAGE   \* MERGEFORMAT ">
      <w:r>
        <w:rPr>
          <w:noProof/>
        </w:rPr>
        <w:t>3</w:t>
      </w:r>
    </w:fldSimple>
  </w:p>
  <w:p w:rsidR="00A32067" w:rsidRDefault="00A3206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fldSimple w:instr=" PAGE   \* MERGEFORMAT ">
      <w:r>
        <w:rPr>
          <w:noProof/>
        </w:rPr>
        <w:t>4</w:t>
      </w:r>
    </w:fldSimple>
  </w:p>
  <w:p w:rsidR="00A32067" w:rsidRDefault="00A3206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fldSimple w:instr=" PAGE   \* MERGEFORMAT ">
      <w:r>
        <w:t>1</w:t>
      </w:r>
    </w:fldSimple>
  </w:p>
  <w:p w:rsidR="00A32067" w:rsidRDefault="00A3206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pPr>
    <w:r>
      <w:rPr>
        <w:noProof/>
        <w:lang w:val="en-US"/>
      </w:rPr>
      <w:pict>
        <v:shapetype id="_x0000_t202" coordsize="21600,21600" o:spt="202" path="m,l,21600r21600,l21600,xe">
          <v:stroke joinstyle="miter"/>
          <v:path gradientshapeok="t" o:connecttype="rect"/>
        </v:shapetype>
        <v:shape id="_x0000_s2050" type="#_x0000_t202" style="position:absolute;margin-left:3.2pt;margin-top:-1.5pt;width:2in;height:2in;z-index:251666944;mso-wrap-style:none;mso-position-horizontal-relative:margin" filled="f" stroked="f">
          <v:textbox style="mso-fit-shape-to-text:t" inset="0,0,0,0">
            <w:txbxContent>
              <w:p w:rsidR="00A32067" w:rsidRDefault="00A32067">
                <w:pPr>
                  <w:pStyle w:val="Footer"/>
                </w:pPr>
                <w:fldSimple w:instr=" PAGE   \* MERGEFORMAT ">
                  <w:r>
                    <w:rPr>
                      <w:noProof/>
                    </w:rPr>
                    <w:t>2</w:t>
                  </w:r>
                </w:fldSimple>
              </w:p>
              <w:p w:rsidR="00A32067" w:rsidRDefault="00A32067"/>
            </w:txbxContent>
          </v:textbox>
          <w10:wrap anchorx="margin"/>
        </v:shape>
      </w:pict>
    </w:r>
  </w:p>
  <w:p w:rsidR="00A32067" w:rsidRDefault="00A3206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Footer"/>
      <w:jc w:val="right"/>
    </w:pPr>
    <w:r>
      <w:rPr>
        <w:noProof/>
        <w:lang w:val="en-US"/>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5920;mso-wrap-style:none;mso-position-horizontal:inside;mso-position-horizontal-relative:margin" filled="f" stroked="f">
          <v:textbox style="mso-fit-shape-to-text:t" inset="0,0,0,0">
            <w:txbxContent>
              <w:p w:rsidR="00A32067" w:rsidRDefault="00A32067">
                <w:pPr>
                  <w:pStyle w:val="Footer"/>
                  <w:ind w:right="360"/>
                  <w:jc w:val="right"/>
                </w:pPr>
              </w:p>
              <w:p w:rsidR="00A32067" w:rsidRDefault="00A32067"/>
            </w:txbxContent>
          </v:textbox>
          <w10:wrap anchorx="margin"/>
        </v:shape>
      </w:pict>
    </w:r>
    <w:r>
      <w:t>1</w:t>
    </w:r>
  </w:p>
  <w:p w:rsidR="00A32067" w:rsidRDefault="00A320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067" w:rsidRDefault="00A32067">
      <w:r>
        <w:separator/>
      </w:r>
    </w:p>
  </w:footnote>
  <w:footnote w:type="continuationSeparator" w:id="0">
    <w:p w:rsidR="00A32067" w:rsidRDefault="00A320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jc w:val="right"/>
    </w:pPr>
  </w:p>
  <w:p w:rsidR="00A32067" w:rsidRDefault="00A32067">
    <w:pPr>
      <w:pStyle w:val="Header"/>
      <w:pBdr>
        <w:top w:val="none" w:sz="0" w:space="0" w:color="auto"/>
        <w:left w:val="none" w:sz="0" w:space="0" w:color="auto"/>
        <w:bottom w:val="none" w:sz="0" w:space="0" w:color="auto"/>
        <w:right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r>
      <w:rPr>
        <w:noProof/>
      </w:rPr>
      <w:pict>
        <v:shapetype id="_x0000_t202" coordsize="21600,21600" o:spt="202" path="m,l,21600r21600,l21600,xe">
          <v:stroke joinstyle="miter"/>
          <v:path gradientshapeok="t" o:connecttype="rect"/>
        </v:shapetype>
        <v:shape id="_x0000_s2052" type="#_x0000_t202" style="position:absolute;left:0;text-align:left;margin-left:-6.95pt;margin-top:-2.55pt;width:14.3pt;height:21.15pt;rotation:90;z-index:251664896;mso-position-horizontal-relative:margin" filled="f" stroked="f">
          <v:textbox style="layout-flow:vertical-ideographic" inset="0,0,0,0">
            <w:txbxContent>
              <w:p w:rsidR="00A32067" w:rsidRDefault="00A32067">
                <w:fldSimple w:instr=" PAGE  \* Arabic  \* MERGEFORMAT ">
                  <w:r>
                    <w:rPr>
                      <w:noProof/>
                    </w:rPr>
                    <w:t>16</w:t>
                  </w:r>
                </w:fldSimple>
              </w:p>
              <w:p w:rsidR="00A32067" w:rsidRDefault="00A32067">
                <w:pPr>
                  <w:pStyle w:val="Footer"/>
                </w:pPr>
              </w:p>
              <w:p w:rsidR="00A32067" w:rsidRDefault="00A32067"/>
            </w:txbxContent>
          </v:textbox>
          <w10:wrap anchorx="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rPr>
        <w:noProof/>
      </w:rPr>
      <w:pict>
        <v:shapetype id="_x0000_t202" coordsize="21600,21600" o:spt="202" path="m,l,21600r21600,l21600,xe">
          <v:stroke joinstyle="miter"/>
          <v:path gradientshapeok="t" o:connecttype="rect"/>
        </v:shapetype>
        <v:shape id="_x0000_s2059" type="#_x0000_t202" style="position:absolute;left:0;text-align:left;margin-left:5.05pt;margin-top:-4.05pt;width:20.25pt;height:24pt;rotation:90;z-index:251654656;mso-position-horizontal-relative:margin" filled="f" stroked="f">
          <v:textbox style="layout-flow:vertical-ideographic"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rPr>
        <w:noProof/>
      </w:rPr>
      <w:pict>
        <v:shapetype id="_x0000_t202" coordsize="21600,21600" o:spt="202" path="m,l,21600r21600,l21600,xe">
          <v:stroke joinstyle="miter"/>
          <v:path gradientshapeok="t" o:connecttype="rect"/>
        </v:shapetype>
        <v:shape id="_x0000_s2060" type="#_x0000_t202" style="position:absolute;left:0;text-align:left;margin-left:-.75pt;margin-top:.75pt;width:20.25pt;height:12.35pt;rotation:90;z-index:251653632;mso-position-horizontal-relative:margin" filled="f" stroked="f">
          <v:textbox inset="0,0,0,0">
            <w:txbxContent>
              <w:p w:rsidR="00A32067" w:rsidRDefault="00A32067">
                <w:pPr>
                  <w:pStyle w:val="Header"/>
                  <w:pBdr>
                    <w:top w:val="none" w:sz="0" w:space="0" w:color="auto"/>
                    <w:left w:val="none" w:sz="0" w:space="0" w:color="auto"/>
                    <w:bottom w:val="none" w:sz="0" w:space="0" w:color="auto"/>
                    <w:right w:val="none" w:sz="0" w:space="0" w:color="auto"/>
                  </w:pBdr>
                </w:pPr>
                <w:r>
                  <w:t>266</w:t>
                </w:r>
              </w:p>
            </w:txbxContent>
          </v:textbox>
          <w10:wrap anchorx="margin"/>
        </v:shape>
      </w:pict>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rPr>
        <w:noProof/>
      </w:rPr>
      <w:pict>
        <v:shapetype id="_x0000_t202" coordsize="21600,21600" o:spt="202" path="m,l,21600r21600,l21600,xe">
          <v:stroke joinstyle="miter"/>
          <v:path gradientshapeok="t" o:connecttype="rect"/>
        </v:shapetype>
        <v:shape id="_x0000_s2062" type="#_x0000_t202" style="position:absolute;left:0;text-align:left;margin-left:0;margin-top:0;width:2in;height:2in;z-index:251663872;mso-wrap-style:none;mso-position-horizontal:inside;mso-position-horizontal-relative:margin" filled="f" stroked="f">
          <v:textbox style="mso-fit-shape-to-text:t" inset="0,0,0,0">
            <w:txbxContent>
              <w:p w:rsidR="00A32067" w:rsidRDefault="00A32067">
                <w:pPr>
                  <w:pStyle w:val="Header"/>
                  <w:pBdr>
                    <w:top w:val="none" w:sz="0" w:space="0" w:color="auto"/>
                    <w:left w:val="none" w:sz="0" w:space="0" w:color="auto"/>
                    <w:bottom w:val="none" w:sz="0" w:space="0" w:color="auto"/>
                    <w:right w:val="none" w:sz="0" w:space="0" w:color="auto"/>
                  </w:pBdr>
                </w:pPr>
                <w:fldSimple w:instr=" PAGE  \* MERGEFORMAT ">
                  <w:r>
                    <w:rPr>
                      <w:noProof/>
                    </w:rPr>
                    <w:t>268</w:t>
                  </w:r>
                </w:fldSimple>
              </w:p>
            </w:txbxContent>
          </v:textbox>
          <w10:wrap anchorx="margin"/>
        </v:shape>
      </w:pict>
    </w: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2733"/>
      </w:tabs>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tabs>
        <w:tab w:val="clear" w:pos="4153"/>
        <w:tab w:val="left" w:pos="32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r>
      <w:rPr>
        <w:noProof/>
      </w:rPr>
      <w:pict>
        <v:shapetype id="_x0000_t202" coordsize="21600,21600" o:spt="202" path="m,l,21600r21600,l21600,xe">
          <v:stroke joinstyle="miter"/>
          <v:path gradientshapeok="t" o:connecttype="rect"/>
        </v:shapetype>
        <v:shape id="_x0000_s2049" type="#_x0000_t202" style="position:absolute;left:0;text-align:left;margin-left:4.6pt;margin-top:0;width:21.05pt;height:25.65pt;rotation:90;z-index:251667968;mso-position-horizontal-relative:margin" filled="f" stroked="f">
          <v:textbox style="mso-next-textbox:#_x0000_s2049" inset="0,0,0,0">
            <w:txbxContent>
              <w:p w:rsidR="00A32067" w:rsidRDefault="00A32067">
                <w:fldSimple w:instr=" PAGE  \* Arabic  \* MERGEFORMAT ">
                  <w:r>
                    <w:t>3</w:t>
                  </w:r>
                </w:fldSimple>
              </w:p>
              <w:p w:rsidR="00A32067" w:rsidRDefault="00A32067">
                <w:pPr>
                  <w:pStyle w:val="Footer"/>
                </w:pPr>
              </w:p>
              <w:p w:rsidR="00A32067" w:rsidRDefault="00A32067"/>
            </w:txbxContent>
          </v:textbox>
          <w10:wrap anchorx="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067" w:rsidRDefault="00A32067">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6C437B2"/>
    <w:lvl w:ilvl="0">
      <w:start w:val="1"/>
      <w:numFmt w:val="bullet"/>
      <w:lvlText w:val=""/>
      <w:lvlJc w:val="left"/>
      <w:pPr>
        <w:tabs>
          <w:tab w:val="num" w:pos="360"/>
        </w:tabs>
        <w:ind w:left="360" w:hanging="360"/>
      </w:pPr>
      <w:rPr>
        <w:rFonts w:ascii="Wingdings" w:hAnsi="Wingdings" w:cs="Wingdings" w:hint="default"/>
      </w:rPr>
    </w:lvl>
  </w:abstractNum>
  <w:abstractNum w:abstractNumId="1">
    <w:nsid w:val="06D96A79"/>
    <w:multiLevelType w:val="multilevel"/>
    <w:tmpl w:val="06D96A79"/>
    <w:lvl w:ilvl="0">
      <w:start w:val="1"/>
      <w:numFmt w:val="none"/>
      <w:lvlText w:val="一、"/>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9565257"/>
    <w:multiLevelType w:val="multilevel"/>
    <w:tmpl w:val="0956525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79C5F74"/>
    <w:multiLevelType w:val="multilevel"/>
    <w:tmpl w:val="179C5F74"/>
    <w:lvl w:ilvl="0">
      <w:start w:val="1"/>
      <w:numFmt w:val="decimal"/>
      <w:lvlText w:val="%1、"/>
      <w:lvlJc w:val="left"/>
      <w:pPr>
        <w:tabs>
          <w:tab w:val="left" w:pos="360"/>
        </w:tabs>
        <w:ind w:left="360" w:hanging="360"/>
      </w:pPr>
      <w:rPr>
        <w:rFonts w:ascii="Times New Roman" w:eastAsia="宋体" w:hAnsi="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3A479B1"/>
    <w:multiLevelType w:val="multilevel"/>
    <w:tmpl w:val="53A479B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62FF2F3D"/>
    <w:multiLevelType w:val="multilevel"/>
    <w:tmpl w:val="62FF2F3D"/>
    <w:lvl w:ilvl="0">
      <w:start w:val="1"/>
      <w:numFmt w:val="decimal"/>
      <w:pStyle w:val="ListBullet"/>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681B2F55"/>
    <w:multiLevelType w:val="multilevel"/>
    <w:tmpl w:val="681B2F55"/>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68525B69"/>
    <w:multiLevelType w:val="multilevel"/>
    <w:tmpl w:val="68525B69"/>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69F40CD4"/>
    <w:multiLevelType w:val="multilevel"/>
    <w:tmpl w:val="69F40CD4"/>
    <w:lvl w:ilvl="0">
      <w:start w:val="1"/>
      <w:numFmt w:val="japaneseCounting"/>
      <w:lvlText w:val="%1、"/>
      <w:lvlJc w:val="left"/>
      <w:pPr>
        <w:ind w:left="1317" w:hanging="75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0"/>
  </w:num>
  <w:num w:numId="2">
    <w:abstractNumId w:val="0"/>
  </w:num>
  <w:num w:numId="3">
    <w:abstractNumId w:val="5"/>
  </w:num>
  <w:num w:numId="4">
    <w:abstractNumId w:val="8"/>
  </w:num>
  <w:num w:numId="5">
    <w:abstractNumId w:val="1"/>
  </w:num>
  <w:num w:numId="6">
    <w:abstractNumId w:val="4"/>
  </w:num>
  <w:num w:numId="7">
    <w:abstractNumId w:val="3"/>
  </w:num>
  <w:num w:numId="8">
    <w:abstractNumId w:val="7"/>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7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4DE1"/>
    <w:rsid w:val="0002085C"/>
    <w:rsid w:val="00394DE1"/>
    <w:rsid w:val="004A1DFB"/>
    <w:rsid w:val="005431C7"/>
    <w:rsid w:val="00A3206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94DE1"/>
    <w:pPr>
      <w:widowControl w:val="0"/>
      <w:jc w:val="both"/>
    </w:pPr>
    <w:rPr>
      <w:szCs w:val="21"/>
    </w:rPr>
  </w:style>
  <w:style w:type="paragraph" w:styleId="Heading1">
    <w:name w:val="heading 1"/>
    <w:basedOn w:val="Normal"/>
    <w:next w:val="Normal"/>
    <w:link w:val="Heading1Char"/>
    <w:uiPriority w:val="99"/>
    <w:qFormat/>
    <w:rsid w:val="00394DE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394DE1"/>
    <w:pPr>
      <w:keepNext/>
      <w:keepLines/>
      <w:spacing w:before="260" w:after="260" w:line="416" w:lineRule="auto"/>
      <w:outlineLvl w:val="1"/>
    </w:pPr>
    <w:rPr>
      <w:rFonts w:ascii="Calibri Light" w:hAnsi="Calibri Light" w:cs="Calibri Light"/>
      <w:b/>
      <w:bCs/>
      <w:sz w:val="32"/>
      <w:szCs w:val="32"/>
    </w:rPr>
  </w:style>
  <w:style w:type="paragraph" w:styleId="Heading3">
    <w:name w:val="heading 3"/>
    <w:basedOn w:val="Normal"/>
    <w:next w:val="Normal"/>
    <w:link w:val="Heading3Char"/>
    <w:uiPriority w:val="99"/>
    <w:qFormat/>
    <w:rsid w:val="00394DE1"/>
    <w:pPr>
      <w:widowControl/>
      <w:spacing w:before="100" w:beforeAutospacing="1" w:after="100" w:afterAutospacing="1"/>
      <w:jc w:val="left"/>
      <w:outlineLvl w:val="2"/>
    </w:pPr>
    <w:rPr>
      <w:rFonts w:ascii="宋体" w:hAnsi="宋体" w:cs="宋体"/>
      <w:b/>
      <w:bCs/>
      <w:kern w:val="0"/>
      <w:sz w:val="27"/>
      <w:szCs w:val="27"/>
    </w:rPr>
  </w:style>
  <w:style w:type="paragraph" w:styleId="Heading4">
    <w:name w:val="heading 4"/>
    <w:basedOn w:val="Normal"/>
    <w:next w:val="Normal"/>
    <w:link w:val="Heading4Char"/>
    <w:uiPriority w:val="99"/>
    <w:qFormat/>
    <w:rsid w:val="00394DE1"/>
    <w:pPr>
      <w:keepNext/>
      <w:keepLines/>
      <w:spacing w:before="280" w:after="290" w:line="376" w:lineRule="auto"/>
      <w:outlineLvl w:val="3"/>
    </w:pPr>
    <w:rPr>
      <w:rFonts w:ascii="Calibri Light" w:hAnsi="Calibri Light" w:cs="Calibri Light"/>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4DE1"/>
    <w:rPr>
      <w:b/>
      <w:bCs/>
      <w:kern w:val="44"/>
      <w:sz w:val="44"/>
      <w:szCs w:val="44"/>
    </w:rPr>
  </w:style>
  <w:style w:type="character" w:customStyle="1" w:styleId="Heading2Char">
    <w:name w:val="Heading 2 Char"/>
    <w:basedOn w:val="DefaultParagraphFont"/>
    <w:link w:val="Heading2"/>
    <w:uiPriority w:val="99"/>
    <w:locked/>
    <w:rsid w:val="00394DE1"/>
    <w:rPr>
      <w:rFonts w:ascii="Calibri Light" w:eastAsia="宋体" w:hAnsi="Calibri Light" w:cs="Calibri Light"/>
      <w:b/>
      <w:bCs/>
      <w:kern w:val="2"/>
      <w:sz w:val="32"/>
      <w:szCs w:val="32"/>
    </w:rPr>
  </w:style>
  <w:style w:type="character" w:customStyle="1" w:styleId="Heading3Char">
    <w:name w:val="Heading 3 Char"/>
    <w:basedOn w:val="DefaultParagraphFont"/>
    <w:link w:val="Heading3"/>
    <w:uiPriority w:val="99"/>
    <w:locked/>
    <w:rsid w:val="00394DE1"/>
    <w:rPr>
      <w:rFonts w:ascii="宋体" w:eastAsia="宋体" w:cs="宋体"/>
      <w:b/>
      <w:bCs/>
      <w:sz w:val="27"/>
      <w:szCs w:val="27"/>
    </w:rPr>
  </w:style>
  <w:style w:type="character" w:customStyle="1" w:styleId="Heading4Char">
    <w:name w:val="Heading 4 Char"/>
    <w:basedOn w:val="DefaultParagraphFont"/>
    <w:link w:val="Heading4"/>
    <w:uiPriority w:val="99"/>
    <w:locked/>
    <w:rsid w:val="00394DE1"/>
    <w:rPr>
      <w:rFonts w:ascii="Calibri Light" w:eastAsia="宋体" w:hAnsi="Calibri Light" w:cs="Calibri Light"/>
      <w:b/>
      <w:bCs/>
      <w:kern w:val="2"/>
      <w:sz w:val="28"/>
      <w:szCs w:val="28"/>
    </w:rPr>
  </w:style>
  <w:style w:type="paragraph" w:styleId="CommentText">
    <w:name w:val="annotation text"/>
    <w:basedOn w:val="Normal"/>
    <w:link w:val="CommentTextChar"/>
    <w:uiPriority w:val="99"/>
    <w:semiHidden/>
    <w:rsid w:val="00394DE1"/>
    <w:pPr>
      <w:jc w:val="left"/>
    </w:pPr>
  </w:style>
  <w:style w:type="character" w:customStyle="1" w:styleId="CommentTextChar">
    <w:name w:val="Comment Text Char"/>
    <w:basedOn w:val="DefaultParagraphFont"/>
    <w:link w:val="CommentText"/>
    <w:uiPriority w:val="99"/>
    <w:semiHidden/>
    <w:locked/>
    <w:rsid w:val="00394DE1"/>
    <w:rPr>
      <w:kern w:val="2"/>
      <w:sz w:val="24"/>
      <w:szCs w:val="24"/>
    </w:rPr>
  </w:style>
  <w:style w:type="paragraph" w:styleId="CommentSubject">
    <w:name w:val="annotation subject"/>
    <w:basedOn w:val="CommentText"/>
    <w:next w:val="CommentText"/>
    <w:link w:val="CommentSubjectChar"/>
    <w:uiPriority w:val="99"/>
    <w:semiHidden/>
    <w:rsid w:val="00394DE1"/>
    <w:rPr>
      <w:b/>
      <w:bCs/>
    </w:rPr>
  </w:style>
  <w:style w:type="character" w:customStyle="1" w:styleId="CommentSubjectChar">
    <w:name w:val="Comment Subject Char"/>
    <w:basedOn w:val="CommentTextChar"/>
    <w:link w:val="CommentSubject"/>
    <w:uiPriority w:val="99"/>
    <w:semiHidden/>
    <w:locked/>
    <w:rsid w:val="00394DE1"/>
    <w:rPr>
      <w:b/>
      <w:bCs/>
    </w:rPr>
  </w:style>
  <w:style w:type="paragraph" w:styleId="TOC7">
    <w:name w:val="toc 7"/>
    <w:basedOn w:val="Normal"/>
    <w:next w:val="Normal"/>
    <w:autoRedefine/>
    <w:uiPriority w:val="99"/>
    <w:semiHidden/>
    <w:rsid w:val="00394DE1"/>
    <w:pPr>
      <w:ind w:leftChars="1200" w:left="2520"/>
    </w:pPr>
    <w:rPr>
      <w:rFonts w:ascii="Calibri" w:hAnsi="Calibri" w:cs="Calibri"/>
    </w:rPr>
  </w:style>
  <w:style w:type="paragraph" w:styleId="Caption">
    <w:name w:val="caption"/>
    <w:basedOn w:val="Normal"/>
    <w:next w:val="Normal"/>
    <w:uiPriority w:val="99"/>
    <w:qFormat/>
    <w:rsid w:val="00394DE1"/>
    <w:rPr>
      <w:rFonts w:ascii="Calibri Light" w:eastAsia="黑体" w:hAnsi="Calibri Light" w:cs="Calibri Light"/>
      <w:sz w:val="20"/>
      <w:szCs w:val="20"/>
    </w:rPr>
  </w:style>
  <w:style w:type="paragraph" w:styleId="ListBullet">
    <w:name w:val="List Bullet"/>
    <w:basedOn w:val="Normal"/>
    <w:uiPriority w:val="99"/>
    <w:rsid w:val="00394DE1"/>
    <w:pPr>
      <w:numPr>
        <w:numId w:val="3"/>
      </w:numPr>
    </w:pPr>
  </w:style>
  <w:style w:type="paragraph" w:styleId="DocumentMap">
    <w:name w:val="Document Map"/>
    <w:basedOn w:val="Normal"/>
    <w:link w:val="DocumentMapChar"/>
    <w:uiPriority w:val="99"/>
    <w:semiHidden/>
    <w:rsid w:val="00394DE1"/>
    <w:pPr>
      <w:widowControl/>
      <w:adjustRightInd w:val="0"/>
      <w:snapToGrid w:val="0"/>
      <w:spacing w:after="200"/>
      <w:jc w:val="left"/>
    </w:pPr>
    <w:rPr>
      <w:rFonts w:ascii="宋体" w:hAnsi="Tahoma" w:cs="宋体"/>
      <w:kern w:val="0"/>
      <w:sz w:val="18"/>
      <w:szCs w:val="18"/>
    </w:rPr>
  </w:style>
  <w:style w:type="character" w:customStyle="1" w:styleId="DocumentMapChar">
    <w:name w:val="Document Map Char"/>
    <w:basedOn w:val="DefaultParagraphFont"/>
    <w:link w:val="DocumentMap"/>
    <w:uiPriority w:val="99"/>
    <w:locked/>
    <w:rsid w:val="00394DE1"/>
    <w:rPr>
      <w:rFonts w:ascii="宋体" w:hAnsi="Tahoma" w:cs="宋体"/>
      <w:sz w:val="18"/>
      <w:szCs w:val="18"/>
    </w:rPr>
  </w:style>
  <w:style w:type="paragraph" w:styleId="BodyTextIndent">
    <w:name w:val="Body Text Indent"/>
    <w:basedOn w:val="Normal"/>
    <w:link w:val="BodyTextIndentChar"/>
    <w:uiPriority w:val="99"/>
    <w:rsid w:val="00394DE1"/>
    <w:pPr>
      <w:ind w:leftChars="-51" w:left="-51" w:rightChars="-51" w:right="-107" w:hangingChars="51" w:hanging="107"/>
      <w:jc w:val="center"/>
    </w:pPr>
  </w:style>
  <w:style w:type="character" w:customStyle="1" w:styleId="BodyTextIndentChar">
    <w:name w:val="Body Text Indent Char"/>
    <w:basedOn w:val="DefaultParagraphFont"/>
    <w:link w:val="BodyTextIndent"/>
    <w:uiPriority w:val="99"/>
    <w:locked/>
    <w:rsid w:val="00394DE1"/>
    <w:rPr>
      <w:kern w:val="2"/>
      <w:sz w:val="24"/>
      <w:szCs w:val="24"/>
    </w:rPr>
  </w:style>
  <w:style w:type="paragraph" w:styleId="TOC5">
    <w:name w:val="toc 5"/>
    <w:basedOn w:val="Normal"/>
    <w:next w:val="Normal"/>
    <w:autoRedefine/>
    <w:uiPriority w:val="99"/>
    <w:semiHidden/>
    <w:rsid w:val="00394DE1"/>
    <w:pPr>
      <w:ind w:leftChars="800" w:left="1680"/>
    </w:pPr>
    <w:rPr>
      <w:rFonts w:ascii="Calibri" w:hAnsi="Calibri" w:cs="Calibri"/>
    </w:rPr>
  </w:style>
  <w:style w:type="paragraph" w:styleId="TOC3">
    <w:name w:val="toc 3"/>
    <w:basedOn w:val="Normal"/>
    <w:next w:val="Normal"/>
    <w:autoRedefine/>
    <w:uiPriority w:val="99"/>
    <w:semiHidden/>
    <w:rsid w:val="00394DE1"/>
    <w:pPr>
      <w:ind w:leftChars="400" w:left="840"/>
    </w:pPr>
  </w:style>
  <w:style w:type="paragraph" w:styleId="PlainText">
    <w:name w:val="Plain Text"/>
    <w:basedOn w:val="Normal"/>
    <w:link w:val="PlainTextChar"/>
    <w:uiPriority w:val="99"/>
    <w:rsid w:val="00394DE1"/>
    <w:rPr>
      <w:rFonts w:ascii="宋体" w:hAnsi="Courier New" w:cs="宋体"/>
    </w:rPr>
  </w:style>
  <w:style w:type="character" w:customStyle="1" w:styleId="PlainTextChar">
    <w:name w:val="Plain Text Char"/>
    <w:basedOn w:val="DefaultParagraphFont"/>
    <w:link w:val="PlainText"/>
    <w:uiPriority w:val="99"/>
    <w:locked/>
    <w:rsid w:val="00394DE1"/>
    <w:rPr>
      <w:rFonts w:ascii="宋体" w:hAnsi="Courier New" w:cs="宋体"/>
      <w:kern w:val="2"/>
      <w:sz w:val="21"/>
      <w:szCs w:val="21"/>
    </w:rPr>
  </w:style>
  <w:style w:type="paragraph" w:styleId="TOC8">
    <w:name w:val="toc 8"/>
    <w:basedOn w:val="Normal"/>
    <w:next w:val="Normal"/>
    <w:autoRedefine/>
    <w:uiPriority w:val="99"/>
    <w:semiHidden/>
    <w:rsid w:val="00394DE1"/>
    <w:pPr>
      <w:ind w:leftChars="1400" w:left="2940"/>
    </w:pPr>
    <w:rPr>
      <w:rFonts w:ascii="Calibri" w:hAnsi="Calibri" w:cs="Calibri"/>
    </w:rPr>
  </w:style>
  <w:style w:type="paragraph" w:styleId="Date">
    <w:name w:val="Date"/>
    <w:basedOn w:val="Normal"/>
    <w:next w:val="Normal"/>
    <w:link w:val="DateChar"/>
    <w:uiPriority w:val="99"/>
    <w:rsid w:val="00394DE1"/>
    <w:pPr>
      <w:widowControl/>
      <w:adjustRightInd w:val="0"/>
      <w:snapToGrid w:val="0"/>
      <w:spacing w:after="200"/>
      <w:ind w:leftChars="2500" w:left="100"/>
      <w:jc w:val="left"/>
    </w:pPr>
    <w:rPr>
      <w:rFonts w:ascii="Tahoma" w:eastAsia="微软雅黑" w:hAnsi="Tahoma" w:cs="Tahoma"/>
      <w:kern w:val="0"/>
      <w:sz w:val="22"/>
      <w:szCs w:val="22"/>
    </w:rPr>
  </w:style>
  <w:style w:type="character" w:customStyle="1" w:styleId="DateChar">
    <w:name w:val="Date Char"/>
    <w:basedOn w:val="DefaultParagraphFont"/>
    <w:link w:val="Date"/>
    <w:uiPriority w:val="99"/>
    <w:locked/>
    <w:rsid w:val="00394DE1"/>
    <w:rPr>
      <w:rFonts w:ascii="Tahoma" w:eastAsia="微软雅黑" w:hAnsi="Tahoma" w:cs="Tahoma"/>
      <w:sz w:val="22"/>
      <w:szCs w:val="22"/>
    </w:rPr>
  </w:style>
  <w:style w:type="paragraph" w:styleId="BalloonText">
    <w:name w:val="Balloon Text"/>
    <w:basedOn w:val="Normal"/>
    <w:link w:val="BalloonTextChar"/>
    <w:uiPriority w:val="99"/>
    <w:semiHidden/>
    <w:rsid w:val="00394DE1"/>
    <w:rPr>
      <w:rFonts w:ascii="Calibri" w:hAnsi="Calibri" w:cs="Calibri"/>
      <w:sz w:val="18"/>
      <w:szCs w:val="18"/>
    </w:rPr>
  </w:style>
  <w:style w:type="character" w:customStyle="1" w:styleId="BalloonTextChar">
    <w:name w:val="Balloon Text Char"/>
    <w:basedOn w:val="DefaultParagraphFont"/>
    <w:link w:val="BalloonText"/>
    <w:uiPriority w:val="99"/>
    <w:locked/>
    <w:rsid w:val="00394DE1"/>
    <w:rPr>
      <w:rFonts w:ascii="Calibri" w:eastAsia="宋体" w:hAnsi="Calibri" w:cs="Calibri"/>
      <w:kern w:val="2"/>
      <w:sz w:val="18"/>
      <w:szCs w:val="18"/>
    </w:rPr>
  </w:style>
  <w:style w:type="paragraph" w:styleId="Footer">
    <w:name w:val="footer"/>
    <w:basedOn w:val="Normal"/>
    <w:link w:val="FooterChar"/>
    <w:uiPriority w:val="99"/>
    <w:rsid w:val="00394DE1"/>
    <w:pPr>
      <w:tabs>
        <w:tab w:val="center" w:pos="4153"/>
        <w:tab w:val="right" w:pos="8306"/>
      </w:tabs>
      <w:snapToGrid w:val="0"/>
      <w:jc w:val="left"/>
    </w:pPr>
    <w:rPr>
      <w:sz w:val="18"/>
      <w:szCs w:val="18"/>
      <w:lang w:val="zh-CN"/>
    </w:rPr>
  </w:style>
  <w:style w:type="character" w:customStyle="1" w:styleId="FooterChar">
    <w:name w:val="Footer Char"/>
    <w:basedOn w:val="DefaultParagraphFont"/>
    <w:link w:val="Footer"/>
    <w:uiPriority w:val="99"/>
    <w:locked/>
    <w:rsid w:val="00394DE1"/>
    <w:rPr>
      <w:kern w:val="2"/>
      <w:sz w:val="18"/>
      <w:szCs w:val="18"/>
      <w:lang w:val="zh-CN"/>
    </w:rPr>
  </w:style>
  <w:style w:type="paragraph" w:styleId="Header">
    <w:name w:val="header"/>
    <w:basedOn w:val="Normal"/>
    <w:link w:val="HeaderChar"/>
    <w:uiPriority w:val="99"/>
    <w:rsid w:val="00394DE1"/>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394DE1"/>
    <w:rPr>
      <w:kern w:val="2"/>
      <w:sz w:val="24"/>
      <w:szCs w:val="24"/>
    </w:rPr>
  </w:style>
  <w:style w:type="paragraph" w:styleId="TOC1">
    <w:name w:val="toc 1"/>
    <w:basedOn w:val="Normal"/>
    <w:next w:val="Normal"/>
    <w:autoRedefine/>
    <w:uiPriority w:val="99"/>
    <w:semiHidden/>
    <w:rsid w:val="00394DE1"/>
  </w:style>
  <w:style w:type="paragraph" w:styleId="TOC4">
    <w:name w:val="toc 4"/>
    <w:basedOn w:val="Normal"/>
    <w:next w:val="Normal"/>
    <w:autoRedefine/>
    <w:uiPriority w:val="99"/>
    <w:semiHidden/>
    <w:rsid w:val="00394DE1"/>
    <w:pPr>
      <w:ind w:leftChars="600" w:left="1260"/>
    </w:pPr>
    <w:rPr>
      <w:rFonts w:ascii="Calibri" w:hAnsi="Calibri" w:cs="Calibri"/>
    </w:rPr>
  </w:style>
  <w:style w:type="paragraph" w:styleId="TOC6">
    <w:name w:val="toc 6"/>
    <w:basedOn w:val="Normal"/>
    <w:next w:val="Normal"/>
    <w:autoRedefine/>
    <w:uiPriority w:val="99"/>
    <w:semiHidden/>
    <w:rsid w:val="00394DE1"/>
    <w:pPr>
      <w:ind w:leftChars="1000" w:left="2100"/>
    </w:pPr>
    <w:rPr>
      <w:rFonts w:ascii="Calibri" w:hAnsi="Calibri" w:cs="Calibri"/>
    </w:rPr>
  </w:style>
  <w:style w:type="paragraph" w:styleId="TOC2">
    <w:name w:val="toc 2"/>
    <w:basedOn w:val="Normal"/>
    <w:next w:val="Normal"/>
    <w:autoRedefine/>
    <w:uiPriority w:val="99"/>
    <w:semiHidden/>
    <w:rsid w:val="00394DE1"/>
    <w:pPr>
      <w:ind w:leftChars="200" w:left="420"/>
    </w:pPr>
  </w:style>
  <w:style w:type="paragraph" w:styleId="TOC9">
    <w:name w:val="toc 9"/>
    <w:basedOn w:val="Normal"/>
    <w:next w:val="Normal"/>
    <w:autoRedefine/>
    <w:uiPriority w:val="99"/>
    <w:semiHidden/>
    <w:rsid w:val="00394DE1"/>
    <w:pPr>
      <w:ind w:leftChars="1600" w:left="3360"/>
    </w:pPr>
    <w:rPr>
      <w:rFonts w:ascii="Calibri" w:hAnsi="Calibri" w:cs="Calibri"/>
    </w:rPr>
  </w:style>
  <w:style w:type="paragraph" w:styleId="NormalWeb">
    <w:name w:val="Normal (Web)"/>
    <w:basedOn w:val="Normal"/>
    <w:uiPriority w:val="99"/>
    <w:rsid w:val="00394DE1"/>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rsid w:val="00394DE1"/>
    <w:rPr>
      <w:b/>
      <w:bCs/>
    </w:rPr>
  </w:style>
  <w:style w:type="character" w:styleId="PageNumber">
    <w:name w:val="page number"/>
    <w:basedOn w:val="DefaultParagraphFont"/>
    <w:uiPriority w:val="99"/>
    <w:rsid w:val="00394DE1"/>
  </w:style>
  <w:style w:type="character" w:styleId="Emphasis">
    <w:name w:val="Emphasis"/>
    <w:basedOn w:val="DefaultParagraphFont"/>
    <w:uiPriority w:val="99"/>
    <w:qFormat/>
    <w:rsid w:val="00394DE1"/>
    <w:rPr>
      <w:i/>
      <w:iCs/>
    </w:rPr>
  </w:style>
  <w:style w:type="character" w:styleId="Hyperlink">
    <w:name w:val="Hyperlink"/>
    <w:basedOn w:val="DefaultParagraphFont"/>
    <w:uiPriority w:val="99"/>
    <w:rsid w:val="00394DE1"/>
    <w:rPr>
      <w:color w:val="0000FF"/>
      <w:u w:val="single"/>
    </w:rPr>
  </w:style>
  <w:style w:type="character" w:styleId="CommentReference">
    <w:name w:val="annotation reference"/>
    <w:basedOn w:val="DefaultParagraphFont"/>
    <w:uiPriority w:val="99"/>
    <w:semiHidden/>
    <w:rsid w:val="00394DE1"/>
    <w:rPr>
      <w:sz w:val="21"/>
      <w:szCs w:val="21"/>
    </w:rPr>
  </w:style>
  <w:style w:type="table" w:styleId="TableGrid">
    <w:name w:val="Table Grid"/>
    <w:basedOn w:val="TableNormal"/>
    <w:uiPriority w:val="99"/>
    <w:rsid w:val="00394DE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94DE1"/>
    <w:pPr>
      <w:ind w:firstLineChars="200" w:firstLine="420"/>
    </w:pPr>
  </w:style>
  <w:style w:type="paragraph" w:customStyle="1" w:styleId="customunionstyle">
    <w:name w:val="custom_unionstyle"/>
    <w:basedOn w:val="Normal"/>
    <w:uiPriority w:val="99"/>
    <w:rsid w:val="00394DE1"/>
    <w:pPr>
      <w:widowControl/>
      <w:spacing w:before="100" w:beforeAutospacing="1" w:after="100" w:afterAutospacing="1"/>
      <w:jc w:val="left"/>
    </w:pPr>
    <w:rPr>
      <w:rFonts w:ascii="宋体" w:hAnsi="宋体" w:cs="宋体"/>
      <w:kern w:val="0"/>
      <w:sz w:val="24"/>
      <w:szCs w:val="24"/>
    </w:rPr>
  </w:style>
  <w:style w:type="character" w:customStyle="1" w:styleId="Arial">
    <w:name w:val="正文文本 + Arial"/>
    <w:basedOn w:val="DefaultParagraphFont"/>
    <w:uiPriority w:val="99"/>
    <w:rsid w:val="00394DE1"/>
    <w:rPr>
      <w:rFonts w:ascii="Arial" w:eastAsia="Times New Roman" w:hAnsi="Arial" w:cs="Arial"/>
      <w:b/>
      <w:bCs/>
      <w:color w:val="000000"/>
      <w:spacing w:val="0"/>
      <w:w w:val="100"/>
      <w:position w:val="0"/>
      <w:sz w:val="15"/>
      <w:szCs w:val="15"/>
      <w:shd w:val="clear" w:color="auto" w:fill="FFFFFF"/>
      <w:lang w:val="zh-TW"/>
    </w:rPr>
  </w:style>
  <w:style w:type="character" w:customStyle="1" w:styleId="0pt">
    <w:name w:val="正文文本 + 间距 0 pt"/>
    <w:basedOn w:val="DefaultParagraphFont"/>
    <w:uiPriority w:val="99"/>
    <w:rsid w:val="00394DE1"/>
    <w:rPr>
      <w:rFonts w:ascii="MingLiU" w:eastAsia="MingLiU" w:hAnsi="MingLiU" w:cs="MingLiU"/>
      <w:color w:val="000000"/>
      <w:spacing w:val="-10"/>
      <w:w w:val="100"/>
      <w:position w:val="0"/>
      <w:sz w:val="13"/>
      <w:szCs w:val="13"/>
      <w:shd w:val="clear" w:color="auto" w:fill="FFFFFF"/>
      <w:lang w:val="zh-TW"/>
    </w:rPr>
  </w:style>
  <w:style w:type="character" w:customStyle="1" w:styleId="2">
    <w:name w:val="标题 #2_"/>
    <w:basedOn w:val="DefaultParagraphFont"/>
    <w:link w:val="20"/>
    <w:uiPriority w:val="99"/>
    <w:locked/>
    <w:rsid w:val="00394DE1"/>
    <w:rPr>
      <w:rFonts w:ascii="MingLiU" w:eastAsia="MingLiU" w:hAnsi="MingLiU" w:cs="MingLiU"/>
      <w:sz w:val="17"/>
      <w:szCs w:val="17"/>
      <w:shd w:val="clear" w:color="auto" w:fill="FFFFFF"/>
    </w:rPr>
  </w:style>
  <w:style w:type="paragraph" w:customStyle="1" w:styleId="20">
    <w:name w:val="标题 #2"/>
    <w:basedOn w:val="Normal"/>
    <w:link w:val="2"/>
    <w:uiPriority w:val="99"/>
    <w:rsid w:val="00394DE1"/>
    <w:pPr>
      <w:shd w:val="clear" w:color="auto" w:fill="FFFFFF"/>
      <w:spacing w:before="600" w:line="326" w:lineRule="exact"/>
      <w:jc w:val="center"/>
      <w:outlineLvl w:val="1"/>
    </w:pPr>
    <w:rPr>
      <w:rFonts w:ascii="MingLiU" w:eastAsia="MingLiU" w:hAnsi="MingLiU" w:cs="MingLiU"/>
      <w:kern w:val="0"/>
      <w:sz w:val="17"/>
      <w:szCs w:val="17"/>
    </w:rPr>
  </w:style>
  <w:style w:type="character" w:customStyle="1" w:styleId="apple-converted-space">
    <w:name w:val="apple-converted-space"/>
    <w:basedOn w:val="DefaultParagraphFont"/>
    <w:uiPriority w:val="99"/>
    <w:rsid w:val="00394DE1"/>
  </w:style>
  <w:style w:type="character" w:customStyle="1" w:styleId="a">
    <w:name w:val="正文文本_"/>
    <w:basedOn w:val="DefaultParagraphFont"/>
    <w:link w:val="1"/>
    <w:uiPriority w:val="99"/>
    <w:locked/>
    <w:rsid w:val="00394DE1"/>
    <w:rPr>
      <w:rFonts w:ascii="MingLiU" w:eastAsia="MingLiU" w:hAnsi="MingLiU" w:cs="MingLiU"/>
      <w:spacing w:val="10"/>
      <w:sz w:val="13"/>
      <w:szCs w:val="13"/>
      <w:shd w:val="clear" w:color="auto" w:fill="FFFFFF"/>
    </w:rPr>
  </w:style>
  <w:style w:type="paragraph" w:customStyle="1" w:styleId="1">
    <w:name w:val="正文文本1"/>
    <w:basedOn w:val="Normal"/>
    <w:link w:val="a"/>
    <w:uiPriority w:val="99"/>
    <w:rsid w:val="00394DE1"/>
    <w:pPr>
      <w:shd w:val="clear" w:color="auto" w:fill="FFFFFF"/>
      <w:spacing w:line="253" w:lineRule="exact"/>
      <w:jc w:val="distribute"/>
    </w:pPr>
    <w:rPr>
      <w:rFonts w:ascii="MingLiU" w:eastAsia="MingLiU" w:hAnsi="MingLiU" w:cs="MingLiU"/>
      <w:spacing w:val="10"/>
      <w:kern w:val="0"/>
      <w:sz w:val="13"/>
      <w:szCs w:val="13"/>
    </w:rPr>
  </w:style>
  <w:style w:type="character" w:customStyle="1" w:styleId="21">
    <w:name w:val="正文文本 (2)_"/>
    <w:basedOn w:val="DefaultParagraphFont"/>
    <w:link w:val="22"/>
    <w:uiPriority w:val="99"/>
    <w:locked/>
    <w:rsid w:val="00394DE1"/>
    <w:rPr>
      <w:rFonts w:eastAsia="Times New Roman"/>
      <w:sz w:val="10"/>
      <w:szCs w:val="10"/>
      <w:shd w:val="clear" w:color="auto" w:fill="FFFFFF"/>
    </w:rPr>
  </w:style>
  <w:style w:type="paragraph" w:customStyle="1" w:styleId="22">
    <w:name w:val="正文文本 (2)"/>
    <w:basedOn w:val="Normal"/>
    <w:link w:val="21"/>
    <w:uiPriority w:val="99"/>
    <w:rsid w:val="00394DE1"/>
    <w:pPr>
      <w:shd w:val="clear" w:color="auto" w:fill="FFFFFF"/>
      <w:spacing w:line="240" w:lineRule="atLeast"/>
      <w:ind w:firstLine="280"/>
    </w:pPr>
    <w:rPr>
      <w:kern w:val="0"/>
      <w:sz w:val="10"/>
      <w:szCs w:val="10"/>
    </w:rPr>
  </w:style>
  <w:style w:type="character" w:customStyle="1" w:styleId="2MingLiU">
    <w:name w:val="正文文本 (2) + MingLiU"/>
    <w:basedOn w:val="21"/>
    <w:uiPriority w:val="99"/>
    <w:rsid w:val="00394DE1"/>
    <w:rPr>
      <w:rFonts w:ascii="MingLiU" w:eastAsia="MingLiU" w:hAnsi="MingLiU" w:cs="MingLiU"/>
      <w:color w:val="000000"/>
      <w:spacing w:val="30"/>
      <w:w w:val="100"/>
      <w:position w:val="0"/>
      <w:sz w:val="9"/>
      <w:szCs w:val="9"/>
      <w:lang w:val="zh-TW"/>
    </w:rPr>
  </w:style>
  <w:style w:type="character" w:customStyle="1" w:styleId="10">
    <w:name w:val="标题 #1_"/>
    <w:basedOn w:val="DefaultParagraphFont"/>
    <w:link w:val="11"/>
    <w:uiPriority w:val="99"/>
    <w:locked/>
    <w:rsid w:val="00394DE1"/>
    <w:rPr>
      <w:rFonts w:ascii="MingLiU" w:eastAsia="MingLiU" w:hAnsi="MingLiU" w:cs="MingLiU"/>
      <w:sz w:val="40"/>
      <w:szCs w:val="40"/>
      <w:shd w:val="clear" w:color="auto" w:fill="FFFFFF"/>
    </w:rPr>
  </w:style>
  <w:style w:type="paragraph" w:customStyle="1" w:styleId="11">
    <w:name w:val="标题 #1"/>
    <w:basedOn w:val="Normal"/>
    <w:link w:val="10"/>
    <w:uiPriority w:val="99"/>
    <w:rsid w:val="00394DE1"/>
    <w:pPr>
      <w:shd w:val="clear" w:color="auto" w:fill="FFFFFF"/>
      <w:spacing w:before="360" w:after="600" w:line="240" w:lineRule="atLeast"/>
      <w:jc w:val="left"/>
      <w:outlineLvl w:val="0"/>
    </w:pPr>
    <w:rPr>
      <w:rFonts w:ascii="MingLiU" w:eastAsia="MingLiU" w:hAnsi="MingLiU" w:cs="MingLiU"/>
      <w:kern w:val="0"/>
      <w:sz w:val="40"/>
      <w:szCs w:val="40"/>
    </w:rPr>
  </w:style>
  <w:style w:type="character" w:customStyle="1" w:styleId="3">
    <w:name w:val="正文文本 (3)_"/>
    <w:basedOn w:val="DefaultParagraphFont"/>
    <w:link w:val="30"/>
    <w:uiPriority w:val="99"/>
    <w:locked/>
    <w:rsid w:val="00394DE1"/>
    <w:rPr>
      <w:rFonts w:ascii="Palatino Linotype" w:eastAsia="Times New Roman" w:hAnsi="Palatino Linotype" w:cs="Palatino Linotype"/>
      <w:b/>
      <w:bCs/>
      <w:sz w:val="12"/>
      <w:szCs w:val="12"/>
      <w:shd w:val="clear" w:color="auto" w:fill="FFFFFF"/>
    </w:rPr>
  </w:style>
  <w:style w:type="paragraph" w:customStyle="1" w:styleId="30">
    <w:name w:val="正文文本 (3)"/>
    <w:basedOn w:val="Normal"/>
    <w:link w:val="3"/>
    <w:uiPriority w:val="99"/>
    <w:rsid w:val="00394DE1"/>
    <w:pPr>
      <w:shd w:val="clear" w:color="auto" w:fill="FFFFFF"/>
      <w:spacing w:before="600" w:after="600" w:line="240" w:lineRule="atLeast"/>
      <w:jc w:val="center"/>
    </w:pPr>
    <w:rPr>
      <w:rFonts w:ascii="Palatino Linotype" w:hAnsi="Palatino Linotype" w:cs="Palatino Linotype"/>
      <w:b/>
      <w:bCs/>
      <w:kern w:val="0"/>
      <w:sz w:val="12"/>
      <w:szCs w:val="12"/>
    </w:rPr>
  </w:style>
  <w:style w:type="character" w:customStyle="1" w:styleId="Exact">
    <w:name w:val="正文文本 Exact"/>
    <w:basedOn w:val="DefaultParagraphFont"/>
    <w:uiPriority w:val="99"/>
    <w:rsid w:val="00394DE1"/>
    <w:rPr>
      <w:rFonts w:ascii="MingLiU" w:eastAsia="MingLiU" w:hAnsi="MingLiU" w:cs="MingLiU"/>
      <w:spacing w:val="24"/>
      <w:sz w:val="15"/>
      <w:szCs w:val="15"/>
      <w:u w:val="none"/>
    </w:rPr>
  </w:style>
  <w:style w:type="character" w:customStyle="1" w:styleId="a0">
    <w:name w:val="表格标题_"/>
    <w:basedOn w:val="DefaultParagraphFont"/>
    <w:link w:val="a1"/>
    <w:uiPriority w:val="99"/>
    <w:locked/>
    <w:rsid w:val="00394DE1"/>
    <w:rPr>
      <w:rFonts w:ascii="MingLiU" w:eastAsia="MingLiU" w:hAnsi="MingLiU" w:cs="MingLiU"/>
      <w:spacing w:val="10"/>
      <w:sz w:val="13"/>
      <w:szCs w:val="13"/>
      <w:shd w:val="clear" w:color="auto" w:fill="FFFFFF"/>
    </w:rPr>
  </w:style>
  <w:style w:type="paragraph" w:customStyle="1" w:styleId="a1">
    <w:name w:val="表格标题"/>
    <w:basedOn w:val="Normal"/>
    <w:link w:val="a0"/>
    <w:uiPriority w:val="99"/>
    <w:rsid w:val="00394DE1"/>
    <w:pPr>
      <w:shd w:val="clear" w:color="auto" w:fill="FFFFFF"/>
      <w:spacing w:line="240" w:lineRule="atLeast"/>
      <w:jc w:val="left"/>
    </w:pPr>
    <w:rPr>
      <w:rFonts w:ascii="MingLiU" w:eastAsia="MingLiU" w:hAnsi="MingLiU" w:cs="MingLiU"/>
      <w:spacing w:val="10"/>
      <w:kern w:val="0"/>
      <w:sz w:val="13"/>
      <w:szCs w:val="13"/>
    </w:rPr>
  </w:style>
  <w:style w:type="character" w:customStyle="1" w:styleId="4">
    <w:name w:val="标题 #4_"/>
    <w:basedOn w:val="DefaultParagraphFont"/>
    <w:link w:val="40"/>
    <w:uiPriority w:val="99"/>
    <w:locked/>
    <w:rsid w:val="00394DE1"/>
    <w:rPr>
      <w:rFonts w:ascii="MingLiU" w:eastAsia="MingLiU" w:hAnsi="MingLiU" w:cs="MingLiU"/>
      <w:shd w:val="clear" w:color="auto" w:fill="FFFFFF"/>
    </w:rPr>
  </w:style>
  <w:style w:type="paragraph" w:customStyle="1" w:styleId="40">
    <w:name w:val="标题 #4"/>
    <w:basedOn w:val="Normal"/>
    <w:link w:val="4"/>
    <w:uiPriority w:val="99"/>
    <w:rsid w:val="00394DE1"/>
    <w:pPr>
      <w:shd w:val="clear" w:color="auto" w:fill="FFFFFF"/>
      <w:spacing w:before="600" w:after="240" w:line="262" w:lineRule="exact"/>
      <w:jc w:val="center"/>
      <w:outlineLvl w:val="3"/>
    </w:pPr>
    <w:rPr>
      <w:rFonts w:ascii="MingLiU" w:eastAsia="MingLiU" w:hAnsi="MingLiU" w:cs="MingLiU"/>
      <w:kern w:val="0"/>
      <w:sz w:val="20"/>
      <w:szCs w:val="20"/>
    </w:rPr>
  </w:style>
  <w:style w:type="character" w:customStyle="1" w:styleId="41pt">
    <w:name w:val="标题 #4 + 间距 1 pt"/>
    <w:basedOn w:val="4"/>
    <w:uiPriority w:val="99"/>
    <w:rsid w:val="00394DE1"/>
    <w:rPr>
      <w:color w:val="000000"/>
      <w:spacing w:val="20"/>
      <w:w w:val="100"/>
      <w:position w:val="0"/>
      <w:lang w:val="zh-TW"/>
    </w:rPr>
  </w:style>
  <w:style w:type="character" w:customStyle="1" w:styleId="4Impact">
    <w:name w:val="标题 #4 + Impact"/>
    <w:basedOn w:val="4"/>
    <w:uiPriority w:val="99"/>
    <w:rsid w:val="00394DE1"/>
    <w:rPr>
      <w:rFonts w:ascii="Impact" w:eastAsia="Times New Roman" w:hAnsi="Impact" w:cs="Impact"/>
      <w:color w:val="000000"/>
      <w:spacing w:val="0"/>
      <w:w w:val="100"/>
      <w:position w:val="0"/>
      <w:sz w:val="42"/>
      <w:szCs w:val="42"/>
      <w:lang w:val="zh-TW"/>
    </w:rPr>
  </w:style>
  <w:style w:type="character" w:customStyle="1" w:styleId="265pt">
    <w:name w:val="正文文本 (2) + 6.5 pt"/>
    <w:basedOn w:val="21"/>
    <w:uiPriority w:val="99"/>
    <w:rsid w:val="00394DE1"/>
    <w:rPr>
      <w:rFonts w:ascii="MS Mincho" w:eastAsia="MS Mincho" w:hAnsi="MS Mincho" w:cs="MS Mincho"/>
      <w:color w:val="000000"/>
      <w:spacing w:val="0"/>
      <w:w w:val="100"/>
      <w:position w:val="0"/>
      <w:sz w:val="13"/>
      <w:szCs w:val="13"/>
    </w:rPr>
  </w:style>
  <w:style w:type="paragraph" w:customStyle="1" w:styleId="p0">
    <w:name w:val="p0"/>
    <w:basedOn w:val="Normal"/>
    <w:uiPriority w:val="99"/>
    <w:rsid w:val="00394DE1"/>
    <w:pPr>
      <w:widowControl/>
      <w:spacing w:before="100" w:beforeAutospacing="1" w:after="100" w:afterAutospacing="1"/>
      <w:jc w:val="left"/>
    </w:pPr>
    <w:rPr>
      <w:rFonts w:ascii="宋体" w:hAnsi="宋体" w:cs="宋体"/>
      <w:color w:val="000000"/>
      <w:kern w:val="0"/>
      <w:sz w:val="24"/>
      <w:szCs w:val="24"/>
    </w:rPr>
  </w:style>
  <w:style w:type="character" w:customStyle="1" w:styleId="55pt">
    <w:name w:val="正文文本 + 5.5 pt"/>
    <w:basedOn w:val="a"/>
    <w:uiPriority w:val="99"/>
    <w:rsid w:val="00394DE1"/>
    <w:rPr>
      <w:color w:val="000000"/>
      <w:spacing w:val="0"/>
      <w:w w:val="100"/>
      <w:position w:val="0"/>
      <w:sz w:val="11"/>
      <w:szCs w:val="11"/>
      <w:u w:val="none"/>
    </w:rPr>
  </w:style>
  <w:style w:type="paragraph" w:customStyle="1" w:styleId="23">
    <w:name w:val="正文文本2"/>
    <w:basedOn w:val="Normal"/>
    <w:uiPriority w:val="99"/>
    <w:rsid w:val="00394DE1"/>
    <w:pPr>
      <w:shd w:val="clear" w:color="auto" w:fill="FFFFFF"/>
      <w:spacing w:after="540" w:line="566" w:lineRule="exact"/>
      <w:jc w:val="right"/>
    </w:pPr>
    <w:rPr>
      <w:rFonts w:ascii="MingLiU" w:eastAsia="MingLiU" w:hAnsi="MingLiU" w:cs="MingLiU"/>
      <w:color w:val="000000"/>
      <w:kern w:val="0"/>
      <w:sz w:val="27"/>
      <w:szCs w:val="27"/>
      <w:lang w:val="zh-TW"/>
    </w:rPr>
  </w:style>
  <w:style w:type="character" w:customStyle="1" w:styleId="41">
    <w:name w:val="正文文本 (4)_"/>
    <w:basedOn w:val="DefaultParagraphFont"/>
    <w:link w:val="42"/>
    <w:uiPriority w:val="99"/>
    <w:locked/>
    <w:rsid w:val="00394DE1"/>
    <w:rPr>
      <w:rFonts w:ascii="MingLiU" w:eastAsia="MingLiU" w:hAnsi="MingLiU" w:cs="MingLiU"/>
      <w:b/>
      <w:bCs/>
      <w:spacing w:val="20"/>
      <w:sz w:val="30"/>
      <w:szCs w:val="30"/>
      <w:shd w:val="clear" w:color="auto" w:fill="FFFFFF"/>
    </w:rPr>
  </w:style>
  <w:style w:type="paragraph" w:customStyle="1" w:styleId="42">
    <w:name w:val="正文文本 (4)"/>
    <w:basedOn w:val="Normal"/>
    <w:link w:val="41"/>
    <w:uiPriority w:val="99"/>
    <w:rsid w:val="00394DE1"/>
    <w:pPr>
      <w:shd w:val="clear" w:color="auto" w:fill="FFFFFF"/>
      <w:spacing w:line="536" w:lineRule="exact"/>
      <w:ind w:hanging="1400"/>
      <w:jc w:val="distribute"/>
    </w:pPr>
    <w:rPr>
      <w:rFonts w:ascii="MingLiU" w:eastAsia="MingLiU" w:hAnsi="MingLiU" w:cs="MingLiU"/>
      <w:b/>
      <w:bCs/>
      <w:spacing w:val="20"/>
      <w:kern w:val="0"/>
      <w:sz w:val="30"/>
      <w:szCs w:val="30"/>
    </w:rPr>
  </w:style>
  <w:style w:type="character" w:customStyle="1" w:styleId="6">
    <w:name w:val="正文文本 (6)_"/>
    <w:basedOn w:val="DefaultParagraphFont"/>
    <w:link w:val="60"/>
    <w:uiPriority w:val="99"/>
    <w:locked/>
    <w:rsid w:val="00394DE1"/>
    <w:rPr>
      <w:rFonts w:ascii="MingLiU" w:eastAsia="MingLiU" w:hAnsi="MingLiU" w:cs="MingLiU"/>
      <w:spacing w:val="20"/>
      <w:sz w:val="23"/>
      <w:szCs w:val="23"/>
      <w:shd w:val="clear" w:color="auto" w:fill="FFFFFF"/>
    </w:rPr>
  </w:style>
  <w:style w:type="paragraph" w:customStyle="1" w:styleId="60">
    <w:name w:val="正文文本 (6)"/>
    <w:basedOn w:val="Normal"/>
    <w:link w:val="6"/>
    <w:uiPriority w:val="99"/>
    <w:rsid w:val="00394DE1"/>
    <w:pPr>
      <w:shd w:val="clear" w:color="auto" w:fill="FFFFFF"/>
      <w:spacing w:before="1320" w:after="1020" w:line="240" w:lineRule="atLeast"/>
      <w:jc w:val="center"/>
    </w:pPr>
    <w:rPr>
      <w:rFonts w:ascii="MingLiU" w:eastAsia="MingLiU" w:hAnsi="MingLiU" w:cs="MingLiU"/>
      <w:spacing w:val="20"/>
      <w:kern w:val="0"/>
      <w:sz w:val="23"/>
      <w:szCs w:val="23"/>
    </w:rPr>
  </w:style>
  <w:style w:type="character" w:customStyle="1" w:styleId="6Batang">
    <w:name w:val="正文文本 (6) + Batang"/>
    <w:basedOn w:val="6"/>
    <w:uiPriority w:val="99"/>
    <w:rsid w:val="00394DE1"/>
    <w:rPr>
      <w:rFonts w:ascii="Batang" w:eastAsia="Batang" w:hAnsi="Batang" w:cs="Batang"/>
      <w:color w:val="000000"/>
      <w:w w:val="80"/>
      <w:position w:val="0"/>
      <w:lang w:val="zh-TW"/>
    </w:rPr>
  </w:style>
  <w:style w:type="table" w:customStyle="1" w:styleId="12">
    <w:name w:val="网格型1"/>
    <w:uiPriority w:val="99"/>
    <w:rsid w:val="00394DE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uiPriority w:val="99"/>
    <w:rsid w:val="00394DE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0">
    <w:name w:val="TOC 标题1"/>
    <w:basedOn w:val="Heading1"/>
    <w:next w:val="Normal"/>
    <w:uiPriority w:val="99"/>
    <w:semiHidden/>
    <w:rsid w:val="00394DE1"/>
    <w:pPr>
      <w:widowControl/>
      <w:spacing w:before="480" w:after="0" w:line="276" w:lineRule="auto"/>
      <w:jc w:val="left"/>
      <w:outlineLvl w:val="9"/>
    </w:pPr>
    <w:rPr>
      <w:rFonts w:ascii="Calibri Light" w:hAnsi="Calibri Light" w:cs="Calibri Light"/>
      <w:color w:val="2E74B5"/>
      <w:kern w:val="0"/>
      <w:sz w:val="28"/>
      <w:szCs w:val="28"/>
    </w:rPr>
  </w:style>
  <w:style w:type="character" w:customStyle="1" w:styleId="a2">
    <w:name w:val="正文文本 + 粗体"/>
    <w:basedOn w:val="a"/>
    <w:uiPriority w:val="99"/>
    <w:rsid w:val="00394DE1"/>
    <w:rPr>
      <w:b/>
      <w:bCs/>
      <w:color w:val="000000"/>
      <w:w w:val="100"/>
      <w:position w:val="0"/>
      <w:sz w:val="17"/>
      <w:szCs w:val="17"/>
      <w:u w:val="none"/>
      <w:lang w:val="zh-TW"/>
    </w:rPr>
  </w:style>
  <w:style w:type="character" w:customStyle="1" w:styleId="9pt">
    <w:name w:val="正文文本 + 间距 9 pt"/>
    <w:basedOn w:val="a"/>
    <w:uiPriority w:val="99"/>
    <w:rsid w:val="00394DE1"/>
    <w:rPr>
      <w:color w:val="000000"/>
      <w:spacing w:val="190"/>
      <w:w w:val="100"/>
      <w:position w:val="0"/>
      <w:sz w:val="17"/>
      <w:szCs w:val="17"/>
      <w:u w:val="none"/>
      <w:lang w:val="zh-TW"/>
    </w:rPr>
  </w:style>
  <w:style w:type="character" w:customStyle="1" w:styleId="11pt">
    <w:name w:val="正文文本 + 11 pt"/>
    <w:basedOn w:val="a"/>
    <w:uiPriority w:val="99"/>
    <w:rsid w:val="00394DE1"/>
    <w:rPr>
      <w:color w:val="000000"/>
      <w:spacing w:val="0"/>
      <w:w w:val="100"/>
      <w:position w:val="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8.xml"/><Relationship Id="rId42" Type="http://schemas.openxmlformats.org/officeDocument/2006/relationships/hyperlink" Target="https://www.lawxp.com/statute/s1754666.html" TargetMode="External"/><Relationship Id="rId47" Type="http://schemas.openxmlformats.org/officeDocument/2006/relationships/hyperlink" Target="https://www.lawxp.com/statute/s1754666.html" TargetMode="External"/><Relationship Id="rId63" Type="http://schemas.openxmlformats.org/officeDocument/2006/relationships/hyperlink" Target="http://www.jincao.com/fa/12/law12.83.htm" TargetMode="External"/><Relationship Id="rId68" Type="http://schemas.openxmlformats.org/officeDocument/2006/relationships/oleObject" Target="embeddings/oleObject1.bin"/><Relationship Id="rId84" Type="http://schemas.openxmlformats.org/officeDocument/2006/relationships/header" Target="header19.xml"/><Relationship Id="rId89" Type="http://schemas.openxmlformats.org/officeDocument/2006/relationships/header" Target="header22.xml"/><Relationship Id="rId7" Type="http://schemas.openxmlformats.org/officeDocument/2006/relationships/header" Target="header1.xml"/><Relationship Id="rId71" Type="http://schemas.openxmlformats.org/officeDocument/2006/relationships/image" Target="media/image9.wmf"/><Relationship Id="rId92" Type="http://schemas.openxmlformats.org/officeDocument/2006/relationships/header" Target="header25.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image" Target="media/image5.wmf"/><Relationship Id="rId40" Type="http://schemas.openxmlformats.org/officeDocument/2006/relationships/hyperlink" Target="https://www.lawxp.com/statute/s1754666.html" TargetMode="External"/><Relationship Id="rId45" Type="http://schemas.openxmlformats.org/officeDocument/2006/relationships/hyperlink" Target="https://www.lawxp.com/statute/s1754666.html" TargetMode="External"/><Relationship Id="rId53" Type="http://schemas.openxmlformats.org/officeDocument/2006/relationships/hyperlink" Target="https://baike.sogou.com/lemma/ShowInnerLink.htm?lemmaId=53155010&amp;ss_c=ssc.citiao.link" TargetMode="External"/><Relationship Id="rId58" Type="http://schemas.openxmlformats.org/officeDocument/2006/relationships/hyperlink" Target="http://www.jincao.com/fa/12/law12.83.htm" TargetMode="External"/><Relationship Id="rId66" Type="http://schemas.openxmlformats.org/officeDocument/2006/relationships/hyperlink" Target="http://www.jincao.com/fa/12/law12.83.htm" TargetMode="External"/><Relationship Id="rId74" Type="http://schemas.openxmlformats.org/officeDocument/2006/relationships/image" Target="media/image12.wmf"/><Relationship Id="rId79" Type="http://schemas.openxmlformats.org/officeDocument/2006/relationships/header" Target="header16.xml"/><Relationship Id="rId87" Type="http://schemas.openxmlformats.org/officeDocument/2006/relationships/header" Target="header20.xm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jincao.com/fa/12/law12.83.htm" TargetMode="External"/><Relationship Id="rId82" Type="http://schemas.openxmlformats.org/officeDocument/2006/relationships/footer" Target="footer19.xml"/><Relationship Id="rId90" Type="http://schemas.openxmlformats.org/officeDocument/2006/relationships/header" Target="header23.xml"/><Relationship Id="rId95" Type="http://schemas.openxmlformats.org/officeDocument/2006/relationships/image" Target="media/image15.wmf"/><Relationship Id="rId19" Type="http://schemas.openxmlformats.org/officeDocument/2006/relationships/footer" Target="footer6.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hyperlink" Target="https://www.lawxp.com/statute/s1754666.html" TargetMode="External"/><Relationship Id="rId48" Type="http://schemas.openxmlformats.org/officeDocument/2006/relationships/hyperlink" Target="http://www.gov.cn/zwgk/2007-12/06/content_826778.htm" TargetMode="External"/><Relationship Id="rId56" Type="http://schemas.openxmlformats.org/officeDocument/2006/relationships/hyperlink" Target="http://www.jincao.com/fa/12/law12.83.htm" TargetMode="External"/><Relationship Id="rId64" Type="http://schemas.openxmlformats.org/officeDocument/2006/relationships/hyperlink" Target="http://www.jincao.com/fa/12/law12.83.htm" TargetMode="External"/><Relationship Id="rId69" Type="http://schemas.openxmlformats.org/officeDocument/2006/relationships/image" Target="media/image7.wmf"/><Relationship Id="rId77" Type="http://schemas.openxmlformats.org/officeDocument/2006/relationships/footer" Target="footer16.xml"/><Relationship Id="rId100"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hyperlink" Target="http://www.mlr.gov.cn/pub/gtzyb/zytz/P020061227430122521853.doc" TargetMode="External"/><Relationship Id="rId72" Type="http://schemas.openxmlformats.org/officeDocument/2006/relationships/image" Target="media/image10.wmf"/><Relationship Id="rId80" Type="http://schemas.openxmlformats.org/officeDocument/2006/relationships/header" Target="header17.xml"/><Relationship Id="rId85" Type="http://schemas.openxmlformats.org/officeDocument/2006/relationships/footer" Target="footer20.xml"/><Relationship Id="rId93" Type="http://schemas.openxmlformats.org/officeDocument/2006/relationships/image" Target="media/image13.wmf"/><Relationship Id="rId98"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yperlink" Target="https://www.lawxp.com/statute/s1754666.html" TargetMode="External"/><Relationship Id="rId59" Type="http://schemas.openxmlformats.org/officeDocument/2006/relationships/hyperlink" Target="http://www.jincao.com/fa/12/law12.83.htm" TargetMode="External"/><Relationship Id="rId67" Type="http://schemas.openxmlformats.org/officeDocument/2006/relationships/image" Target="media/image6.wmf"/><Relationship Id="rId10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yperlink" Target="https://www.lawxp.com/statute/s1754666.html" TargetMode="External"/><Relationship Id="rId54" Type="http://schemas.openxmlformats.org/officeDocument/2006/relationships/hyperlink" Target="https://baike.sogou.com/lemma/ShowInnerLink.htm?lemmaId=140197131&amp;ss_c=ssc.citiao.link" TargetMode="External"/><Relationship Id="rId62" Type="http://schemas.openxmlformats.org/officeDocument/2006/relationships/hyperlink" Target="http://www.jincao.com/fa/12/law12.83.htm" TargetMode="External"/><Relationship Id="rId70" Type="http://schemas.openxmlformats.org/officeDocument/2006/relationships/image" Target="media/image8.wmf"/><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4.xml"/><Relationship Id="rId96"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13.xml"/><Relationship Id="rId49" Type="http://schemas.openxmlformats.org/officeDocument/2006/relationships/hyperlink" Target="http://www.mlr.gov.cn/pub/gtzyb/zytz/P020061227430122521853.doc" TargetMode="External"/><Relationship Id="rId57" Type="http://schemas.openxmlformats.org/officeDocument/2006/relationships/hyperlink" Target="http://www.jincao.com/fa/12/law12.83.htm" TargetMode="External"/><Relationship Id="rId10" Type="http://schemas.openxmlformats.org/officeDocument/2006/relationships/header" Target="header3.xml"/><Relationship Id="rId31" Type="http://schemas.openxmlformats.org/officeDocument/2006/relationships/footer" Target="footer10.xml"/><Relationship Id="rId44" Type="http://schemas.openxmlformats.org/officeDocument/2006/relationships/hyperlink" Target="https://www.lawxp.com/statute/s1754666.html" TargetMode="External"/><Relationship Id="rId52" Type="http://schemas.openxmlformats.org/officeDocument/2006/relationships/hyperlink" Target="http://www.mlr.gov.cn/pub/gtzyb/zytz/P020061227430123149005.doc" TargetMode="External"/><Relationship Id="rId60" Type="http://schemas.openxmlformats.org/officeDocument/2006/relationships/hyperlink" Target="http://www.jincao.com/fa/12/law12.83.htm" TargetMode="External"/><Relationship Id="rId65" Type="http://schemas.openxmlformats.org/officeDocument/2006/relationships/hyperlink" Target="http://www.jincao.com/fa/12/law12.83.htm" TargetMode="External"/><Relationship Id="rId73" Type="http://schemas.openxmlformats.org/officeDocument/2006/relationships/image" Target="media/image11.wmf"/><Relationship Id="rId78" Type="http://schemas.openxmlformats.org/officeDocument/2006/relationships/footer" Target="footer17.xml"/><Relationship Id="rId81" Type="http://schemas.openxmlformats.org/officeDocument/2006/relationships/footer" Target="footer18.xml"/><Relationship Id="rId86" Type="http://schemas.openxmlformats.org/officeDocument/2006/relationships/footer" Target="footer21.xml"/><Relationship Id="rId94" Type="http://schemas.openxmlformats.org/officeDocument/2006/relationships/image" Target="media/image14.wmf"/><Relationship Id="rId99" Type="http://schemas.openxmlformats.org/officeDocument/2006/relationships/header" Target="header29.xml"/><Relationship Id="rId101" Type="http://schemas.openxmlformats.org/officeDocument/2006/relationships/hyperlink" Target="https://baike.baidu.com/item/%E8%AF%84%E4%BC%B0"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hyperlink" Target="http://www.mlr.gov.cn/pub/gtzyb/zytz/P020061227430123149005.doc" TargetMode="External"/><Relationship Id="rId55" Type="http://schemas.openxmlformats.org/officeDocument/2006/relationships/hyperlink" Target="https://baike.baidu.com/item/%E4%B8%AD%E5%8D%8E%E4%BA%BA%E6%B0%91%E5%85%B1%E5%92%8C%E5%9B%BD%E5%A5%91%E7%A8%8E%E6%9A%82%E8%A1%8C%E6%9D%A1%E4%BE%8B" TargetMode="External"/><Relationship Id="rId76" Type="http://schemas.openxmlformats.org/officeDocument/2006/relationships/header" Target="header15.xml"/><Relationship Id="rId9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365</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河北省建设项目概算</dc:title>
  <dc:subject/>
  <dc:creator>Administrator</dc:creator>
  <cp:keywords/>
  <dc:description/>
  <cp:lastModifiedBy>建筑造价室公用</cp:lastModifiedBy>
  <cp:revision>2</cp:revision>
  <cp:lastPrinted>2018-07-25T00:29:00Z</cp:lastPrinted>
  <dcterms:created xsi:type="dcterms:W3CDTF">2018-07-30T07:19:00Z</dcterms:created>
  <dcterms:modified xsi:type="dcterms:W3CDTF">2018-07-30T07:19:00Z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